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3BE56A" w14:textId="6764662E" w:rsidR="00646AC2" w:rsidRPr="00F22EF9" w:rsidRDefault="00194C93" w:rsidP="00075536">
      <w:pPr>
        <w:jc w:val="center"/>
      </w:pPr>
      <w:r>
        <w:rPr>
          <w:noProof/>
        </w:rPr>
        <w:drawing>
          <wp:inline distT="0" distB="0" distL="0" distR="0" wp14:anchorId="6C43BE53" wp14:editId="78E795A2">
            <wp:extent cx="1792605" cy="1239520"/>
            <wp:effectExtent l="0" t="0" r="0" b="0"/>
            <wp:docPr id="1" name="Picture 1" title="EESCLogo_LV"/>
            <wp:cNvGraphicFramePr/>
            <a:graphic xmlns:a="http://schemas.openxmlformats.org/drawingml/2006/main">
              <a:graphicData uri="http://schemas.openxmlformats.org/drawingml/2006/picture">
                <pic:pic xmlns:pic="http://schemas.openxmlformats.org/drawingml/2006/picture">
                  <pic:nvPicPr>
                    <pic:cNvPr id="1" name="Picture 1" title="EESCLogo_LV"/>
                    <pic:cNvPicPr/>
                  </pic:nvPicPr>
                  <pic:blipFill>
                    <a:blip r:embed="rId11"/>
                    <a:stretch>
                      <a:fillRect/>
                    </a:stretch>
                  </pic:blipFill>
                  <pic:spPr>
                    <a:xfrm>
                      <a:off x="0" y="0"/>
                      <a:ext cx="1792605" cy="1239520"/>
                    </a:xfrm>
                    <a:prstGeom prst="rect">
                      <a:avLst/>
                    </a:prstGeom>
                  </pic:spPr>
                </pic:pic>
              </a:graphicData>
            </a:graphic>
          </wp:inline>
        </w:drawing>
      </w:r>
      <w:r w:rsidR="008C74D9">
        <w:rPr>
          <w:noProof/>
          <w:sz w:val="20"/>
        </w:rPr>
        <mc:AlternateContent>
          <mc:Choice Requires="wps">
            <w:drawing>
              <wp:anchor distT="0" distB="0" distL="114300" distR="114300" simplePos="0" relativeHeight="251659264" behindDoc="1" locked="0" layoutInCell="0" allowOverlap="1" wp14:anchorId="131133D6" wp14:editId="11B0D625">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060660" w14:textId="77777777" w:rsidR="002C1DB1" w:rsidRPr="00260E65" w:rsidRDefault="002C1DB1">
                            <w:pPr>
                              <w:jc w:val="center"/>
                              <w:rPr>
                                <w:rFonts w:ascii="Arial" w:hAnsi="Arial" w:cs="Arial"/>
                                <w:b/>
                                <w:bCs/>
                                <w:sz w:val="48"/>
                              </w:rPr>
                            </w:pPr>
                            <w:r>
                              <w:rPr>
                                <w:rFonts w:ascii="Arial" w:hAnsi="Arial"/>
                                <w:b/>
                                <w:sz w:val="48"/>
                              </w:rPr>
                              <w:t>LV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1133D6"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45060660" w14:textId="77777777" w:rsidR="002C1DB1" w:rsidRPr="00260E65" w:rsidRDefault="002C1DB1">
                      <w:pPr>
                        <w:jc w:val="center"/>
                        <w:rPr>
                          <w:rFonts w:ascii="Arial" w:hAnsi="Arial" w:cs="Arial"/>
                          <w:b/>
                          <w:bCs/>
                          <w:sz w:val="48"/>
                        </w:rPr>
                      </w:pPr>
                      <w:r>
                        <w:rPr>
                          <w:rFonts w:ascii="Arial" w:hAnsi="Arial"/>
                          <w:b/>
                          <w:sz w:val="48"/>
                        </w:rPr>
                        <w:t>LV</w:t>
                      </w:r>
                    </w:p>
                  </w:txbxContent>
                </v:textbox>
                <w10:wrap anchorx="page" anchory="page"/>
              </v:shape>
            </w:pict>
          </mc:Fallback>
        </mc:AlternateContent>
      </w:r>
    </w:p>
    <w:p w14:paraId="5E7A16AD" w14:textId="77777777" w:rsidR="008C74D9" w:rsidRPr="00F22EF9" w:rsidRDefault="008C74D9" w:rsidP="00075536"/>
    <w:p w14:paraId="5B3BE56B" w14:textId="6E4FBF73" w:rsidR="00646AC2" w:rsidRPr="00F22EF9" w:rsidRDefault="00D450C8" w:rsidP="00075536">
      <w:pPr>
        <w:jc w:val="right"/>
      </w:pPr>
      <w:r>
        <w:rPr>
          <w:b/>
        </w:rPr>
        <w:t>ECO/685</w:t>
      </w:r>
    </w:p>
    <w:p w14:paraId="5B3BE56C" w14:textId="1AED2B3D" w:rsidR="00563C84" w:rsidRPr="00F22EF9" w:rsidRDefault="00894C58" w:rsidP="00075536">
      <w:pPr>
        <w:jc w:val="right"/>
      </w:pPr>
      <w:r>
        <w:rPr>
          <w:b/>
        </w:rPr>
        <w:t xml:space="preserve">Eiropas Reģionālās attīstības fonds, ietverot </w:t>
      </w:r>
      <w:proofErr w:type="spellStart"/>
      <w:r>
        <w:rPr>
          <w:b/>
          <w:i/>
        </w:rPr>
        <w:t>Interreg</w:t>
      </w:r>
      <w:proofErr w:type="spellEnd"/>
      <w:r>
        <w:rPr>
          <w:b/>
        </w:rPr>
        <w:t>, un Kohēzijas fonds</w:t>
      </w:r>
    </w:p>
    <w:p w14:paraId="5B3BE56D" w14:textId="77777777" w:rsidR="009B30AA" w:rsidRPr="00F22EF9" w:rsidRDefault="009B30AA" w:rsidP="00075536"/>
    <w:p w14:paraId="5B3BE56E" w14:textId="77777777" w:rsidR="009B30AA" w:rsidRPr="00F22EF9" w:rsidRDefault="009B30AA" w:rsidP="00075536"/>
    <w:p w14:paraId="3C09B2EE" w14:textId="262ACA3F" w:rsidR="0048754F" w:rsidRPr="00F22EF9" w:rsidRDefault="00657B8E" w:rsidP="00075536">
      <w:pPr>
        <w:jc w:val="center"/>
        <w:rPr>
          <w:b/>
          <w:bCs/>
          <w:sz w:val="28"/>
          <w:szCs w:val="28"/>
        </w:rPr>
      </w:pPr>
      <w:r>
        <w:rPr>
          <w:b/>
          <w:sz w:val="28"/>
        </w:rPr>
        <w:t>ATZINUMS</w:t>
      </w:r>
    </w:p>
    <w:p w14:paraId="34368F6A" w14:textId="77777777" w:rsidR="0048754F" w:rsidRPr="00F22EF9" w:rsidRDefault="0048754F" w:rsidP="00075536">
      <w:pPr>
        <w:jc w:val="center"/>
      </w:pPr>
    </w:p>
    <w:p w14:paraId="7D40B1DD" w14:textId="63F03EC7" w:rsidR="0048754F" w:rsidRPr="00F22EF9" w:rsidRDefault="03385EDC" w:rsidP="00075536">
      <w:pPr>
        <w:jc w:val="center"/>
      </w:pPr>
      <w:r>
        <w:t>Ekonomikas un monetārās savienības, ekonomiskās un sociālās kohēzijas specializētā nodaļa</w:t>
      </w:r>
    </w:p>
    <w:p w14:paraId="046C48E8" w14:textId="77777777" w:rsidR="0048754F" w:rsidRPr="00F22EF9" w:rsidRDefault="0048754F" w:rsidP="00075536">
      <w:pPr>
        <w:jc w:val="center"/>
      </w:pPr>
    </w:p>
    <w:p w14:paraId="69DFD613" w14:textId="73A2590A" w:rsidR="0048754F" w:rsidRPr="00F22EF9" w:rsidRDefault="00894C58" w:rsidP="00075536">
      <w:pPr>
        <w:jc w:val="center"/>
        <w:rPr>
          <w:b/>
          <w:bCs/>
          <w:highlight w:val="yellow"/>
        </w:rPr>
      </w:pPr>
      <w:r>
        <w:rPr>
          <w:b/>
        </w:rPr>
        <w:t>Priekšlikums Eiropas Parlamenta un Padomes regulai, ar ko Eiropas Reģionālās attīstības fondu, kas ietver Eiropas teritoriālo sadarbību (</w:t>
      </w:r>
      <w:proofErr w:type="spellStart"/>
      <w:r>
        <w:rPr>
          <w:b/>
          <w:i/>
        </w:rPr>
        <w:t>Interreg</w:t>
      </w:r>
      <w:proofErr w:type="spellEnd"/>
      <w:r>
        <w:rPr>
          <w:b/>
        </w:rPr>
        <w:t>), un Kohēzijas fondu nosaka par daļu no Regulas (ES) [...] [VRP] izveidotā fonda un izklāsta nosacījumus reģionālajai attīstībai domātā Savienības atbalsta īstenošanai 2028.–2034. gada laikposmā</w:t>
      </w:r>
    </w:p>
    <w:p w14:paraId="5B3BE56F" w14:textId="045636E0" w:rsidR="00646AC2" w:rsidRPr="00F22EF9" w:rsidRDefault="00501A20" w:rsidP="00075536">
      <w:pPr>
        <w:jc w:val="center"/>
      </w:pPr>
      <w:r>
        <w:t xml:space="preserve">(COM(2025) 552 </w:t>
      </w:r>
      <w:proofErr w:type="spellStart"/>
      <w:r>
        <w:t>final</w:t>
      </w:r>
      <w:proofErr w:type="spellEnd"/>
      <w:r>
        <w:t xml:space="preserve"> – 2025/0238(COD))</w:t>
      </w:r>
    </w:p>
    <w:p w14:paraId="5B3BE570" w14:textId="77777777" w:rsidR="009B30AA" w:rsidRPr="00F22EF9" w:rsidRDefault="009B30AA" w:rsidP="00075536">
      <w:pPr>
        <w:jc w:val="center"/>
      </w:pPr>
    </w:p>
    <w:tbl>
      <w:tblPr>
        <w:tblpPr w:leftFromText="181" w:rightFromText="181" w:tblpYSpec="bottom"/>
        <w:tblOverlap w:val="never"/>
        <w:tblW w:w="9289" w:type="dxa"/>
        <w:tblLayout w:type="fixed"/>
        <w:tblLook w:val="04A0" w:firstRow="1" w:lastRow="0" w:firstColumn="1" w:lastColumn="0" w:noHBand="0" w:noVBand="1"/>
      </w:tblPr>
      <w:tblGrid>
        <w:gridCol w:w="3085"/>
        <w:gridCol w:w="6204"/>
      </w:tblGrid>
      <w:tr w:rsidR="00FF3759" w:rsidRPr="00F22EF9" w14:paraId="5B3BE57A" w14:textId="77777777" w:rsidTr="0061208D">
        <w:tc>
          <w:tcPr>
            <w:tcW w:w="3085" w:type="dxa"/>
          </w:tcPr>
          <w:p w14:paraId="5B3BE578" w14:textId="20011EE0" w:rsidR="00FF3759" w:rsidRPr="00F22EF9" w:rsidRDefault="03385EDC" w:rsidP="00075536">
            <w:pPr>
              <w:jc w:val="left"/>
            </w:pPr>
            <w:r>
              <w:t>Kontaktinformācija</w:t>
            </w:r>
          </w:p>
        </w:tc>
        <w:tc>
          <w:tcPr>
            <w:tcW w:w="6204" w:type="dxa"/>
          </w:tcPr>
          <w:p w14:paraId="5B3BE579" w14:textId="3291D765" w:rsidR="00FF3759" w:rsidRPr="00F22EF9" w:rsidRDefault="00B97ACF" w:rsidP="00075536">
            <w:pPr>
              <w:jc w:val="left"/>
            </w:pPr>
            <w:hyperlink r:id="rId12" w:history="1">
              <w:r w:rsidR="00F22EF9">
                <w:rPr>
                  <w:rStyle w:val="Hyperlink"/>
                </w:rPr>
                <w:t>eco@eesc.europa.eu</w:t>
              </w:r>
            </w:hyperlink>
          </w:p>
        </w:tc>
      </w:tr>
      <w:tr w:rsidR="00FF3759" w:rsidRPr="00F22EF9" w14:paraId="5B3BE57D" w14:textId="77777777" w:rsidTr="0061208D">
        <w:tc>
          <w:tcPr>
            <w:tcW w:w="3085" w:type="dxa"/>
          </w:tcPr>
          <w:p w14:paraId="5B3BE57B" w14:textId="77777777" w:rsidR="00FF3759" w:rsidRPr="00F22EF9" w:rsidRDefault="03385EDC" w:rsidP="00075536">
            <w:pPr>
              <w:jc w:val="left"/>
            </w:pPr>
            <w:r>
              <w:t>Administrators(-e)</w:t>
            </w:r>
          </w:p>
        </w:tc>
        <w:tc>
          <w:tcPr>
            <w:tcW w:w="6204" w:type="dxa"/>
          </w:tcPr>
          <w:p w14:paraId="5B3BE57C" w14:textId="08D82CAE" w:rsidR="00FF3759" w:rsidRPr="00F22EF9" w:rsidRDefault="00894C58" w:rsidP="00075536">
            <w:pPr>
              <w:jc w:val="left"/>
            </w:pPr>
            <w:proofErr w:type="spellStart"/>
            <w:r>
              <w:t>Georgios</w:t>
            </w:r>
            <w:proofErr w:type="spellEnd"/>
            <w:r>
              <w:t xml:space="preserve"> MELEAS</w:t>
            </w:r>
          </w:p>
        </w:tc>
      </w:tr>
      <w:tr w:rsidR="00FF3759" w:rsidRPr="00F22EF9" w14:paraId="5B3BE580" w14:textId="77777777" w:rsidTr="0061208D">
        <w:tc>
          <w:tcPr>
            <w:tcW w:w="3085" w:type="dxa"/>
          </w:tcPr>
          <w:p w14:paraId="5B3BE57E" w14:textId="77777777" w:rsidR="00FF3759" w:rsidRPr="00F22EF9" w:rsidRDefault="03385EDC" w:rsidP="00075536">
            <w:pPr>
              <w:jc w:val="left"/>
            </w:pPr>
            <w:r>
              <w:t>Dokumenta datums</w:t>
            </w:r>
          </w:p>
        </w:tc>
        <w:tc>
          <w:tcPr>
            <w:tcW w:w="6204" w:type="dxa"/>
          </w:tcPr>
          <w:p w14:paraId="5B3BE57F" w14:textId="4D002495" w:rsidR="00FF3759" w:rsidRPr="00F22EF9" w:rsidRDefault="00F22EF9" w:rsidP="00075536">
            <w:pPr>
              <w:jc w:val="left"/>
              <w:rPr>
                <w:highlight w:val="yellow"/>
              </w:rPr>
            </w:pPr>
            <w:r>
              <w:t>25/11/2025</w:t>
            </w:r>
          </w:p>
        </w:tc>
      </w:tr>
    </w:tbl>
    <w:p w14:paraId="67915520" w14:textId="0D536F35" w:rsidR="007D54C2" w:rsidRPr="00F22EF9" w:rsidRDefault="03385EDC" w:rsidP="00075536">
      <w:pPr>
        <w:jc w:val="center"/>
        <w:rPr>
          <w:bCs/>
        </w:rPr>
      </w:pPr>
      <w:r>
        <w:t xml:space="preserve">Ziņotājs: </w:t>
      </w:r>
      <w:proofErr w:type="spellStart"/>
      <w:r>
        <w:rPr>
          <w:b/>
          <w:i/>
        </w:rPr>
        <w:t>David</w:t>
      </w:r>
      <w:proofErr w:type="spellEnd"/>
      <w:r>
        <w:rPr>
          <w:b/>
          <w:i/>
        </w:rPr>
        <w:t xml:space="preserve"> SVENTEK</w:t>
      </w:r>
    </w:p>
    <w:p w14:paraId="5B3BE582" w14:textId="6F8F6800" w:rsidR="00E32DC6" w:rsidRPr="00F22EF9" w:rsidRDefault="00E32DC6" w:rsidP="00075536"/>
    <w:p w14:paraId="5B3BE583" w14:textId="77777777" w:rsidR="00E32DC6" w:rsidRPr="00F22EF9" w:rsidRDefault="00E32DC6" w:rsidP="00075536"/>
    <w:p w14:paraId="5B3BE584" w14:textId="77777777" w:rsidR="00E32DC6" w:rsidRPr="00F22EF9" w:rsidRDefault="00E32DC6" w:rsidP="00075536">
      <w:pPr>
        <w:sectPr w:rsidR="00E32DC6" w:rsidRPr="00F22EF9" w:rsidSect="00E8450A">
          <w:headerReference w:type="even" r:id="rId13"/>
          <w:headerReference w:type="default" r:id="rId14"/>
          <w:footerReference w:type="even" r:id="rId15"/>
          <w:footerReference w:type="default" r:id="rId16"/>
          <w:headerReference w:type="first" r:id="rId17"/>
          <w:footerReference w:type="first" r:id="rId18"/>
          <w:pgSz w:w="11907" w:h="16839" w:code="9"/>
          <w:pgMar w:top="1417" w:right="1417" w:bottom="1417" w:left="1417" w:header="709" w:footer="709" w:gutter="0"/>
          <w:pgNumType w:start="1"/>
          <w:cols w:space="720"/>
          <w:docGrid w:linePitch="299"/>
        </w:sectPr>
      </w:pPr>
    </w:p>
    <w:p w14:paraId="5B3BE5A3" w14:textId="77777777" w:rsidR="0012220C" w:rsidRPr="00F22EF9" w:rsidRDefault="0012220C" w:rsidP="00075536"/>
    <w:tbl>
      <w:tblPr>
        <w:tblW w:w="0" w:type="auto"/>
        <w:tblLook w:val="04A0" w:firstRow="1" w:lastRow="0" w:firstColumn="1" w:lastColumn="0" w:noHBand="0" w:noVBand="1"/>
      </w:tblPr>
      <w:tblGrid>
        <w:gridCol w:w="3055"/>
        <w:gridCol w:w="6018"/>
      </w:tblGrid>
      <w:tr w:rsidR="00DD5640" w:rsidRPr="00F22EF9" w14:paraId="24249E85" w14:textId="77777777" w:rsidTr="00C356F7">
        <w:trPr>
          <w:trHeight w:val="251"/>
        </w:trPr>
        <w:tc>
          <w:tcPr>
            <w:tcW w:w="3055" w:type="dxa"/>
          </w:tcPr>
          <w:p w14:paraId="1225BDD1" w14:textId="00300DC2" w:rsidR="00DD5640" w:rsidRPr="00F22EF9" w:rsidRDefault="00DD5640" w:rsidP="00075536">
            <w:pPr>
              <w:jc w:val="left"/>
              <w:rPr>
                <w:highlight w:val="yellow"/>
              </w:rPr>
            </w:pPr>
            <w:r>
              <w:t>Padomnieks(-ce)</w:t>
            </w:r>
          </w:p>
        </w:tc>
        <w:tc>
          <w:tcPr>
            <w:tcW w:w="6018" w:type="dxa"/>
          </w:tcPr>
          <w:p w14:paraId="4CEFBCA3" w14:textId="3B8EACC1" w:rsidR="00DD5640" w:rsidRPr="00F22EF9" w:rsidRDefault="007C0911" w:rsidP="00075536">
            <w:pPr>
              <w:jc w:val="left"/>
              <w:rPr>
                <w:highlight w:val="yellow"/>
              </w:rPr>
            </w:pPr>
            <w:r>
              <w:rPr>
                <w:i/>
              </w:rPr>
              <w:t>Petr ZAHRADNÍK</w:t>
            </w:r>
            <w:r>
              <w:t xml:space="preserve"> (ziņotājam)</w:t>
            </w:r>
          </w:p>
        </w:tc>
      </w:tr>
      <w:tr w:rsidR="00DD5640" w:rsidRPr="00F22EF9" w14:paraId="35E60D09" w14:textId="77777777" w:rsidTr="00C356F7">
        <w:trPr>
          <w:trHeight w:val="251"/>
        </w:trPr>
        <w:tc>
          <w:tcPr>
            <w:tcW w:w="3055" w:type="dxa"/>
          </w:tcPr>
          <w:p w14:paraId="2CCD6979" w14:textId="77777777" w:rsidR="00DD5640" w:rsidRPr="00F22EF9" w:rsidRDefault="00DD5640" w:rsidP="00075536">
            <w:pPr>
              <w:jc w:val="left"/>
            </w:pPr>
          </w:p>
        </w:tc>
        <w:tc>
          <w:tcPr>
            <w:tcW w:w="6018" w:type="dxa"/>
          </w:tcPr>
          <w:p w14:paraId="5F5408E4" w14:textId="77777777" w:rsidR="00DD5640" w:rsidRPr="00F22EF9" w:rsidRDefault="00DD5640" w:rsidP="00075536">
            <w:pPr>
              <w:jc w:val="left"/>
            </w:pPr>
          </w:p>
        </w:tc>
      </w:tr>
      <w:tr w:rsidR="0013664F" w:rsidRPr="00F22EF9" w14:paraId="659CFC45" w14:textId="77777777" w:rsidTr="00C356F7">
        <w:tc>
          <w:tcPr>
            <w:tcW w:w="3055" w:type="dxa"/>
          </w:tcPr>
          <w:p w14:paraId="5D2E214C" w14:textId="0B0EEAC3" w:rsidR="0013664F" w:rsidRPr="00F22EF9" w:rsidRDefault="0013664F" w:rsidP="00075536">
            <w:pPr>
              <w:jc w:val="left"/>
            </w:pPr>
            <w:r>
              <w:t>Atzinuma pieprasījumi</w:t>
            </w:r>
          </w:p>
        </w:tc>
        <w:tc>
          <w:tcPr>
            <w:tcW w:w="6018" w:type="dxa"/>
          </w:tcPr>
          <w:p w14:paraId="7BA0BA78" w14:textId="77777777" w:rsidR="005D36EB" w:rsidRPr="00F22EF9" w:rsidRDefault="005D36EB" w:rsidP="00075536">
            <w:pPr>
              <w:jc w:val="left"/>
            </w:pPr>
            <w:r>
              <w:t>Eiropas Savienības Padome, 16.9.2025.</w:t>
            </w:r>
          </w:p>
          <w:p w14:paraId="4DC04ED4" w14:textId="49D6F805" w:rsidR="00A16647" w:rsidRPr="00F22EF9" w:rsidRDefault="00A16647" w:rsidP="00075536">
            <w:pPr>
              <w:jc w:val="left"/>
            </w:pPr>
            <w:r>
              <w:t>Eiropas Parlaments, 6/11/2025</w:t>
            </w:r>
          </w:p>
        </w:tc>
      </w:tr>
      <w:tr w:rsidR="00C356F7" w:rsidRPr="00F22EF9" w14:paraId="5AE3E96C" w14:textId="77777777" w:rsidTr="003B0C32">
        <w:tc>
          <w:tcPr>
            <w:tcW w:w="3055" w:type="dxa"/>
          </w:tcPr>
          <w:p w14:paraId="18AEBE3E" w14:textId="75572D9D" w:rsidR="00C356F7" w:rsidRPr="00F22EF9" w:rsidRDefault="00C356F7" w:rsidP="00075536">
            <w:pPr>
              <w:jc w:val="left"/>
            </w:pPr>
            <w:r>
              <w:t>Juridiskais pamats</w:t>
            </w:r>
          </w:p>
        </w:tc>
        <w:tc>
          <w:tcPr>
            <w:tcW w:w="6018" w:type="dxa"/>
          </w:tcPr>
          <w:p w14:paraId="41205F1B" w14:textId="6A87BBAE" w:rsidR="00C356F7" w:rsidRPr="00F22EF9" w:rsidRDefault="0013664F" w:rsidP="00075536">
            <w:pPr>
              <w:jc w:val="left"/>
            </w:pPr>
            <w:r>
              <w:t>Līguma par Eiropas Savienības darbību 174. pants, 176. pants, 177. pants, 178. pants, 304. pants, 340. pants un 349. pants</w:t>
            </w:r>
          </w:p>
          <w:p w14:paraId="02C501D5" w14:textId="3523FFFD" w:rsidR="00B229B8" w:rsidRPr="00F22EF9" w:rsidRDefault="00B229B8" w:rsidP="00075536">
            <w:pPr>
              <w:jc w:val="left"/>
            </w:pPr>
          </w:p>
        </w:tc>
      </w:tr>
      <w:tr w:rsidR="00DF5B64" w:rsidRPr="00F22EF9" w14:paraId="5B3BE5C4" w14:textId="77777777" w:rsidTr="003B0C32">
        <w:tc>
          <w:tcPr>
            <w:tcW w:w="3055" w:type="dxa"/>
          </w:tcPr>
          <w:p w14:paraId="5B3BE5C2" w14:textId="77777777" w:rsidR="00DF5B64" w:rsidRPr="00F22EF9" w:rsidRDefault="03385EDC" w:rsidP="00075536">
            <w:pPr>
              <w:jc w:val="left"/>
            </w:pPr>
            <w:r>
              <w:t>Atbildīgā specializētā nodaļa</w:t>
            </w:r>
          </w:p>
        </w:tc>
        <w:tc>
          <w:tcPr>
            <w:tcW w:w="6018" w:type="dxa"/>
          </w:tcPr>
          <w:p w14:paraId="5B3BE5C3" w14:textId="745F13D7" w:rsidR="00DF5B64" w:rsidRPr="00F22EF9" w:rsidRDefault="00B229B8" w:rsidP="00075536">
            <w:pPr>
              <w:jc w:val="left"/>
            </w:pPr>
            <w:r>
              <w:t>Ekonomikas un monetārās savienības, ekonomiskās un sociālās kohēzijas specializētā nodaļa</w:t>
            </w:r>
          </w:p>
        </w:tc>
      </w:tr>
      <w:tr w:rsidR="00A156E6" w:rsidRPr="00F22EF9" w14:paraId="5B3BE5C7" w14:textId="77777777" w:rsidTr="003B0C32">
        <w:tc>
          <w:tcPr>
            <w:tcW w:w="3055" w:type="dxa"/>
          </w:tcPr>
          <w:p w14:paraId="5B3BE5C5" w14:textId="6F862EC0" w:rsidR="00A156E6" w:rsidRPr="00F22EF9" w:rsidRDefault="03385EDC" w:rsidP="00075536">
            <w:pPr>
              <w:jc w:val="left"/>
            </w:pPr>
            <w:r>
              <w:t>Pieņemts specializētās nodaļas sanāksmē</w:t>
            </w:r>
          </w:p>
        </w:tc>
        <w:tc>
          <w:tcPr>
            <w:tcW w:w="6018" w:type="dxa"/>
          </w:tcPr>
          <w:p w14:paraId="60709F24" w14:textId="77777777" w:rsidR="007376CB" w:rsidRDefault="007376CB" w:rsidP="00075536">
            <w:pPr>
              <w:jc w:val="left"/>
            </w:pPr>
          </w:p>
          <w:p w14:paraId="5B3BE5C6" w14:textId="43B3B697" w:rsidR="00A156E6" w:rsidRPr="00F22EF9" w:rsidRDefault="001252B8" w:rsidP="00075536">
            <w:pPr>
              <w:jc w:val="left"/>
            </w:pPr>
            <w:r>
              <w:t>20/11/2025</w:t>
            </w:r>
          </w:p>
        </w:tc>
      </w:tr>
      <w:tr w:rsidR="00E64E71" w:rsidRPr="00F22EF9" w14:paraId="76673220" w14:textId="77777777" w:rsidTr="003B0C32">
        <w:tc>
          <w:tcPr>
            <w:tcW w:w="3055" w:type="dxa"/>
          </w:tcPr>
          <w:p w14:paraId="3C0899C8" w14:textId="0995A3EA" w:rsidR="00E64E71" w:rsidRPr="00F22EF9" w:rsidRDefault="03385EDC" w:rsidP="00075536">
            <w:pPr>
              <w:jc w:val="left"/>
            </w:pPr>
            <w:r>
              <w:t>Balsojuma rezultāts (par/pret/atturas)</w:t>
            </w:r>
          </w:p>
        </w:tc>
        <w:tc>
          <w:tcPr>
            <w:tcW w:w="6018" w:type="dxa"/>
            <w:vAlign w:val="bottom"/>
          </w:tcPr>
          <w:p w14:paraId="31005FC7" w14:textId="3EE661C0" w:rsidR="00E64E71" w:rsidRPr="00F22EF9" w:rsidRDefault="002C78D0" w:rsidP="00075536">
            <w:pPr>
              <w:jc w:val="left"/>
            </w:pPr>
            <w:r>
              <w:t>4202</w:t>
            </w:r>
          </w:p>
        </w:tc>
      </w:tr>
      <w:tr w:rsidR="00A156E6" w:rsidRPr="00F22EF9" w14:paraId="5B3BE5CA" w14:textId="77777777" w:rsidTr="003B0C32">
        <w:tc>
          <w:tcPr>
            <w:tcW w:w="3055" w:type="dxa"/>
          </w:tcPr>
          <w:p w14:paraId="5B3BE5C8" w14:textId="261924E9" w:rsidR="00A156E6" w:rsidRPr="00F22EF9" w:rsidRDefault="03385EDC" w:rsidP="00075536">
            <w:pPr>
              <w:jc w:val="left"/>
            </w:pPr>
            <w:r>
              <w:t>Pieņemts plenārsesijā</w:t>
            </w:r>
          </w:p>
        </w:tc>
        <w:tc>
          <w:tcPr>
            <w:tcW w:w="6018" w:type="dxa"/>
          </w:tcPr>
          <w:p w14:paraId="5B3BE5C9" w14:textId="5FDDD67E" w:rsidR="00A156E6" w:rsidRPr="00F22EF9" w:rsidRDefault="03385EDC" w:rsidP="00075536">
            <w:pPr>
              <w:jc w:val="left"/>
            </w:pPr>
            <w:r>
              <w:t>D/M/YYYY</w:t>
            </w:r>
          </w:p>
        </w:tc>
      </w:tr>
      <w:tr w:rsidR="00BA1290" w:rsidRPr="00F22EF9" w14:paraId="5B3BE5CD" w14:textId="77777777" w:rsidTr="003B0C32">
        <w:tc>
          <w:tcPr>
            <w:tcW w:w="3055" w:type="dxa"/>
          </w:tcPr>
          <w:p w14:paraId="5B3BE5CB" w14:textId="77777777" w:rsidR="00BA1290" w:rsidRPr="00F22EF9" w:rsidRDefault="03385EDC" w:rsidP="00075536">
            <w:pPr>
              <w:jc w:val="left"/>
            </w:pPr>
            <w:r>
              <w:t>Plenārsesija Nr.</w:t>
            </w:r>
          </w:p>
        </w:tc>
        <w:tc>
          <w:tcPr>
            <w:tcW w:w="6018" w:type="dxa"/>
          </w:tcPr>
          <w:p w14:paraId="5B3BE5CC" w14:textId="77777777" w:rsidR="00BA1290" w:rsidRPr="00F22EF9" w:rsidRDefault="03385EDC" w:rsidP="00075536">
            <w:pPr>
              <w:jc w:val="left"/>
            </w:pPr>
            <w:r>
              <w:t>…</w:t>
            </w:r>
          </w:p>
        </w:tc>
      </w:tr>
      <w:tr w:rsidR="00A156E6" w:rsidRPr="00F22EF9" w14:paraId="5B3BE5D0" w14:textId="77777777" w:rsidTr="003B0C32">
        <w:tc>
          <w:tcPr>
            <w:tcW w:w="3055" w:type="dxa"/>
          </w:tcPr>
          <w:p w14:paraId="5B3BE5CE" w14:textId="0ED6183D" w:rsidR="00D423D4" w:rsidRPr="00F22EF9" w:rsidRDefault="03385EDC" w:rsidP="00075536">
            <w:pPr>
              <w:jc w:val="left"/>
            </w:pPr>
            <w:r>
              <w:t>Balsojuma rezultāts (par/pret/atturas)</w:t>
            </w:r>
          </w:p>
        </w:tc>
        <w:tc>
          <w:tcPr>
            <w:tcW w:w="6018" w:type="dxa"/>
            <w:vAlign w:val="bottom"/>
          </w:tcPr>
          <w:p w14:paraId="5B3BE5CF" w14:textId="77777777" w:rsidR="00A156E6" w:rsidRPr="00F22EF9" w:rsidRDefault="03385EDC" w:rsidP="00075536">
            <w:pPr>
              <w:jc w:val="left"/>
            </w:pPr>
            <w:r>
              <w:t>…/…/…</w:t>
            </w:r>
          </w:p>
        </w:tc>
      </w:tr>
    </w:tbl>
    <w:p w14:paraId="5B3BE5D2" w14:textId="77777777" w:rsidR="00646AC2" w:rsidRPr="00F22EF9" w:rsidRDefault="00646AC2" w:rsidP="00075536">
      <w:r>
        <w:br w:type="page"/>
      </w:r>
    </w:p>
    <w:p w14:paraId="5B3BE5D3" w14:textId="337EEDCA" w:rsidR="00011D33" w:rsidRPr="007376CB" w:rsidRDefault="03385EDC" w:rsidP="007376CB">
      <w:pPr>
        <w:pStyle w:val="Heading1"/>
        <w:rPr>
          <w:b/>
          <w:bCs/>
        </w:rPr>
      </w:pPr>
      <w:r w:rsidRPr="007376CB">
        <w:rPr>
          <w:b/>
          <w:bCs/>
        </w:rPr>
        <w:lastRenderedPageBreak/>
        <w:t>Secinājumi un ieteikumi</w:t>
      </w:r>
    </w:p>
    <w:p w14:paraId="078F8BF6" w14:textId="77777777" w:rsidR="003119D8" w:rsidRPr="00F22EF9" w:rsidRDefault="003119D8" w:rsidP="00075536"/>
    <w:p w14:paraId="3A099C00" w14:textId="70D803AF" w:rsidR="00FB1270" w:rsidRPr="00F22EF9" w:rsidRDefault="00FB1270" w:rsidP="007376CB">
      <w:pPr>
        <w:pStyle w:val="Heading2"/>
      </w:pPr>
      <w:r>
        <w:t>EESK uzsver, ka vajadzība mazināt reģionālās un teritoriālās atšķirības joprojām ir viena no ES integrācijas galvenajām prioritātēm un ka tradicionālu, pārbaudītu un efektīvu kohēzijas politikas instrumentu izmantošana ir pareizais ceļš uz ilgtspējīgas labklājības veicināšanu visos ES reģionos.</w:t>
      </w:r>
    </w:p>
    <w:p w14:paraId="1DB280D2" w14:textId="77777777" w:rsidR="00FB1270" w:rsidRPr="00F22EF9" w:rsidRDefault="00FB1270" w:rsidP="00075536">
      <w:pPr>
        <w:pStyle w:val="Heading2"/>
        <w:numPr>
          <w:ilvl w:val="0"/>
          <w:numId w:val="0"/>
        </w:numPr>
        <w:ind w:left="567"/>
      </w:pPr>
    </w:p>
    <w:p w14:paraId="6404C371" w14:textId="21921D6C" w:rsidR="00FB1270" w:rsidRPr="00F22EF9" w:rsidRDefault="00FB1270" w:rsidP="00075536">
      <w:pPr>
        <w:pStyle w:val="Heading2"/>
      </w:pPr>
      <w:r>
        <w:t>EESK iesaka precizēt ERAF un Kohēzijas fonda lomu Valsts un reģionu partnerības fondā (VRPF) ne tikai ar vispārīgu un konkrētu mērķu palīdzību, bet arī to konkrēti izklāstot regulā. EESK atzinīgi vērtētu, ja šajā atzinumā aplūkotais regulas projekts tiktu izstrādāts sīkāk un papildināts vismaz ar pielikumu, kurā sniegtas vadlīnijas par to, kā efektīvi integrēt ERAF un Kohēzijas fondu VRPF.</w:t>
      </w:r>
    </w:p>
    <w:p w14:paraId="25CAA703" w14:textId="77777777" w:rsidR="00FB1270" w:rsidRPr="00F22EF9" w:rsidRDefault="00FB1270" w:rsidP="00075536">
      <w:pPr>
        <w:pStyle w:val="Heading2"/>
        <w:numPr>
          <w:ilvl w:val="0"/>
          <w:numId w:val="0"/>
        </w:numPr>
        <w:ind w:left="567"/>
      </w:pPr>
    </w:p>
    <w:p w14:paraId="6A75D336" w14:textId="7D7F7F1D" w:rsidR="00FB1270" w:rsidRPr="00F22EF9" w:rsidRDefault="00FB1270" w:rsidP="00075536">
      <w:pPr>
        <w:pStyle w:val="Heading2"/>
      </w:pPr>
      <w:r>
        <w:t>EESK uzstāj, ka jaunajiem noteikumiem nevajadzētu mazināt ERAF un Kohēzijas fonda nozīmīgumu un uzdevumus, it īpaši attiecībā uz atbalstu atpaliekošo reģionu attīstībai un rūpniecības rajonu pārveidei. EESK uzsver partnerības principa nozīmi turpmāko programmu izstrādē.</w:t>
      </w:r>
    </w:p>
    <w:p w14:paraId="4534B681" w14:textId="77777777" w:rsidR="00FB1270" w:rsidRPr="00F22EF9" w:rsidRDefault="00FB1270" w:rsidP="00075536">
      <w:pPr>
        <w:pStyle w:val="Heading2"/>
        <w:numPr>
          <w:ilvl w:val="0"/>
          <w:numId w:val="0"/>
        </w:numPr>
        <w:ind w:left="567"/>
      </w:pPr>
    </w:p>
    <w:p w14:paraId="124A3E52" w14:textId="77777777" w:rsidR="00FB1270" w:rsidRPr="00F22EF9" w:rsidRDefault="00FB1270" w:rsidP="00075536">
      <w:pPr>
        <w:pStyle w:val="Heading2"/>
      </w:pPr>
      <w:r>
        <w:t xml:space="preserve">EESK piekrīt turpmākās </w:t>
      </w:r>
      <w:proofErr w:type="spellStart"/>
      <w:r>
        <w:rPr>
          <w:i/>
        </w:rPr>
        <w:t>Interreg</w:t>
      </w:r>
      <w:proofErr w:type="spellEnd"/>
      <w:r>
        <w:t xml:space="preserve"> programmas saturam un tematiskajai koncentrācijai, kā arī tās sinerģijai ar programmu “Eiropa pasaulē” ierosinātajos konkrētajos gadījumos.</w:t>
      </w:r>
    </w:p>
    <w:p w14:paraId="45457FE5" w14:textId="77777777" w:rsidR="00FB1270" w:rsidRPr="00F22EF9" w:rsidRDefault="00FB1270" w:rsidP="00075536">
      <w:pPr>
        <w:pStyle w:val="Heading2"/>
        <w:numPr>
          <w:ilvl w:val="0"/>
          <w:numId w:val="0"/>
        </w:numPr>
        <w:ind w:left="567"/>
      </w:pPr>
    </w:p>
    <w:p w14:paraId="16483F33" w14:textId="744659FD" w:rsidR="00FB1270" w:rsidRPr="00F22EF9" w:rsidRDefault="00FB1270" w:rsidP="00075536">
      <w:pPr>
        <w:pStyle w:val="Heading2"/>
      </w:pPr>
      <w:r>
        <w:t xml:space="preserve">EESK kopumā piekrīt priekšlikuma inovatīvajai pieejai attiecībā uz pašreizējās </w:t>
      </w:r>
      <w:proofErr w:type="spellStart"/>
      <w:r>
        <w:rPr>
          <w:i/>
        </w:rPr>
        <w:t>Interreg</w:t>
      </w:r>
      <w:proofErr w:type="spellEnd"/>
      <w:r>
        <w:t xml:space="preserve"> programmas nākotni, it īpaši runājot par īstenošanas struktūras pieņemšanu </w:t>
      </w:r>
      <w:proofErr w:type="spellStart"/>
      <w:r>
        <w:rPr>
          <w:i/>
        </w:rPr>
        <w:t>Interreg</w:t>
      </w:r>
      <w:proofErr w:type="spellEnd"/>
      <w:r>
        <w:t xml:space="preserve"> plāna atsevišķo nodaļu līmenī.</w:t>
      </w:r>
    </w:p>
    <w:p w14:paraId="6CAD342F" w14:textId="77777777" w:rsidR="00FB1270" w:rsidRPr="00F22EF9" w:rsidRDefault="00FB1270" w:rsidP="00075536">
      <w:pPr>
        <w:pStyle w:val="Heading2"/>
        <w:numPr>
          <w:ilvl w:val="0"/>
          <w:numId w:val="0"/>
        </w:numPr>
        <w:ind w:left="567"/>
      </w:pPr>
    </w:p>
    <w:p w14:paraId="4BB7D2CE" w14:textId="1F3C754C" w:rsidR="00FB1270" w:rsidRPr="00F22EF9" w:rsidRDefault="00FB1270" w:rsidP="00075536">
      <w:pPr>
        <w:pStyle w:val="Heading2"/>
      </w:pPr>
      <w:r>
        <w:t>EESK vērš uzmanību uz risku, ka attiecīgie dalībnieki reģionālā pārrobežu līmenī nevarēs panākt vienošanos, ņemot vērā, ka regulas projekts nav īpaši detalizēts. EESK iesaka tūlīt pēc regulas pieņemšanas pieņemt īstenošanas aktu.</w:t>
      </w:r>
    </w:p>
    <w:p w14:paraId="661EF9AE" w14:textId="77777777" w:rsidR="00FB1270" w:rsidRPr="00F22EF9" w:rsidRDefault="00FB1270" w:rsidP="00075536">
      <w:pPr>
        <w:pStyle w:val="Heading2"/>
        <w:numPr>
          <w:ilvl w:val="0"/>
          <w:numId w:val="0"/>
        </w:numPr>
        <w:ind w:left="567"/>
      </w:pPr>
    </w:p>
    <w:p w14:paraId="4D5D880A" w14:textId="77777777" w:rsidR="00FB1270" w:rsidRPr="00F22EF9" w:rsidRDefault="00FB1270" w:rsidP="00075536">
      <w:pPr>
        <w:pStyle w:val="Heading2"/>
      </w:pPr>
      <w:r>
        <w:t>EESK iesaka nodrošināt, lai interpretācija un fondu īstenošana dalībvalstu līmenī būtu salīdzināma un lai starp dalībvalstīm nebūtu būtisku atšķirību.</w:t>
      </w:r>
    </w:p>
    <w:p w14:paraId="1838BCD4" w14:textId="77777777" w:rsidR="00FB1270" w:rsidRPr="00F22EF9" w:rsidRDefault="00FB1270" w:rsidP="00075536">
      <w:pPr>
        <w:pStyle w:val="Heading2"/>
        <w:numPr>
          <w:ilvl w:val="0"/>
          <w:numId w:val="0"/>
        </w:numPr>
        <w:ind w:left="567"/>
      </w:pPr>
    </w:p>
    <w:p w14:paraId="53B0D8A5" w14:textId="77777777" w:rsidR="00FB1270" w:rsidRPr="00F22EF9" w:rsidRDefault="00FB1270" w:rsidP="00075536">
      <w:pPr>
        <w:pStyle w:val="Heading2"/>
      </w:pPr>
      <w:r>
        <w:t>EESK atbalsta īstenošanas un administratīvo procesu vienkāršošanu nolūkā nodrošināt līdzekļu efektīvāku izmantošanu.</w:t>
      </w:r>
    </w:p>
    <w:p w14:paraId="427424A8" w14:textId="77777777" w:rsidR="00FB1270" w:rsidRPr="00F22EF9" w:rsidRDefault="00FB1270" w:rsidP="00075536">
      <w:pPr>
        <w:pStyle w:val="Heading2"/>
        <w:numPr>
          <w:ilvl w:val="0"/>
          <w:numId w:val="0"/>
        </w:numPr>
        <w:ind w:left="567"/>
      </w:pPr>
    </w:p>
    <w:p w14:paraId="7CAF1E63" w14:textId="7E1508C3" w:rsidR="00FB1270" w:rsidRPr="00F22EF9" w:rsidRDefault="00FB1270" w:rsidP="00075536">
      <w:pPr>
        <w:pStyle w:val="Heading2"/>
      </w:pPr>
      <w:r>
        <w:t xml:space="preserve">EESK atzinīgi vērtē to, ka priekšlikumā regulai par ERAF un Kohēzijas fondu ir paredzēta arī iespēja atbalstīt ilgtspējīgu </w:t>
      </w:r>
      <w:proofErr w:type="spellStart"/>
      <w:r>
        <w:t>pilsētattīstību</w:t>
      </w:r>
      <w:proofErr w:type="spellEnd"/>
      <w:r>
        <w:t xml:space="preserve"> — un šajā satvarā — integrētas </w:t>
      </w:r>
      <w:proofErr w:type="spellStart"/>
      <w:r>
        <w:t>pilsētattīstības</w:t>
      </w:r>
      <w:proofErr w:type="spellEnd"/>
      <w:r>
        <w:t xml:space="preserve"> un teritoriālās attīstības stratēģijas, kas vērstas uz ilgtspējīgu attīstību un risina vides, enerģētikas un klimata problēmas, veicina taisnīgu pārkārtošanos uz tīru, </w:t>
      </w:r>
      <w:proofErr w:type="spellStart"/>
      <w:r>
        <w:t>klimatneitrālu</w:t>
      </w:r>
      <w:proofErr w:type="spellEnd"/>
      <w:r>
        <w:t xml:space="preserve"> un noturīgu ekonomiku, sevišķu uzmanību pievēršot cenas ziņā pieejamu mājokļu un nabadzības jautājumiem</w:t>
      </w:r>
      <w:r w:rsidR="00386B98" w:rsidRPr="00F22EF9">
        <w:rPr>
          <w:rStyle w:val="FootnoteReference"/>
        </w:rPr>
        <w:footnoteReference w:id="1"/>
      </w:r>
      <w:r>
        <w:t>, kultūras mantojumam un digitālo tehnoloģiju potenciāla izmantošanai inovācijas un energoefektivitātes nolūkos, kā arī pilsētu funkcionālo teritoriju attīstības atbalstīšanai un saiknes starp pilsētām un lauku teritorijām veicināšanai.</w:t>
      </w:r>
    </w:p>
    <w:p w14:paraId="6A9258A8" w14:textId="77777777" w:rsidR="00B11D51" w:rsidRPr="00F22EF9" w:rsidRDefault="00B11D51" w:rsidP="00075536">
      <w:pPr>
        <w:pStyle w:val="Heading2"/>
        <w:numPr>
          <w:ilvl w:val="0"/>
          <w:numId w:val="0"/>
        </w:numPr>
        <w:ind w:left="567"/>
      </w:pPr>
    </w:p>
    <w:p w14:paraId="24228316" w14:textId="6AD1F302" w:rsidR="003119D8" w:rsidRPr="00F22EF9" w:rsidRDefault="003119D8" w:rsidP="0061208D">
      <w:pPr>
        <w:pStyle w:val="Heading1"/>
        <w:keepNext/>
        <w:keepLines/>
        <w:rPr>
          <w:b/>
          <w:bCs/>
        </w:rPr>
      </w:pPr>
      <w:r>
        <w:rPr>
          <w:b/>
        </w:rPr>
        <w:lastRenderedPageBreak/>
        <w:t>Eiropas Komisijas priekšlikums un konteksts</w:t>
      </w:r>
    </w:p>
    <w:p w14:paraId="2661A32C" w14:textId="77777777" w:rsidR="00FB1270" w:rsidRPr="00F22EF9" w:rsidRDefault="00FB1270" w:rsidP="0061208D">
      <w:pPr>
        <w:keepNext/>
        <w:keepLines/>
      </w:pPr>
    </w:p>
    <w:p w14:paraId="5D85E06E" w14:textId="2029CD38" w:rsidR="00FB1270" w:rsidRPr="00F22EF9" w:rsidRDefault="00FB1270" w:rsidP="00075536">
      <w:pPr>
        <w:pStyle w:val="Heading2"/>
      </w:pPr>
      <w:r>
        <w:t>Kā liecina šajā atzinumā aplūkotā leģislatīvā dokumenta nosaukums, Eiropas Reģionālās attīstības fonds (ERAF) un Kohēzijas fonds ir paredzēti kā daļa no īstenošanas struktūras, ko aptver valsts un reģionu partnerības plāni (VRPP) katras dalībvalsts līmenī, kā noteikts Eiropas Komisijas priekšlikumā par nākamo daudzgadu finanšu shēmu (DFS) 2028.–2034. gadam. Tādējādi ERAF un Kohēzijas fonds faktiski ir Eiropas Ekonomiskās, sociālās un teritoriālās kohēzijas, lauksaimniecības un lauku, zivsaimniecības un jūras, labklājības un drošības fonda (Valsts un reģionu partnerības fonda — VRPF) apakšstruktūra. VRPF regulā ir skaidri norādīts, ka tās saturs ir saderīgs ar ERAF un Kohēzijas fonda regulu, un šajā kontekstā ir vēlams abus dokumentus skatīt kopā.</w:t>
      </w:r>
    </w:p>
    <w:p w14:paraId="73FFD079" w14:textId="77777777" w:rsidR="00FB1270" w:rsidRPr="00F22EF9" w:rsidRDefault="00FB1270" w:rsidP="00075536">
      <w:pPr>
        <w:pStyle w:val="Heading2"/>
        <w:numPr>
          <w:ilvl w:val="0"/>
          <w:numId w:val="0"/>
        </w:numPr>
        <w:ind w:left="567"/>
      </w:pPr>
    </w:p>
    <w:p w14:paraId="37ED9D1B" w14:textId="1F93B426" w:rsidR="00FB1270" w:rsidRPr="00F22EF9" w:rsidRDefault="00FB1270" w:rsidP="00075536">
      <w:pPr>
        <w:pStyle w:val="Heading2"/>
      </w:pPr>
      <w:r>
        <w:t>Tieši ar VRPF regulas vispārīgajiem un konkrētajiem mērķiem tiek regulētas ERAF un Kohēzijas fonda galvenās uzmanības jomas, galvenokārt tiecoties mazināt reģionālās atšķirības ES un vismazāk attīstīto reģionu atpalicību (vispārējais mērķis). Turklāt tajā, piemēram, ir sīkāk noteikts atbalsts ilgtspējīgai labklājībai visos ES reģionos (arī integrētai pilsētu un lauku attīstībai, konkurētspējas stiprināšanai stratēģiski svarīgās nozarēs, taisnīgas pārkārtošanās procesam un svarīgai infrastruktūrai) un atbalsts ES aizsardzības spējām un drošībai reģionālā līmenī.</w:t>
      </w:r>
    </w:p>
    <w:p w14:paraId="31B0E4E8" w14:textId="77777777" w:rsidR="00FB1270" w:rsidRPr="00F22EF9" w:rsidRDefault="00FB1270" w:rsidP="00075536">
      <w:pPr>
        <w:pStyle w:val="Heading2"/>
        <w:numPr>
          <w:ilvl w:val="0"/>
          <w:numId w:val="0"/>
        </w:numPr>
        <w:ind w:left="567"/>
      </w:pPr>
    </w:p>
    <w:p w14:paraId="6A4A78C9" w14:textId="49F73C0A" w:rsidR="00FB1270" w:rsidRPr="00F22EF9" w:rsidRDefault="00FB1270" w:rsidP="00075536">
      <w:pPr>
        <w:pStyle w:val="Heading2"/>
      </w:pPr>
      <w:r>
        <w:t>Tādējādi ERAF un Kohēzijas fonds galvenokārt ir pakļauti kopīgajiem noteikumiem, kas definēti Kopīgo noteikumu regulā (KNR), savukārt KNR tekstā nav nekādu citu īpašu norāžu attiecībā uz ERAF un Kohēzijas fondu, kā arī citiem fondiem, uz kuriem tā attiecas.</w:t>
      </w:r>
    </w:p>
    <w:p w14:paraId="4608B56C" w14:textId="77777777" w:rsidR="00FB1270" w:rsidRPr="00F22EF9" w:rsidRDefault="00FB1270" w:rsidP="00075536">
      <w:pPr>
        <w:pStyle w:val="Heading2"/>
        <w:numPr>
          <w:ilvl w:val="0"/>
          <w:numId w:val="0"/>
        </w:numPr>
        <w:ind w:left="567"/>
      </w:pPr>
    </w:p>
    <w:p w14:paraId="5724DA7B" w14:textId="25AF3FD7" w:rsidR="00FB1270" w:rsidRPr="00F22EF9" w:rsidRDefault="00FB1270" w:rsidP="00075536">
      <w:pPr>
        <w:pStyle w:val="Heading2"/>
      </w:pPr>
      <w:r>
        <w:t>Izņēmums no iepriekšējos punktos sniegtā apraksta ir Eiropas teritoriālās sadarbības programma (</w:t>
      </w:r>
      <w:proofErr w:type="spellStart"/>
      <w:r>
        <w:rPr>
          <w:i/>
        </w:rPr>
        <w:t>Interreg</w:t>
      </w:r>
      <w:proofErr w:type="spellEnd"/>
      <w:r>
        <w:t xml:space="preserve">), kas tika ierosināta ārpus VRPP sistēmas un kurai turpmākajā finanšu perspektīvā ir piešķirts atsevišķs finansējums 10,3 miljardu EUR apmērā pārrobežu, </w:t>
      </w:r>
      <w:proofErr w:type="spellStart"/>
      <w:r>
        <w:t>starpreģionālu</w:t>
      </w:r>
      <w:proofErr w:type="spellEnd"/>
      <w:r>
        <w:t xml:space="preserve"> un transnacionālu projektu un tālāko reģionu sadarbības vajadzībām.</w:t>
      </w:r>
    </w:p>
    <w:p w14:paraId="3BDE9041" w14:textId="77777777" w:rsidR="00FB1270" w:rsidRPr="00F22EF9" w:rsidRDefault="00FB1270" w:rsidP="00075536">
      <w:pPr>
        <w:pStyle w:val="Heading2"/>
        <w:numPr>
          <w:ilvl w:val="0"/>
          <w:numId w:val="0"/>
        </w:numPr>
        <w:ind w:left="567"/>
      </w:pPr>
    </w:p>
    <w:p w14:paraId="6450D2D8" w14:textId="77777777" w:rsidR="00FB1270" w:rsidRPr="00F22EF9" w:rsidRDefault="00FB1270" w:rsidP="00075536">
      <w:pPr>
        <w:pStyle w:val="Heading2"/>
      </w:pPr>
      <w:proofErr w:type="spellStart"/>
      <w:r>
        <w:rPr>
          <w:i/>
        </w:rPr>
        <w:t>Interreg</w:t>
      </w:r>
      <w:proofErr w:type="spellEnd"/>
      <w:r>
        <w:t xml:space="preserve"> plāns ir ierosināts kā </w:t>
      </w:r>
      <w:proofErr w:type="spellStart"/>
      <w:r>
        <w:rPr>
          <w:i/>
        </w:rPr>
        <w:t>Interreg</w:t>
      </w:r>
      <w:proofErr w:type="spellEnd"/>
      <w:r>
        <w:t xml:space="preserve"> programmas pārvaldības instruments. Ierosinātajā likumdošanas standartā ir definētas </w:t>
      </w:r>
      <w:proofErr w:type="spellStart"/>
      <w:r>
        <w:rPr>
          <w:i/>
        </w:rPr>
        <w:t>Interreg</w:t>
      </w:r>
      <w:proofErr w:type="spellEnd"/>
      <w:r>
        <w:t xml:space="preserve"> plāna prasības, un tas ir sadalīts nodaļās. Katra nodaļa atspoguļo sadarbības regulējumu noteiktā ģeogrāfiskā apgabalā un ir </w:t>
      </w:r>
      <w:proofErr w:type="spellStart"/>
      <w:r>
        <w:rPr>
          <w:i/>
        </w:rPr>
        <w:t>Interreg</w:t>
      </w:r>
      <w:proofErr w:type="spellEnd"/>
      <w:r>
        <w:t xml:space="preserve"> plāna pamatvienība; tam ir jāatbilst noteiktajām prasībām, un tas ir programmas īstenošanas un pārvaldības pamatā, vadošajām iestādēm darbojoties atsevišķu nodaļu līmenī.</w:t>
      </w:r>
    </w:p>
    <w:p w14:paraId="0BB5A261" w14:textId="77777777" w:rsidR="00FB1270" w:rsidRPr="00F22EF9" w:rsidRDefault="00FB1270" w:rsidP="00075536">
      <w:pPr>
        <w:pStyle w:val="Heading2"/>
        <w:numPr>
          <w:ilvl w:val="0"/>
          <w:numId w:val="0"/>
        </w:numPr>
        <w:ind w:left="567"/>
      </w:pPr>
    </w:p>
    <w:p w14:paraId="52232B05" w14:textId="77777777" w:rsidR="00FB1270" w:rsidRPr="00F22EF9" w:rsidRDefault="00FB1270" w:rsidP="00075536">
      <w:pPr>
        <w:pStyle w:val="Heading2"/>
      </w:pPr>
      <w:proofErr w:type="spellStart"/>
      <w:r>
        <w:rPr>
          <w:i/>
        </w:rPr>
        <w:t>Interreg</w:t>
      </w:r>
      <w:proofErr w:type="spellEnd"/>
      <w:r>
        <w:t xml:space="preserve"> programmas darbības jomu nosaka vajadzība nodrošināt sadarbību starp </w:t>
      </w:r>
      <w:proofErr w:type="spellStart"/>
      <w:r>
        <w:t>blakusreģioniem</w:t>
      </w:r>
      <w:proofErr w:type="spellEnd"/>
      <w:r>
        <w:t xml:space="preserve">, sadarbību plašākās transnacionālās teritorijās (piemēram, </w:t>
      </w:r>
      <w:proofErr w:type="spellStart"/>
      <w:r>
        <w:t>makroreģionālās</w:t>
      </w:r>
      <w:proofErr w:type="spellEnd"/>
      <w:r>
        <w:t xml:space="preserve"> stratēģijas, lai gan regulas projektā šis termins netiek lietots), sadarbību nolūkā palielināt kohēzijas politikas efektivitāti – veicinot pieredzes apmaiņu, inovatīvas pieejas un spēju veidošanu– , vai sadarbību starp tālākajiem reģioniem un </w:t>
      </w:r>
      <w:proofErr w:type="spellStart"/>
      <w:r>
        <w:t>blakusteritorijām</w:t>
      </w:r>
      <w:proofErr w:type="spellEnd"/>
      <w:r>
        <w:t xml:space="preserve"> sinerģijā ar programmu “Eiropa pasaulē”.</w:t>
      </w:r>
    </w:p>
    <w:p w14:paraId="2A36391B" w14:textId="77777777" w:rsidR="00FB1270" w:rsidRPr="00F22EF9" w:rsidRDefault="00FB1270" w:rsidP="00075536">
      <w:pPr>
        <w:pStyle w:val="Heading2"/>
        <w:numPr>
          <w:ilvl w:val="0"/>
          <w:numId w:val="0"/>
        </w:numPr>
      </w:pPr>
    </w:p>
    <w:p w14:paraId="7D3995EC" w14:textId="568AF8AE" w:rsidR="00FB1270" w:rsidRPr="00F22EF9" w:rsidRDefault="00FB1270" w:rsidP="00075536">
      <w:pPr>
        <w:pStyle w:val="Heading2"/>
      </w:pPr>
      <w:r>
        <w:t>Tematiskā ziņā visi konkrētie mērķi, kas atbilst ERAF jomai, kā definēts KNR (</w:t>
      </w:r>
      <w:proofErr w:type="spellStart"/>
      <w:r>
        <w:t>starpreģionālo</w:t>
      </w:r>
      <w:proofErr w:type="spellEnd"/>
      <w:r>
        <w:t xml:space="preserve"> atšķirību mazināšana), ir attiecināmi uz </w:t>
      </w:r>
      <w:proofErr w:type="spellStart"/>
      <w:r>
        <w:rPr>
          <w:i/>
        </w:rPr>
        <w:t>Interreg</w:t>
      </w:r>
      <w:proofErr w:type="spellEnd"/>
      <w:r>
        <w:t xml:space="preserve"> programmu. Turklāt ar ERAF un Kohēzijas fonda regulu arī pievienoti konkrēti mērķi </w:t>
      </w:r>
      <w:proofErr w:type="spellStart"/>
      <w:r>
        <w:rPr>
          <w:i/>
        </w:rPr>
        <w:t>Interreg</w:t>
      </w:r>
      <w:proofErr w:type="spellEnd"/>
      <w:r>
        <w:t xml:space="preserve"> programmai būtiskās sociālajās jomās (KNR konkrētais mērķis Nr. 3: Sociālās kohēzijas stiprināšana, atbalstot cilvēkus un stiprinot kopienas </w:t>
      </w:r>
      <w:r>
        <w:lastRenderedPageBreak/>
        <w:t xml:space="preserve">ES un ES sociālo modeli). </w:t>
      </w:r>
      <w:proofErr w:type="spellStart"/>
      <w:r>
        <w:rPr>
          <w:i/>
        </w:rPr>
        <w:t>Interreg</w:t>
      </w:r>
      <w:proofErr w:type="spellEnd"/>
      <w:r>
        <w:t xml:space="preserve"> darbības jomā būtu jāiekļauj arī demokrātijas aizsardzība un stiprināšana, kā arī ES vērtību veicināšana (KNR konkrētais mērķis Nr. 5).</w:t>
      </w:r>
    </w:p>
    <w:p w14:paraId="25398C20" w14:textId="77777777" w:rsidR="00FB1270" w:rsidRPr="00F22EF9" w:rsidRDefault="00FB1270" w:rsidP="00075536">
      <w:pPr>
        <w:pStyle w:val="Heading2"/>
        <w:numPr>
          <w:ilvl w:val="0"/>
          <w:numId w:val="0"/>
        </w:numPr>
        <w:ind w:left="567"/>
      </w:pPr>
    </w:p>
    <w:p w14:paraId="2BC1782D" w14:textId="77777777" w:rsidR="00FB1270" w:rsidRPr="00F22EF9" w:rsidRDefault="00FB1270" w:rsidP="00075536">
      <w:pPr>
        <w:pStyle w:val="Heading2"/>
      </w:pPr>
      <w:r>
        <w:t xml:space="preserve">ERAF un Kohēzijas fonda regulā arī ierosināts jauns mehānisms sinerģijai starp </w:t>
      </w:r>
      <w:proofErr w:type="spellStart"/>
      <w:r>
        <w:rPr>
          <w:i/>
        </w:rPr>
        <w:t>Interreg</w:t>
      </w:r>
      <w:proofErr w:type="spellEnd"/>
      <w:r>
        <w:t xml:space="preserve"> darbībām attālās teritorijās un programmu “Eiropa pasaulē”, orientējoties uz </w:t>
      </w:r>
      <w:proofErr w:type="spellStart"/>
      <w:r>
        <w:rPr>
          <w:i/>
        </w:rPr>
        <w:t>Interreg</w:t>
      </w:r>
      <w:proofErr w:type="spellEnd"/>
      <w:r>
        <w:t xml:space="preserve"> programmas vajadzībām.</w:t>
      </w:r>
    </w:p>
    <w:p w14:paraId="0E37E1C9" w14:textId="77777777" w:rsidR="00FB1270" w:rsidRPr="00F22EF9" w:rsidRDefault="00FB1270" w:rsidP="00075536">
      <w:pPr>
        <w:pStyle w:val="Heading2"/>
        <w:numPr>
          <w:ilvl w:val="0"/>
          <w:numId w:val="0"/>
        </w:numPr>
      </w:pPr>
    </w:p>
    <w:p w14:paraId="10DD9019" w14:textId="77777777" w:rsidR="00FB1270" w:rsidRPr="00F22EF9" w:rsidRDefault="00FB1270" w:rsidP="00075536">
      <w:pPr>
        <w:pStyle w:val="Heading2"/>
      </w:pPr>
      <w:r>
        <w:t>ERAF un Kohēzijas fonda regulā ir arī norādīta vajadzība novirzīt abu fondu līdzekļus pasākumiem, kas atbalsta nākamo paaudžu ilgtspējīgu attīstību (vēršoties pie jauniešiem visu veidu teritorijās un nelabvēlīgā situācijā esošos apgabalos).</w:t>
      </w:r>
    </w:p>
    <w:p w14:paraId="1EEDCBC7" w14:textId="77777777" w:rsidR="00FB1270" w:rsidRPr="00F22EF9" w:rsidRDefault="00FB1270" w:rsidP="00075536">
      <w:pPr>
        <w:pStyle w:val="Heading2"/>
        <w:numPr>
          <w:ilvl w:val="0"/>
          <w:numId w:val="0"/>
        </w:numPr>
        <w:ind w:left="567"/>
      </w:pPr>
    </w:p>
    <w:p w14:paraId="23AF49B7" w14:textId="77777777" w:rsidR="00FB1270" w:rsidRPr="00F22EF9" w:rsidRDefault="00FB1270" w:rsidP="00075536">
      <w:pPr>
        <w:pStyle w:val="Heading2"/>
      </w:pPr>
      <w:r>
        <w:t>Visbeidzot projekti, kas vērsti uz lauku apvidiem, apgabaliem, kurus skar rūpniecības pārmaiņas, reģioniem, kuros dabas vai demogrāfiskie apstākļi rada būtiski un pastāvīgi nelabvēlīgus nosacījumus, un tālākajiem reģioniem, arī ir veids, kā mazināt reģionālās un teritoriālās atšķirības. Priekšlikumā noteikts, ka nelabvēlīgā situācijā esoši apgabali ir arī teritorijas, kas robežojas ar Krieviju, Baltkrieviju un Ukrainu.</w:t>
      </w:r>
    </w:p>
    <w:p w14:paraId="4881A6F0" w14:textId="77777777" w:rsidR="00FB1270" w:rsidRPr="00F22EF9" w:rsidRDefault="00FB1270" w:rsidP="00075536"/>
    <w:p w14:paraId="5B3BE5DB" w14:textId="24BB4ECC" w:rsidR="00011D33" w:rsidRPr="00F22EF9" w:rsidRDefault="03385EDC" w:rsidP="0061208D">
      <w:pPr>
        <w:pStyle w:val="Heading1"/>
        <w:keepNext/>
        <w:keepLines/>
        <w:rPr>
          <w:b/>
          <w:bCs/>
        </w:rPr>
      </w:pPr>
      <w:r>
        <w:rPr>
          <w:b/>
        </w:rPr>
        <w:t>Vispārīgas piezīmes</w:t>
      </w:r>
    </w:p>
    <w:p w14:paraId="5B3BE5DC" w14:textId="77777777" w:rsidR="00011D33" w:rsidRPr="00F22EF9" w:rsidRDefault="00011D33" w:rsidP="0061208D">
      <w:pPr>
        <w:keepNext/>
        <w:keepLines/>
      </w:pPr>
    </w:p>
    <w:p w14:paraId="17B44919" w14:textId="552EE4CD" w:rsidR="00FB1270" w:rsidRPr="00F22EF9" w:rsidRDefault="00FB1270" w:rsidP="00075536">
      <w:pPr>
        <w:pStyle w:val="Heading2"/>
      </w:pPr>
      <w:r>
        <w:t>EESK piekrīt viedoklim, ka vajadzība mazināt reģionālās un teritoriālās atšķirības un nevienlīdzību joprojām ir viena no ES integrācijas galvenajām prioritātēm, neraugoties uz relatīvi pārliecinošo progresu, kas panākts, it īpaši vismazāk attīstīto dalībvalstu, to teritoriju un reģionu gadījumā. Vienlaikus uz šā mērķa sasniegšanu vērstās politikas jomas joprojām atbilst ES pievienotās vērtības kritērijam.</w:t>
      </w:r>
    </w:p>
    <w:p w14:paraId="7A650591" w14:textId="77777777" w:rsidR="00FB1270" w:rsidRPr="00F22EF9" w:rsidRDefault="00FB1270" w:rsidP="00075536">
      <w:pPr>
        <w:pStyle w:val="Heading2"/>
        <w:numPr>
          <w:ilvl w:val="0"/>
          <w:numId w:val="0"/>
        </w:numPr>
        <w:ind w:left="567"/>
      </w:pPr>
    </w:p>
    <w:p w14:paraId="10938271" w14:textId="4817BBD8" w:rsidR="00FB1270" w:rsidRPr="00F22EF9" w:rsidRDefault="00FB1270" w:rsidP="00075536">
      <w:pPr>
        <w:pStyle w:val="Heading2"/>
      </w:pPr>
      <w:r>
        <w:t>EESK saprot VRPP koncepcijas pamatojumu; tomēr tā uzskata, ka VRPF regulā būtu daudz skaidrāk jādefinē ERAF un Kohēzijas fonda darbības jomas robežas — ar to saskaņošanu ar vispārējiem un konkrētajiem mērķiem vien nepietiek. Vienlaikus EESK saprot, ka galīgā izvēle par pasākumiem, ko atbalsta ERAF un Kohēzijas fonds, joprojām būs dalībvalstu ziņā un tiks veikta, pamatojoties uz vienprātīgu diskusiju ar teritoriju un nozaru ieinteresētajām personām.</w:t>
      </w:r>
    </w:p>
    <w:p w14:paraId="05FFD8C9" w14:textId="77777777" w:rsidR="00FB1270" w:rsidRPr="00F22EF9" w:rsidRDefault="00FB1270" w:rsidP="00075536">
      <w:pPr>
        <w:pStyle w:val="Heading2"/>
        <w:numPr>
          <w:ilvl w:val="0"/>
          <w:numId w:val="0"/>
        </w:numPr>
        <w:ind w:left="567"/>
      </w:pPr>
    </w:p>
    <w:p w14:paraId="432C3F2E" w14:textId="2C730A85" w:rsidR="00FB1270" w:rsidRPr="00F22EF9" w:rsidRDefault="00FB1270" w:rsidP="00075536">
      <w:pPr>
        <w:pStyle w:val="Heading2"/>
      </w:pPr>
      <w:r>
        <w:t xml:space="preserve">EESK arī kopumā piekrīt priekšlikuma inovatīvajai pieejai attiecībā uz pašreizējās </w:t>
      </w:r>
      <w:proofErr w:type="spellStart"/>
      <w:r>
        <w:rPr>
          <w:i/>
        </w:rPr>
        <w:t>Interreg</w:t>
      </w:r>
      <w:proofErr w:type="spellEnd"/>
      <w:r>
        <w:t xml:space="preserve"> programmas nākotni, it īpaši runājot par īstenošanas struktūras pieņemšanu </w:t>
      </w:r>
      <w:proofErr w:type="spellStart"/>
      <w:r>
        <w:rPr>
          <w:i/>
        </w:rPr>
        <w:t>Interreg</w:t>
      </w:r>
      <w:proofErr w:type="spellEnd"/>
      <w:r>
        <w:t xml:space="preserve"> plāna atsevišķo nodaļu līmenī. Tāpēc EESK vērš uzmanību uz risku, ka attiecīgie dalībnieki reģionālā pārrobežu līmenī nespēs panākt vienošanos un nespēs pielāgoties jaunajiem noteikumiem, kas var radīt kavēšanos </w:t>
      </w:r>
      <w:proofErr w:type="spellStart"/>
      <w:r>
        <w:rPr>
          <w:i/>
        </w:rPr>
        <w:t>Interreg</w:t>
      </w:r>
      <w:proofErr w:type="spellEnd"/>
      <w:r>
        <w:t xml:space="preserve"> programmas īstenošanā praksē.</w:t>
      </w:r>
    </w:p>
    <w:p w14:paraId="7A3B3002" w14:textId="77777777" w:rsidR="00386B98" w:rsidRPr="00F22EF9" w:rsidRDefault="00386B98" w:rsidP="00075536"/>
    <w:p w14:paraId="245F5B95" w14:textId="70E671B3" w:rsidR="00386B98" w:rsidRPr="00F22EF9" w:rsidRDefault="00386B98" w:rsidP="005271DB">
      <w:pPr>
        <w:pStyle w:val="Heading2"/>
      </w:pPr>
      <w:r>
        <w:t xml:space="preserve">Komiteja atzinīgi vērtē </w:t>
      </w:r>
      <w:r>
        <w:rPr>
          <w:i/>
        </w:rPr>
        <w:t>ESPON</w:t>
      </w:r>
      <w:r>
        <w:t xml:space="preserve"> sniegto analītisko un informatīvo atbalstu plānošanas posmā, jo tas deva iespēju izmantot vienotu rādītāju kopumu, kas nodrošina saskaņotu pamatu turpmākai sociālekonomiskajai analīzei katrā teritorijā.</w:t>
      </w:r>
    </w:p>
    <w:p w14:paraId="1380AF57" w14:textId="77777777" w:rsidR="00FB1270" w:rsidRPr="00F22EF9" w:rsidRDefault="00FB1270" w:rsidP="00075536">
      <w:pPr>
        <w:pStyle w:val="Heading2"/>
        <w:numPr>
          <w:ilvl w:val="0"/>
          <w:numId w:val="0"/>
        </w:numPr>
        <w:ind w:left="567"/>
      </w:pPr>
    </w:p>
    <w:p w14:paraId="4AD35819" w14:textId="77777777" w:rsidR="00FB1270" w:rsidRPr="00F22EF9" w:rsidRDefault="00FB1270" w:rsidP="00075536">
      <w:pPr>
        <w:pStyle w:val="Heading2"/>
      </w:pPr>
      <w:r>
        <w:t xml:space="preserve">EESK piekrīt arī turpmākās </w:t>
      </w:r>
      <w:proofErr w:type="spellStart"/>
      <w:r>
        <w:rPr>
          <w:i/>
        </w:rPr>
        <w:t>Interreg</w:t>
      </w:r>
      <w:proofErr w:type="spellEnd"/>
      <w:r>
        <w:t xml:space="preserve"> programmas saturam un tematiskajam mērķim, kā arī tās sinerģijai ar programmu “Eiropa pasaulē” ierosinātajos konkrētajos gadījumos.</w:t>
      </w:r>
    </w:p>
    <w:p w14:paraId="28E79977" w14:textId="77777777" w:rsidR="00FB1270" w:rsidRPr="00F22EF9" w:rsidRDefault="00FB1270" w:rsidP="00075536">
      <w:pPr>
        <w:pStyle w:val="Heading2"/>
        <w:numPr>
          <w:ilvl w:val="0"/>
          <w:numId w:val="0"/>
        </w:numPr>
        <w:ind w:left="567"/>
      </w:pPr>
    </w:p>
    <w:p w14:paraId="57F730A9" w14:textId="034FB81D" w:rsidR="00FB1270" w:rsidRPr="00F22EF9" w:rsidRDefault="00FB1270" w:rsidP="00075536">
      <w:pPr>
        <w:pStyle w:val="Heading2"/>
      </w:pPr>
      <w:r>
        <w:t xml:space="preserve">EESK norāda uz savu nostāju, ka turpmākajā VRPF nav pietiekami labi definēta ERAF un Kohēzijas fonda loma. Faktiskais priekšlikums par ERAF un Kohēzijas fondu tikai ļoti nedaudz </w:t>
      </w:r>
      <w:r>
        <w:lastRenderedPageBreak/>
        <w:t>skar abu fondu galvenās izmantošanas jomas un galvenokārt attiecas uz VRPF regulas priekšlikuma tekstu. VRPF regulas priekšlikumā regulētas abu fondu darbības jomas, izmantojot tikai vispārējiem un konkrētiem mērķiem atbilstošu tematisku jomu sarakstu, un Eiropas Komisija šeit galveno lomu pārcēlusi uz dalībvalstu līmeni. Tādēļ pastāv risks, ka interpretācijas dalībvalstu līmenī atšķirsies un ka abu fondu intervences tādā gadījumā nebūs salīdzināmas. Vēl viens risks varētu būt kavēšanās VRPF ieviešanā, jo būs grūti piešķirt konkrētas tematiskās jomas atsevišķiem fondiem.</w:t>
      </w:r>
    </w:p>
    <w:p w14:paraId="4112B9B5" w14:textId="77777777" w:rsidR="00FB1270" w:rsidRPr="00F22EF9" w:rsidRDefault="00FB1270" w:rsidP="00075536">
      <w:pPr>
        <w:pStyle w:val="Heading2"/>
        <w:numPr>
          <w:ilvl w:val="0"/>
          <w:numId w:val="0"/>
        </w:numPr>
        <w:ind w:left="567"/>
      </w:pPr>
    </w:p>
    <w:p w14:paraId="066B2754" w14:textId="77777777" w:rsidR="00FB1270" w:rsidRPr="00F22EF9" w:rsidRDefault="00FB1270" w:rsidP="00075536">
      <w:pPr>
        <w:pStyle w:val="Heading2"/>
      </w:pPr>
      <w:r>
        <w:t>Vienlaikus EESK atzinīgi vērtē to, ka, neraugoties uz relatīvi ievērojamo valstīm garantētā finansējuma apjoma samazinājumu, joprojām tiek uzsvērta vajadzība turpināt izmantot tradicionālos kohēzijas politikas instrumentus — ERAF un Kohēzijas fondu. EESK arī atzinīgi vērtē to, ka priekšlikumā joprojām ir iekļauti daži jaunie kohēzijas politikas elementi laikposmā no 2021. līdz 2027. gadam, piemēram, taisnīgas pārkārtošanās process, lai gan bez šim nolūkam paredzēta īpaša fonda atbalsta.</w:t>
      </w:r>
    </w:p>
    <w:p w14:paraId="57D07B6F" w14:textId="77777777" w:rsidR="00FB1270" w:rsidRPr="00F22EF9" w:rsidRDefault="00FB1270" w:rsidP="00075536">
      <w:pPr>
        <w:pStyle w:val="Heading2"/>
        <w:numPr>
          <w:ilvl w:val="0"/>
          <w:numId w:val="0"/>
        </w:numPr>
        <w:ind w:left="567"/>
      </w:pPr>
    </w:p>
    <w:p w14:paraId="741C3AD2" w14:textId="77777777" w:rsidR="00FB1270" w:rsidRPr="00F22EF9" w:rsidRDefault="00FB1270" w:rsidP="00075536">
      <w:pPr>
        <w:pStyle w:val="Heading2"/>
      </w:pPr>
      <w:r>
        <w:t>EESK ņem vērā to, ka jaunā pieeja, kurā konkrētu mērķu izvēle daudz vairāk nekā iepriekš būs dalībvalstu ziņā, pavērs iespējas izmantot līdz šim neizmantotas sinerģijas starp politikas jomām un programmām.</w:t>
      </w:r>
    </w:p>
    <w:p w14:paraId="7A0980E6" w14:textId="77777777" w:rsidR="00FB1270" w:rsidRPr="00F22EF9" w:rsidRDefault="00FB1270" w:rsidP="00075536">
      <w:pPr>
        <w:pStyle w:val="Heading2"/>
        <w:numPr>
          <w:ilvl w:val="0"/>
          <w:numId w:val="0"/>
        </w:numPr>
        <w:ind w:left="567"/>
      </w:pPr>
    </w:p>
    <w:p w14:paraId="59A2E613" w14:textId="54676BF4" w:rsidR="00FB1270" w:rsidRPr="00F22EF9" w:rsidRDefault="00FB1270" w:rsidP="00075536">
      <w:pPr>
        <w:pStyle w:val="Heading2"/>
      </w:pPr>
      <w:r>
        <w:t>EESK cer, ka jaunā kārtība nemazinās divu tradicionālo kohēzijas politikas fondu (ERAF un Kohēzijas fonda) nozīmīgumu un misiju. ERAF arī turpmāk būtu jāpilda tā neaizstājamā loma reģionu, it īpaši atpaliekošo reģionu, attīstībā un strukturālajās pārmaiņās, kā arī to rūpniecības rajonu pārveidē, kuriem draud lejupslīde vai kuri saskaras ar lejupslīdi, tādējādi palīdzot novērst būtiskas reģionālās atšķirības ES. Vienlaikus nevar būt šaubu par Kohēzijas fonda lietderību atbalsta sniegšanā projektiem vides, pielāgošanās klimata pārmaiņām un transporta infrastruktūras attīstības jomā, it īpaši Eiropas transporta tīklu (</w:t>
      </w:r>
      <w:r>
        <w:rPr>
          <w:i/>
        </w:rPr>
        <w:t>TEN-T</w:t>
      </w:r>
      <w:r>
        <w:t>) ietvaros.</w:t>
      </w:r>
    </w:p>
    <w:p w14:paraId="59613DBE" w14:textId="77777777" w:rsidR="00FB1270" w:rsidRPr="00F22EF9" w:rsidRDefault="00FB1270" w:rsidP="00075536">
      <w:pPr>
        <w:pStyle w:val="Heading2"/>
        <w:numPr>
          <w:ilvl w:val="0"/>
          <w:numId w:val="0"/>
        </w:numPr>
        <w:ind w:left="567"/>
      </w:pPr>
    </w:p>
    <w:p w14:paraId="028A8FDF" w14:textId="77777777" w:rsidR="00FB1270" w:rsidRPr="00F22EF9" w:rsidRDefault="00FB1270" w:rsidP="00075536">
      <w:pPr>
        <w:pStyle w:val="Heading2"/>
      </w:pPr>
      <w:r>
        <w:t xml:space="preserve">EESK atzinīgi vērtē to, ka veiktie </w:t>
      </w:r>
      <w:proofErr w:type="spellStart"/>
      <w:r>
        <w:rPr>
          <w:i/>
        </w:rPr>
        <w:t>ex</w:t>
      </w:r>
      <w:proofErr w:type="spellEnd"/>
      <w:r>
        <w:rPr>
          <w:i/>
        </w:rPr>
        <w:t> post</w:t>
      </w:r>
      <w:r>
        <w:t xml:space="preserve"> novērtējumi ir apliecinājuši ERAF un Kohēzijas fonda turpmākās pastāvēšanas leģitimitāti nākotnē. Pozitīvi jāvērtē arī centieni vienkāršot ieviešanas un administratīvos procesus.</w:t>
      </w:r>
    </w:p>
    <w:p w14:paraId="18BE1C6E" w14:textId="77777777" w:rsidR="00FB1270" w:rsidRPr="00F22EF9" w:rsidRDefault="00FB1270" w:rsidP="00075536">
      <w:pPr>
        <w:pStyle w:val="Heading2"/>
        <w:numPr>
          <w:ilvl w:val="0"/>
          <w:numId w:val="0"/>
        </w:numPr>
        <w:ind w:left="567"/>
      </w:pPr>
    </w:p>
    <w:p w14:paraId="50556734" w14:textId="1EA54F1A" w:rsidR="00FB1270" w:rsidRPr="00F22EF9" w:rsidRDefault="00FB1270" w:rsidP="00075536">
      <w:pPr>
        <w:pStyle w:val="Heading2"/>
      </w:pPr>
      <w:r>
        <w:t xml:space="preserve">EESK atzinīgi vērtē to, ka priekšlikumā regulai par ERAF un Kohēzijas fondu ir paredzēta arī iespēja atbalstīt ilgtspējīgu </w:t>
      </w:r>
      <w:proofErr w:type="spellStart"/>
      <w:r>
        <w:t>pilsētattīstību</w:t>
      </w:r>
      <w:proofErr w:type="spellEnd"/>
      <w:r>
        <w:t xml:space="preserve"> — un šajā satvarā — integrētas </w:t>
      </w:r>
      <w:proofErr w:type="spellStart"/>
      <w:r>
        <w:t>pilsētattīstības</w:t>
      </w:r>
      <w:proofErr w:type="spellEnd"/>
      <w:r>
        <w:t xml:space="preserve"> stratēģijas, kas vērstas uz ilgtspējīgu attīstību un risina vides, enerģētikas un klimata problēmas, veicina taisnīgu pārkārtošanos uz tīru, </w:t>
      </w:r>
      <w:proofErr w:type="spellStart"/>
      <w:r>
        <w:t>klimatneitrālu</w:t>
      </w:r>
      <w:proofErr w:type="spellEnd"/>
      <w:r>
        <w:t xml:space="preserve"> un noturīgu ekonomiku, sevišķu uzmanību pievēršot mājokļu un nabadzības jautājumiem, kultūras mantojumam un digitālo tehnoloģiju potenciāla izmantošanai inovācijas un energoefektivitātes nolūkos, kā arī pilsētu funkcionālo teritoriju attīstības atbalstīšanai un saiknes starp pilsētām un lauku teritorijām veicināšanai.</w:t>
      </w:r>
    </w:p>
    <w:p w14:paraId="35FE161C" w14:textId="77777777" w:rsidR="007110A0" w:rsidRPr="00F22EF9" w:rsidRDefault="007110A0" w:rsidP="00075536"/>
    <w:p w14:paraId="34CEBFD5" w14:textId="5D8E9885" w:rsidR="00FB1270" w:rsidRPr="00F22EF9" w:rsidRDefault="00FB1270" w:rsidP="0061208D">
      <w:pPr>
        <w:pStyle w:val="Heading1"/>
        <w:keepNext/>
        <w:keepLines/>
        <w:rPr>
          <w:b/>
          <w:bCs/>
        </w:rPr>
      </w:pPr>
      <w:r>
        <w:rPr>
          <w:b/>
        </w:rPr>
        <w:t>Īpašas piezīmes</w:t>
      </w:r>
    </w:p>
    <w:p w14:paraId="3B40822D" w14:textId="77777777" w:rsidR="00FB1270" w:rsidRPr="00F22EF9" w:rsidRDefault="00FB1270" w:rsidP="0061208D">
      <w:pPr>
        <w:keepNext/>
        <w:keepLines/>
      </w:pPr>
    </w:p>
    <w:p w14:paraId="3E1A7976" w14:textId="5F8A9799" w:rsidR="00FB1270" w:rsidRPr="00F22EF9" w:rsidRDefault="00FB1270" w:rsidP="00075536">
      <w:pPr>
        <w:pStyle w:val="Heading2"/>
      </w:pPr>
      <w:r>
        <w:t>EESK atzinīgi vērtētu, ja šajā atzinumā aplūkotais regulas projekts tiktu paplašināts un papildināts vismaz ar pielikumu, kurā sniegtas vadlīnijas par to, kā efektīvi integrēt ERAF un Kohēzijas fondu VRPF NRPF, un vairāk izklāstīti finansējuma atbilstības nosacījumi un piesaiste atsevišķiem fondiem.</w:t>
      </w:r>
    </w:p>
    <w:p w14:paraId="18B26DAD" w14:textId="77777777" w:rsidR="00FB1270" w:rsidRPr="00F22EF9" w:rsidRDefault="00FB1270" w:rsidP="00075536">
      <w:pPr>
        <w:pStyle w:val="Heading2"/>
        <w:numPr>
          <w:ilvl w:val="0"/>
          <w:numId w:val="0"/>
        </w:numPr>
        <w:ind w:left="567"/>
      </w:pPr>
    </w:p>
    <w:p w14:paraId="1026361B" w14:textId="77777777" w:rsidR="00FB1270" w:rsidRPr="00F22EF9" w:rsidRDefault="00FB1270" w:rsidP="00075536">
      <w:pPr>
        <w:pStyle w:val="Heading2"/>
      </w:pPr>
      <w:r>
        <w:lastRenderedPageBreak/>
        <w:t xml:space="preserve">Vienlaikus EESK pauž neizpratni, kāpēc regulas projektā ar šādu nosaukumu ļoti maz uzmanības tiek pievērsts ERAF un Kohēzijas fonda faktiskajai īstenošanai — tas varētu radīt ievērojamu nenoteiktību dalībvalstu līmenī un novest pie atšķirīgām praktiskām pieejām atsevišķās dalībvalstīs, un vairumā gadījumu priekšlikumā galvenā uzmanība pievērsta </w:t>
      </w:r>
      <w:proofErr w:type="spellStart"/>
      <w:r>
        <w:rPr>
          <w:i/>
        </w:rPr>
        <w:t>Interreg</w:t>
      </w:r>
      <w:proofErr w:type="spellEnd"/>
      <w:r>
        <w:t xml:space="preserve"> programmai.</w:t>
      </w:r>
    </w:p>
    <w:p w14:paraId="24F65C63" w14:textId="77777777" w:rsidR="00FB1270" w:rsidRPr="00F22EF9" w:rsidRDefault="00FB1270" w:rsidP="00075536">
      <w:pPr>
        <w:pStyle w:val="Heading2"/>
        <w:numPr>
          <w:ilvl w:val="0"/>
          <w:numId w:val="0"/>
        </w:numPr>
        <w:ind w:left="567"/>
      </w:pPr>
    </w:p>
    <w:p w14:paraId="1A430CBF" w14:textId="0BD4E1DE" w:rsidR="00FB1270" w:rsidRPr="00F22EF9" w:rsidRDefault="00FB1270" w:rsidP="00075536">
      <w:pPr>
        <w:pStyle w:val="Heading2"/>
      </w:pPr>
      <w:r>
        <w:t>Lai gan EESK kritizē nepietiekamo uzmanību, kas regulas projektā pievērsta ERAF un Kohēzijas fondam, tā atzinīgi vērtē, ka šie tradicionālie instrumenti reģionālo un teritoriālo atšķirību mazināšanai ES — ERAF un Kohēzijas fonds — nākamajam periodam ir ierosināti visaptverošas pieejas veidā šajā jomā un apvienojumā ar instrumentiem, kas atbalsta kopējo lauksaimniecības politiku, lauku attīstības politiku, zivsaimniecību un drošību. Tādējādi nevienlīdzības mazināšanas jautājums būs daudz ciešāk saistīts ar šīm politikas jomām saskaņā ar dalītās pārvaldības mehānismu, lai gan ar ievērojami mazāku budžetu.</w:t>
      </w:r>
    </w:p>
    <w:p w14:paraId="194CB981" w14:textId="77777777" w:rsidR="00FB1270" w:rsidRPr="00F22EF9" w:rsidRDefault="00FB1270" w:rsidP="00075536">
      <w:pPr>
        <w:pStyle w:val="Heading2"/>
        <w:numPr>
          <w:ilvl w:val="0"/>
          <w:numId w:val="0"/>
        </w:numPr>
        <w:ind w:left="567"/>
      </w:pPr>
    </w:p>
    <w:p w14:paraId="2F755398" w14:textId="77777777" w:rsidR="00FB1270" w:rsidRPr="00F22EF9" w:rsidRDefault="00FB1270" w:rsidP="00075536">
      <w:pPr>
        <w:pStyle w:val="Heading2"/>
      </w:pPr>
      <w:r>
        <w:t xml:space="preserve">Turklāt EESK norāda, ka sākotnējā informācija un pamatnostādnes </w:t>
      </w:r>
      <w:proofErr w:type="spellStart"/>
      <w:r>
        <w:rPr>
          <w:i/>
        </w:rPr>
        <w:t>Interreg</w:t>
      </w:r>
      <w:proofErr w:type="spellEnd"/>
      <w:r>
        <w:t xml:space="preserve"> plāna un tā nodaļu izstrādei ir pietiekamas, lai nodrošinātu, ka programma pilda savu mērķi un funkciju pat saskaņā ar jauno koncepciju un režīmu. Tomēr, lai atvieglotu sagatavošanos un vienošanos starp dalībvalstīm, ir vēlams sagatavot īstenošanas aktu, kas sniegs vajadzīgo metodoloģisko atbalstu. </w:t>
      </w:r>
    </w:p>
    <w:p w14:paraId="5B3BE5DD" w14:textId="3DCD0AB4" w:rsidR="00011D33" w:rsidRPr="00F22EF9" w:rsidRDefault="00011D33" w:rsidP="00075536">
      <w:pPr>
        <w:pStyle w:val="Heading2"/>
        <w:numPr>
          <w:ilvl w:val="0"/>
          <w:numId w:val="0"/>
        </w:numPr>
        <w:ind w:left="567"/>
      </w:pPr>
    </w:p>
    <w:p w14:paraId="27E707C2" w14:textId="33CFD7E6" w:rsidR="009E650E" w:rsidRPr="00F22EF9" w:rsidRDefault="009E650E" w:rsidP="009E650E">
      <w:r>
        <w:t>Briselē, 2025. gada 20. novembrī</w:t>
      </w:r>
    </w:p>
    <w:p w14:paraId="2295AEA5" w14:textId="77777777" w:rsidR="009E650E" w:rsidRPr="00F22EF9" w:rsidRDefault="009E650E" w:rsidP="009E650E"/>
    <w:p w14:paraId="25831DAC" w14:textId="77777777" w:rsidR="00C30A71" w:rsidRPr="00F22EF9" w:rsidRDefault="00C30A71" w:rsidP="009E650E"/>
    <w:p w14:paraId="1A2985C4" w14:textId="4474B5FB" w:rsidR="009E650E" w:rsidRPr="005271DB" w:rsidRDefault="009E650E" w:rsidP="009E650E">
      <w:pPr>
        <w:overflowPunct w:val="0"/>
        <w:autoSpaceDE w:val="0"/>
        <w:autoSpaceDN w:val="0"/>
        <w:adjustRightInd w:val="0"/>
        <w:textAlignment w:val="baseline"/>
        <w:rPr>
          <w:i/>
          <w:iCs/>
          <w:szCs w:val="20"/>
        </w:rPr>
      </w:pPr>
      <w:r>
        <w:rPr>
          <w:i/>
        </w:rPr>
        <w:t xml:space="preserve">Ekonomikas un monetārās savienības, ekonomiskās un sociālās kohēzijas specializētās nodaļas priekšsēdētāja </w:t>
      </w:r>
    </w:p>
    <w:p w14:paraId="45FD7729" w14:textId="62A224C6" w:rsidR="009E650E" w:rsidRPr="005271DB" w:rsidRDefault="00980AEA" w:rsidP="009E650E">
      <w:pPr>
        <w:overflowPunct w:val="0"/>
        <w:autoSpaceDE w:val="0"/>
        <w:autoSpaceDN w:val="0"/>
        <w:adjustRightInd w:val="0"/>
        <w:jc w:val="left"/>
        <w:textAlignment w:val="baseline"/>
        <w:rPr>
          <w:szCs w:val="20"/>
        </w:rPr>
      </w:pPr>
      <w:r>
        <w:t>Elena CALISTRU</w:t>
      </w:r>
    </w:p>
    <w:p w14:paraId="74F7B772" w14:textId="77777777" w:rsidR="009E650E" w:rsidRPr="005271DB" w:rsidRDefault="009E650E" w:rsidP="001C56D7"/>
    <w:p w14:paraId="5B3BE5E5" w14:textId="77777777" w:rsidR="00646AC2" w:rsidRPr="00F22EF9" w:rsidRDefault="03385EDC" w:rsidP="00075536">
      <w:pPr>
        <w:jc w:val="center"/>
      </w:pPr>
      <w:r>
        <w:t>_____________</w:t>
      </w:r>
    </w:p>
    <w:sectPr w:rsidR="00646AC2" w:rsidRPr="00F22EF9" w:rsidSect="00E8450A">
      <w:headerReference w:type="even" r:id="rId19"/>
      <w:headerReference w:type="default" r:id="rId20"/>
      <w:footerReference w:type="even" r:id="rId21"/>
      <w:footerReference w:type="default" r:id="rId22"/>
      <w:headerReference w:type="first" r:id="rId23"/>
      <w:footerReference w:type="first" r:id="rId24"/>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2DD33B" w14:textId="77777777" w:rsidR="008F20FA" w:rsidRDefault="008F20FA">
      <w:r>
        <w:separator/>
      </w:r>
    </w:p>
  </w:endnote>
  <w:endnote w:type="continuationSeparator" w:id="0">
    <w:p w14:paraId="3C1AD3FA" w14:textId="77777777" w:rsidR="008F20FA" w:rsidRDefault="008F20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1378E" w14:textId="77777777" w:rsidR="008F20FA" w:rsidRPr="00E8450A" w:rsidRDefault="008F20FA" w:rsidP="00E845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BE5EE" w14:textId="10237525" w:rsidR="00E32DC6" w:rsidRPr="00E8450A" w:rsidRDefault="00E8450A" w:rsidP="00E8450A">
    <w:pPr>
      <w:pStyle w:val="Footer"/>
    </w:pPr>
    <w:r>
      <w:t xml:space="preserve">ECO/685 – EESC-2025-03305-00-00-AS-TRA (EN) </w:t>
    </w:r>
    <w:r>
      <w:fldChar w:fldCharType="begin"/>
    </w:r>
    <w:r>
      <w:instrText xml:space="preserve"> PAGE  \* Arabic  \* MERGEFORMAT </w:instrText>
    </w:r>
    <w:r>
      <w:fldChar w:fldCharType="separate"/>
    </w:r>
    <w:r w:rsidR="00D4703C">
      <w:t>1</w:t>
    </w:r>
    <w:r>
      <w:fldChar w:fldCharType="end"/>
    </w:r>
    <w:r>
      <w:t>/</w:t>
    </w:r>
    <w:fldSimple w:instr=" NUMPAGES ">
      <w:r w:rsidR="00D4703C">
        <w:t>1</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BD24F4" w14:textId="77777777" w:rsidR="008F20FA" w:rsidRPr="00E8450A" w:rsidRDefault="008F20FA" w:rsidP="00E8450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229B3" w14:textId="77777777" w:rsidR="00F46DBB" w:rsidRPr="00E8450A" w:rsidRDefault="00F46DBB" w:rsidP="00E8450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9EBAA" w14:textId="534CBC1F" w:rsidR="00F46DBB" w:rsidRPr="00E8450A" w:rsidRDefault="00E8450A" w:rsidP="00E8450A">
    <w:pPr>
      <w:pStyle w:val="Footer"/>
    </w:pPr>
    <w:r>
      <w:t xml:space="preserve">ECO/685 – EESC-2025-03305-00-00-AS-TRA (EN) </w:t>
    </w:r>
    <w:r>
      <w:fldChar w:fldCharType="begin"/>
    </w:r>
    <w:r>
      <w:instrText xml:space="preserve"> PAGE  \* Arabic  \* MERGEFORMAT </w:instrText>
    </w:r>
    <w:r>
      <w:fldChar w:fldCharType="separate"/>
    </w:r>
    <w:r>
      <w:t>1</w:t>
    </w:r>
    <w:r>
      <w:fldChar w:fldCharType="end"/>
    </w:r>
    <w:r>
      <w:t>/</w:t>
    </w:r>
    <w:fldSimple w:instr=" NUMPAGES ">
      <w:r>
        <w:t>1</w:t>
      </w:r>
    </w:fldSimple>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8EF4E" w14:textId="77777777" w:rsidR="00F46DBB" w:rsidRPr="00E8450A" w:rsidRDefault="00F46DBB" w:rsidP="00E845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D75957" w14:textId="77777777" w:rsidR="008F20FA" w:rsidRDefault="008F20FA">
      <w:r>
        <w:separator/>
      </w:r>
    </w:p>
  </w:footnote>
  <w:footnote w:type="continuationSeparator" w:id="0">
    <w:p w14:paraId="18A20C56" w14:textId="77777777" w:rsidR="008F20FA" w:rsidRDefault="008F20FA">
      <w:r>
        <w:continuationSeparator/>
      </w:r>
    </w:p>
  </w:footnote>
  <w:footnote w:id="1">
    <w:p w14:paraId="07FE1728" w14:textId="46C7C1DE" w:rsidR="00386B98" w:rsidRPr="005271DB" w:rsidRDefault="00386B98">
      <w:pPr>
        <w:pStyle w:val="FootnoteText"/>
      </w:pPr>
      <w:r>
        <w:rPr>
          <w:rStyle w:val="FootnoteReference"/>
        </w:rPr>
        <w:footnoteRef/>
      </w:r>
      <w:r>
        <w:tab/>
        <w:t xml:space="preserve">OV C, C/2025/5153, 28.10.2025., ELI: </w:t>
      </w:r>
      <w:hyperlink r:id="rId1" w:history="1">
        <w:r>
          <w:rPr>
            <w:rStyle w:val="Hyperlink"/>
          </w:rPr>
          <w:t>https://data.europa.eu/eli/C/2025/5153/oj</w:t>
        </w:r>
      </w:hyperlink>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E53BC" w14:textId="77777777" w:rsidR="008F20FA" w:rsidRPr="00E8450A" w:rsidRDefault="008F20FA" w:rsidP="00E8450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223DC0" w14:textId="3769C307" w:rsidR="008F20FA" w:rsidRPr="00E8450A" w:rsidRDefault="008F20FA" w:rsidP="00E8450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99CE5" w14:textId="77777777" w:rsidR="008F20FA" w:rsidRPr="00E8450A" w:rsidRDefault="008F20FA" w:rsidP="00E8450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7E013" w14:textId="77777777" w:rsidR="00F46DBB" w:rsidRPr="00E8450A" w:rsidRDefault="00F46DBB" w:rsidP="00E8450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7BAFA8" w14:textId="1008AFE9" w:rsidR="00F46DBB" w:rsidRPr="00E8450A" w:rsidRDefault="00F46DBB" w:rsidP="00E8450A">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D6A521" w14:textId="77777777" w:rsidR="00F46DBB" w:rsidRPr="00E8450A" w:rsidRDefault="00F46DBB" w:rsidP="00E845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4434F25C"/>
    <w:lvl w:ilvl="0">
      <w:start w:val="1"/>
      <w:numFmt w:val="decimal"/>
      <w:pStyle w:val="Heading1"/>
      <w:lvlText w:val="%1."/>
      <w:lvlJc w:val="left"/>
      <w:pPr>
        <w:ind w:left="567" w:hanging="567"/>
      </w:pPr>
      <w:rPr>
        <w:rFonts w:hint="default"/>
        <w:b w:val="0"/>
        <w:bCs/>
      </w:rPr>
    </w:lvl>
    <w:lvl w:ilvl="1">
      <w:start w:val="1"/>
      <w:numFmt w:val="decimal"/>
      <w:pStyle w:val="Heading2"/>
      <w:lvlText w:val="%1.%2."/>
      <w:lvlJc w:val="left"/>
      <w:pPr>
        <w:ind w:left="567" w:hanging="567"/>
      </w:pPr>
      <w:rPr>
        <w:rFonts w:hint="default"/>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embedSystemFonts/>
  <w:proofState w:spelling="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5AB9"/>
    <w:rsid w:val="00005EB9"/>
    <w:rsid w:val="00006E24"/>
    <w:rsid w:val="00007A40"/>
    <w:rsid w:val="00011D33"/>
    <w:rsid w:val="00020E6E"/>
    <w:rsid w:val="00031A4B"/>
    <w:rsid w:val="00033913"/>
    <w:rsid w:val="00033E5B"/>
    <w:rsid w:val="000357A8"/>
    <w:rsid w:val="000430A6"/>
    <w:rsid w:val="00044923"/>
    <w:rsid w:val="0005249C"/>
    <w:rsid w:val="000534A5"/>
    <w:rsid w:val="0005680D"/>
    <w:rsid w:val="00063FB4"/>
    <w:rsid w:val="00065561"/>
    <w:rsid w:val="0006793E"/>
    <w:rsid w:val="00072E0F"/>
    <w:rsid w:val="000735E5"/>
    <w:rsid w:val="0007392F"/>
    <w:rsid w:val="00075536"/>
    <w:rsid w:val="000768CF"/>
    <w:rsid w:val="000855A4"/>
    <w:rsid w:val="00087B39"/>
    <w:rsid w:val="00096502"/>
    <w:rsid w:val="000A15F0"/>
    <w:rsid w:val="000A49BB"/>
    <w:rsid w:val="000C3441"/>
    <w:rsid w:val="000C7F53"/>
    <w:rsid w:val="000D1F94"/>
    <w:rsid w:val="000D2F8E"/>
    <w:rsid w:val="000D4F8C"/>
    <w:rsid w:val="000E23EE"/>
    <w:rsid w:val="000E472B"/>
    <w:rsid w:val="000F196B"/>
    <w:rsid w:val="001040FB"/>
    <w:rsid w:val="00105361"/>
    <w:rsid w:val="001101F8"/>
    <w:rsid w:val="0011206F"/>
    <w:rsid w:val="001153AC"/>
    <w:rsid w:val="0011656A"/>
    <w:rsid w:val="0012220C"/>
    <w:rsid w:val="001252B8"/>
    <w:rsid w:val="00126367"/>
    <w:rsid w:val="0013664F"/>
    <w:rsid w:val="00136EA3"/>
    <w:rsid w:val="00137575"/>
    <w:rsid w:val="00143E1B"/>
    <w:rsid w:val="00144231"/>
    <w:rsid w:val="00150434"/>
    <w:rsid w:val="00155721"/>
    <w:rsid w:val="0015678B"/>
    <w:rsid w:val="0016503F"/>
    <w:rsid w:val="0016674F"/>
    <w:rsid w:val="00166ACA"/>
    <w:rsid w:val="00167CA0"/>
    <w:rsid w:val="0017120D"/>
    <w:rsid w:val="001714F6"/>
    <w:rsid w:val="0017365D"/>
    <w:rsid w:val="00176168"/>
    <w:rsid w:val="00177158"/>
    <w:rsid w:val="001808A5"/>
    <w:rsid w:val="00184FD4"/>
    <w:rsid w:val="00186B04"/>
    <w:rsid w:val="00186F1E"/>
    <w:rsid w:val="00190836"/>
    <w:rsid w:val="00192D9A"/>
    <w:rsid w:val="00193930"/>
    <w:rsid w:val="00194C93"/>
    <w:rsid w:val="001963A5"/>
    <w:rsid w:val="00196F1E"/>
    <w:rsid w:val="00197FCA"/>
    <w:rsid w:val="001A27DB"/>
    <w:rsid w:val="001A6852"/>
    <w:rsid w:val="001B1071"/>
    <w:rsid w:val="001B286A"/>
    <w:rsid w:val="001B2D02"/>
    <w:rsid w:val="001B3647"/>
    <w:rsid w:val="001B517F"/>
    <w:rsid w:val="001B77FA"/>
    <w:rsid w:val="001C0ABE"/>
    <w:rsid w:val="001C56D7"/>
    <w:rsid w:val="001C5852"/>
    <w:rsid w:val="001D45F0"/>
    <w:rsid w:val="001D7BDA"/>
    <w:rsid w:val="001E4A33"/>
    <w:rsid w:val="001E5C27"/>
    <w:rsid w:val="001F602B"/>
    <w:rsid w:val="001F6AC8"/>
    <w:rsid w:val="00200928"/>
    <w:rsid w:val="002037D5"/>
    <w:rsid w:val="00206F90"/>
    <w:rsid w:val="00212B03"/>
    <w:rsid w:val="002131AE"/>
    <w:rsid w:val="00215C10"/>
    <w:rsid w:val="00215C2D"/>
    <w:rsid w:val="002252C4"/>
    <w:rsid w:val="0023183E"/>
    <w:rsid w:val="00235138"/>
    <w:rsid w:val="00240622"/>
    <w:rsid w:val="00243E36"/>
    <w:rsid w:val="0024540B"/>
    <w:rsid w:val="00245EF4"/>
    <w:rsid w:val="00250586"/>
    <w:rsid w:val="00250E11"/>
    <w:rsid w:val="0025127A"/>
    <w:rsid w:val="00251383"/>
    <w:rsid w:val="002522C9"/>
    <w:rsid w:val="00252A21"/>
    <w:rsid w:val="00253E4F"/>
    <w:rsid w:val="002542E4"/>
    <w:rsid w:val="00261053"/>
    <w:rsid w:val="00262FDE"/>
    <w:rsid w:val="00263041"/>
    <w:rsid w:val="00263629"/>
    <w:rsid w:val="00264C2C"/>
    <w:rsid w:val="00271C4A"/>
    <w:rsid w:val="00273A11"/>
    <w:rsid w:val="002769BD"/>
    <w:rsid w:val="00276A75"/>
    <w:rsid w:val="002809EA"/>
    <w:rsid w:val="00283334"/>
    <w:rsid w:val="00284962"/>
    <w:rsid w:val="00287B0E"/>
    <w:rsid w:val="002A0B53"/>
    <w:rsid w:val="002A0EEF"/>
    <w:rsid w:val="002A1DD8"/>
    <w:rsid w:val="002A76F9"/>
    <w:rsid w:val="002B2DF7"/>
    <w:rsid w:val="002C1DB1"/>
    <w:rsid w:val="002C2A72"/>
    <w:rsid w:val="002C3BF4"/>
    <w:rsid w:val="002C749F"/>
    <w:rsid w:val="002C78D0"/>
    <w:rsid w:val="002D0742"/>
    <w:rsid w:val="002E7B33"/>
    <w:rsid w:val="002F059B"/>
    <w:rsid w:val="002F114A"/>
    <w:rsid w:val="002F5B0B"/>
    <w:rsid w:val="00300924"/>
    <w:rsid w:val="0030596E"/>
    <w:rsid w:val="003073C3"/>
    <w:rsid w:val="003119D8"/>
    <w:rsid w:val="0032251C"/>
    <w:rsid w:val="00323637"/>
    <w:rsid w:val="00324E8A"/>
    <w:rsid w:val="00331D87"/>
    <w:rsid w:val="00332850"/>
    <w:rsid w:val="00334478"/>
    <w:rsid w:val="003346B4"/>
    <w:rsid w:val="00334AE6"/>
    <w:rsid w:val="003365D0"/>
    <w:rsid w:val="003423F2"/>
    <w:rsid w:val="00342D4A"/>
    <w:rsid w:val="003439AB"/>
    <w:rsid w:val="00347058"/>
    <w:rsid w:val="0035034C"/>
    <w:rsid w:val="00354695"/>
    <w:rsid w:val="0035549B"/>
    <w:rsid w:val="00363CD0"/>
    <w:rsid w:val="003721FC"/>
    <w:rsid w:val="003755C8"/>
    <w:rsid w:val="00375687"/>
    <w:rsid w:val="00380AE0"/>
    <w:rsid w:val="00383324"/>
    <w:rsid w:val="0038425C"/>
    <w:rsid w:val="003854EB"/>
    <w:rsid w:val="00386B98"/>
    <w:rsid w:val="00387A75"/>
    <w:rsid w:val="003904FD"/>
    <w:rsid w:val="003932B3"/>
    <w:rsid w:val="00394254"/>
    <w:rsid w:val="00397D2F"/>
    <w:rsid w:val="003A7F3F"/>
    <w:rsid w:val="003B0C32"/>
    <w:rsid w:val="003B0CB0"/>
    <w:rsid w:val="003B3451"/>
    <w:rsid w:val="003B3FCD"/>
    <w:rsid w:val="003B5360"/>
    <w:rsid w:val="003B67E7"/>
    <w:rsid w:val="003C2BFB"/>
    <w:rsid w:val="003C436B"/>
    <w:rsid w:val="003C5337"/>
    <w:rsid w:val="003C5F92"/>
    <w:rsid w:val="003D7A8C"/>
    <w:rsid w:val="003D7C00"/>
    <w:rsid w:val="003E0475"/>
    <w:rsid w:val="003E56E5"/>
    <w:rsid w:val="003E7E60"/>
    <w:rsid w:val="003F00D4"/>
    <w:rsid w:val="003F2209"/>
    <w:rsid w:val="003F3D39"/>
    <w:rsid w:val="003F646A"/>
    <w:rsid w:val="003F6761"/>
    <w:rsid w:val="003F6A0A"/>
    <w:rsid w:val="004024F5"/>
    <w:rsid w:val="00402DE1"/>
    <w:rsid w:val="00403D8B"/>
    <w:rsid w:val="004058F1"/>
    <w:rsid w:val="00407E7D"/>
    <w:rsid w:val="0041283D"/>
    <w:rsid w:val="00413AB4"/>
    <w:rsid w:val="004176F7"/>
    <w:rsid w:val="00421373"/>
    <w:rsid w:val="00421FB7"/>
    <w:rsid w:val="0042763B"/>
    <w:rsid w:val="0043024C"/>
    <w:rsid w:val="004363C0"/>
    <w:rsid w:val="00436706"/>
    <w:rsid w:val="0043682B"/>
    <w:rsid w:val="00440F8C"/>
    <w:rsid w:val="00443D38"/>
    <w:rsid w:val="00450E7A"/>
    <w:rsid w:val="00456AF8"/>
    <w:rsid w:val="00470B15"/>
    <w:rsid w:val="00475869"/>
    <w:rsid w:val="00475A77"/>
    <w:rsid w:val="00482DF1"/>
    <w:rsid w:val="004841BC"/>
    <w:rsid w:val="00484F5F"/>
    <w:rsid w:val="004866A9"/>
    <w:rsid w:val="0048754F"/>
    <w:rsid w:val="00492774"/>
    <w:rsid w:val="00493D37"/>
    <w:rsid w:val="00496D7A"/>
    <w:rsid w:val="004A31BC"/>
    <w:rsid w:val="004A3F1A"/>
    <w:rsid w:val="004A3F45"/>
    <w:rsid w:val="004A5738"/>
    <w:rsid w:val="004B1AFA"/>
    <w:rsid w:val="004B3999"/>
    <w:rsid w:val="004B7088"/>
    <w:rsid w:val="004C4D12"/>
    <w:rsid w:val="004C5B76"/>
    <w:rsid w:val="004D02CD"/>
    <w:rsid w:val="004D0B24"/>
    <w:rsid w:val="004D42EA"/>
    <w:rsid w:val="004D4B90"/>
    <w:rsid w:val="004D5F8F"/>
    <w:rsid w:val="004D672E"/>
    <w:rsid w:val="004D6B95"/>
    <w:rsid w:val="004D7F41"/>
    <w:rsid w:val="004E03A2"/>
    <w:rsid w:val="004E317E"/>
    <w:rsid w:val="004E3954"/>
    <w:rsid w:val="004E5856"/>
    <w:rsid w:val="004F2330"/>
    <w:rsid w:val="004F53C6"/>
    <w:rsid w:val="004F55C6"/>
    <w:rsid w:val="004F69DB"/>
    <w:rsid w:val="004F6B87"/>
    <w:rsid w:val="00501A20"/>
    <w:rsid w:val="00501C2D"/>
    <w:rsid w:val="00502637"/>
    <w:rsid w:val="00511140"/>
    <w:rsid w:val="00513CFE"/>
    <w:rsid w:val="00516DC6"/>
    <w:rsid w:val="00523B6A"/>
    <w:rsid w:val="00525F6C"/>
    <w:rsid w:val="005271DB"/>
    <w:rsid w:val="00533C04"/>
    <w:rsid w:val="00546288"/>
    <w:rsid w:val="00546AB4"/>
    <w:rsid w:val="005514E5"/>
    <w:rsid w:val="00557E41"/>
    <w:rsid w:val="00563C84"/>
    <w:rsid w:val="00573118"/>
    <w:rsid w:val="005762F6"/>
    <w:rsid w:val="00576E52"/>
    <w:rsid w:val="00584FBE"/>
    <w:rsid w:val="00585483"/>
    <w:rsid w:val="00587378"/>
    <w:rsid w:val="00587AD1"/>
    <w:rsid w:val="00587C05"/>
    <w:rsid w:val="00590AAB"/>
    <w:rsid w:val="005938C3"/>
    <w:rsid w:val="005944F7"/>
    <w:rsid w:val="0059468C"/>
    <w:rsid w:val="00595125"/>
    <w:rsid w:val="00596F21"/>
    <w:rsid w:val="005B0A5B"/>
    <w:rsid w:val="005B1CDD"/>
    <w:rsid w:val="005B1E19"/>
    <w:rsid w:val="005B55FC"/>
    <w:rsid w:val="005B725F"/>
    <w:rsid w:val="005C0169"/>
    <w:rsid w:val="005C2D5E"/>
    <w:rsid w:val="005C3B81"/>
    <w:rsid w:val="005C650C"/>
    <w:rsid w:val="005D086C"/>
    <w:rsid w:val="005D11D3"/>
    <w:rsid w:val="005D36EB"/>
    <w:rsid w:val="005D4E1F"/>
    <w:rsid w:val="005D4FB3"/>
    <w:rsid w:val="005E2F07"/>
    <w:rsid w:val="005E2FEA"/>
    <w:rsid w:val="005F235C"/>
    <w:rsid w:val="005F314B"/>
    <w:rsid w:val="00611AF2"/>
    <w:rsid w:val="0061208D"/>
    <w:rsid w:val="0061212B"/>
    <w:rsid w:val="006127AF"/>
    <w:rsid w:val="00613A98"/>
    <w:rsid w:val="00615FB2"/>
    <w:rsid w:val="00617BD1"/>
    <w:rsid w:val="00617CE8"/>
    <w:rsid w:val="006248D5"/>
    <w:rsid w:val="006278A0"/>
    <w:rsid w:val="0063095F"/>
    <w:rsid w:val="00630CAE"/>
    <w:rsid w:val="00631CBD"/>
    <w:rsid w:val="006366DE"/>
    <w:rsid w:val="0063704F"/>
    <w:rsid w:val="00646AC2"/>
    <w:rsid w:val="00650390"/>
    <w:rsid w:val="00654DAB"/>
    <w:rsid w:val="006579DF"/>
    <w:rsid w:val="00657B8E"/>
    <w:rsid w:val="006612D8"/>
    <w:rsid w:val="0066204A"/>
    <w:rsid w:val="00670E3C"/>
    <w:rsid w:val="00677F57"/>
    <w:rsid w:val="00681088"/>
    <w:rsid w:val="0069577E"/>
    <w:rsid w:val="0069634B"/>
    <w:rsid w:val="00696623"/>
    <w:rsid w:val="006A04E9"/>
    <w:rsid w:val="006A1223"/>
    <w:rsid w:val="006A25E1"/>
    <w:rsid w:val="006A4A03"/>
    <w:rsid w:val="006A5D8F"/>
    <w:rsid w:val="006A5FCC"/>
    <w:rsid w:val="006A7543"/>
    <w:rsid w:val="006B725C"/>
    <w:rsid w:val="006C273D"/>
    <w:rsid w:val="006C5C4F"/>
    <w:rsid w:val="006C6282"/>
    <w:rsid w:val="006C762A"/>
    <w:rsid w:val="006D5FF9"/>
    <w:rsid w:val="006E0772"/>
    <w:rsid w:val="006E0F86"/>
    <w:rsid w:val="006E79A7"/>
    <w:rsid w:val="006F0B15"/>
    <w:rsid w:val="006F0DCC"/>
    <w:rsid w:val="00703DF9"/>
    <w:rsid w:val="007048EB"/>
    <w:rsid w:val="00704FBB"/>
    <w:rsid w:val="0070726A"/>
    <w:rsid w:val="007110A0"/>
    <w:rsid w:val="0071226B"/>
    <w:rsid w:val="00717040"/>
    <w:rsid w:val="00722364"/>
    <w:rsid w:val="00723066"/>
    <w:rsid w:val="007315DE"/>
    <w:rsid w:val="007341C3"/>
    <w:rsid w:val="00736A0E"/>
    <w:rsid w:val="007376CB"/>
    <w:rsid w:val="00741377"/>
    <w:rsid w:val="00746E64"/>
    <w:rsid w:val="00756599"/>
    <w:rsid w:val="007622A7"/>
    <w:rsid w:val="0076754E"/>
    <w:rsid w:val="00770ACA"/>
    <w:rsid w:val="007750A2"/>
    <w:rsid w:val="007802D5"/>
    <w:rsid w:val="007817D6"/>
    <w:rsid w:val="00781996"/>
    <w:rsid w:val="00781E1C"/>
    <w:rsid w:val="00787912"/>
    <w:rsid w:val="0079177A"/>
    <w:rsid w:val="00794836"/>
    <w:rsid w:val="007948D5"/>
    <w:rsid w:val="0079633F"/>
    <w:rsid w:val="007A15C9"/>
    <w:rsid w:val="007A6676"/>
    <w:rsid w:val="007B7FF5"/>
    <w:rsid w:val="007C0911"/>
    <w:rsid w:val="007C3FC6"/>
    <w:rsid w:val="007C7935"/>
    <w:rsid w:val="007D2CE9"/>
    <w:rsid w:val="007D4FED"/>
    <w:rsid w:val="007D54C2"/>
    <w:rsid w:val="007D69DA"/>
    <w:rsid w:val="007D6A46"/>
    <w:rsid w:val="007D70B1"/>
    <w:rsid w:val="007D7140"/>
    <w:rsid w:val="007E02AF"/>
    <w:rsid w:val="007E1CDB"/>
    <w:rsid w:val="007E408C"/>
    <w:rsid w:val="007E50BF"/>
    <w:rsid w:val="007E7E21"/>
    <w:rsid w:val="007F0460"/>
    <w:rsid w:val="007F0DA2"/>
    <w:rsid w:val="007F39CE"/>
    <w:rsid w:val="007F5E0D"/>
    <w:rsid w:val="00801085"/>
    <w:rsid w:val="00801A89"/>
    <w:rsid w:val="00804457"/>
    <w:rsid w:val="00807187"/>
    <w:rsid w:val="00812061"/>
    <w:rsid w:val="00812138"/>
    <w:rsid w:val="008151F2"/>
    <w:rsid w:val="008166D0"/>
    <w:rsid w:val="0081777A"/>
    <w:rsid w:val="00820691"/>
    <w:rsid w:val="008210E0"/>
    <w:rsid w:val="00824079"/>
    <w:rsid w:val="008258C8"/>
    <w:rsid w:val="00831F0A"/>
    <w:rsid w:val="00833A78"/>
    <w:rsid w:val="00841E46"/>
    <w:rsid w:val="0084585F"/>
    <w:rsid w:val="00853E53"/>
    <w:rsid w:val="0085535C"/>
    <w:rsid w:val="00864D76"/>
    <w:rsid w:val="008656C9"/>
    <w:rsid w:val="0086711C"/>
    <w:rsid w:val="00867535"/>
    <w:rsid w:val="00875C5B"/>
    <w:rsid w:val="0088041C"/>
    <w:rsid w:val="00882D34"/>
    <w:rsid w:val="00883C5F"/>
    <w:rsid w:val="00884459"/>
    <w:rsid w:val="0089102A"/>
    <w:rsid w:val="00891C7D"/>
    <w:rsid w:val="00892FA7"/>
    <w:rsid w:val="00894C58"/>
    <w:rsid w:val="00897A51"/>
    <w:rsid w:val="008A3301"/>
    <w:rsid w:val="008A4DF1"/>
    <w:rsid w:val="008A5636"/>
    <w:rsid w:val="008A611A"/>
    <w:rsid w:val="008B125E"/>
    <w:rsid w:val="008B241C"/>
    <w:rsid w:val="008B408B"/>
    <w:rsid w:val="008B4F11"/>
    <w:rsid w:val="008B5167"/>
    <w:rsid w:val="008C2362"/>
    <w:rsid w:val="008C3049"/>
    <w:rsid w:val="008C3D9C"/>
    <w:rsid w:val="008C563D"/>
    <w:rsid w:val="008C74D9"/>
    <w:rsid w:val="008D2414"/>
    <w:rsid w:val="008D2871"/>
    <w:rsid w:val="008D4AE9"/>
    <w:rsid w:val="008D5CF3"/>
    <w:rsid w:val="008D7D39"/>
    <w:rsid w:val="008E4574"/>
    <w:rsid w:val="008F20FA"/>
    <w:rsid w:val="008F4016"/>
    <w:rsid w:val="008F42FE"/>
    <w:rsid w:val="008F4A00"/>
    <w:rsid w:val="008F5402"/>
    <w:rsid w:val="008F639F"/>
    <w:rsid w:val="0090053A"/>
    <w:rsid w:val="009013D6"/>
    <w:rsid w:val="00901C2A"/>
    <w:rsid w:val="00907358"/>
    <w:rsid w:val="009118C7"/>
    <w:rsid w:val="009167F9"/>
    <w:rsid w:val="00920BA1"/>
    <w:rsid w:val="009225B6"/>
    <w:rsid w:val="00925397"/>
    <w:rsid w:val="00933A21"/>
    <w:rsid w:val="00933C85"/>
    <w:rsid w:val="00934C10"/>
    <w:rsid w:val="0093662A"/>
    <w:rsid w:val="0094060C"/>
    <w:rsid w:val="00942BFA"/>
    <w:rsid w:val="00942C4B"/>
    <w:rsid w:val="00944196"/>
    <w:rsid w:val="00951472"/>
    <w:rsid w:val="009606A5"/>
    <w:rsid w:val="00961959"/>
    <w:rsid w:val="00962F1F"/>
    <w:rsid w:val="00965304"/>
    <w:rsid w:val="00965C1C"/>
    <w:rsid w:val="00971293"/>
    <w:rsid w:val="00973A3B"/>
    <w:rsid w:val="00980AEA"/>
    <w:rsid w:val="00983EAE"/>
    <w:rsid w:val="0098760B"/>
    <w:rsid w:val="00993394"/>
    <w:rsid w:val="009A11DD"/>
    <w:rsid w:val="009A3B66"/>
    <w:rsid w:val="009B30AA"/>
    <w:rsid w:val="009B5217"/>
    <w:rsid w:val="009C127F"/>
    <w:rsid w:val="009C3340"/>
    <w:rsid w:val="009C3685"/>
    <w:rsid w:val="009C48DE"/>
    <w:rsid w:val="009D1752"/>
    <w:rsid w:val="009D60D9"/>
    <w:rsid w:val="009E1E1E"/>
    <w:rsid w:val="009E33E3"/>
    <w:rsid w:val="009E650E"/>
    <w:rsid w:val="009E7F16"/>
    <w:rsid w:val="009F1E65"/>
    <w:rsid w:val="009F27F8"/>
    <w:rsid w:val="009F2AC4"/>
    <w:rsid w:val="009F5052"/>
    <w:rsid w:val="00A02624"/>
    <w:rsid w:val="00A03083"/>
    <w:rsid w:val="00A03F5A"/>
    <w:rsid w:val="00A04C85"/>
    <w:rsid w:val="00A07ECF"/>
    <w:rsid w:val="00A100F0"/>
    <w:rsid w:val="00A11CA7"/>
    <w:rsid w:val="00A156E6"/>
    <w:rsid w:val="00A15D4D"/>
    <w:rsid w:val="00A16647"/>
    <w:rsid w:val="00A177C5"/>
    <w:rsid w:val="00A27D86"/>
    <w:rsid w:val="00A30A3D"/>
    <w:rsid w:val="00A33151"/>
    <w:rsid w:val="00A36970"/>
    <w:rsid w:val="00A41EB4"/>
    <w:rsid w:val="00A44BFF"/>
    <w:rsid w:val="00A45381"/>
    <w:rsid w:val="00A457B5"/>
    <w:rsid w:val="00A47E12"/>
    <w:rsid w:val="00A50164"/>
    <w:rsid w:val="00A501E3"/>
    <w:rsid w:val="00A50F0C"/>
    <w:rsid w:val="00A518FE"/>
    <w:rsid w:val="00A56441"/>
    <w:rsid w:val="00A736DD"/>
    <w:rsid w:val="00A76D17"/>
    <w:rsid w:val="00A82869"/>
    <w:rsid w:val="00A8758C"/>
    <w:rsid w:val="00A94D31"/>
    <w:rsid w:val="00AA127E"/>
    <w:rsid w:val="00AA19AE"/>
    <w:rsid w:val="00AA423D"/>
    <w:rsid w:val="00AA5F74"/>
    <w:rsid w:val="00AA6A95"/>
    <w:rsid w:val="00AA704A"/>
    <w:rsid w:val="00AB10DE"/>
    <w:rsid w:val="00AB358A"/>
    <w:rsid w:val="00AB3668"/>
    <w:rsid w:val="00AB5ED7"/>
    <w:rsid w:val="00AC0B4C"/>
    <w:rsid w:val="00AD0AEE"/>
    <w:rsid w:val="00AD49E3"/>
    <w:rsid w:val="00AD4B4F"/>
    <w:rsid w:val="00AF0616"/>
    <w:rsid w:val="00AF0E28"/>
    <w:rsid w:val="00AF1016"/>
    <w:rsid w:val="00AF52D7"/>
    <w:rsid w:val="00AF6F9B"/>
    <w:rsid w:val="00B01409"/>
    <w:rsid w:val="00B10DBD"/>
    <w:rsid w:val="00B11D51"/>
    <w:rsid w:val="00B15629"/>
    <w:rsid w:val="00B229B8"/>
    <w:rsid w:val="00B2372C"/>
    <w:rsid w:val="00B26741"/>
    <w:rsid w:val="00B32F70"/>
    <w:rsid w:val="00B373D0"/>
    <w:rsid w:val="00B41668"/>
    <w:rsid w:val="00B43AAA"/>
    <w:rsid w:val="00B450B7"/>
    <w:rsid w:val="00B4745A"/>
    <w:rsid w:val="00B53139"/>
    <w:rsid w:val="00B55975"/>
    <w:rsid w:val="00B562CE"/>
    <w:rsid w:val="00B62DE2"/>
    <w:rsid w:val="00B721F2"/>
    <w:rsid w:val="00B74417"/>
    <w:rsid w:val="00B77246"/>
    <w:rsid w:val="00B866CD"/>
    <w:rsid w:val="00B93034"/>
    <w:rsid w:val="00B93A81"/>
    <w:rsid w:val="00B97ACF"/>
    <w:rsid w:val="00B97C5D"/>
    <w:rsid w:val="00BA1290"/>
    <w:rsid w:val="00BA7473"/>
    <w:rsid w:val="00BB2792"/>
    <w:rsid w:val="00BB76BF"/>
    <w:rsid w:val="00BC1AD1"/>
    <w:rsid w:val="00BC1D82"/>
    <w:rsid w:val="00BC4A58"/>
    <w:rsid w:val="00BC613B"/>
    <w:rsid w:val="00BD4221"/>
    <w:rsid w:val="00BD51D9"/>
    <w:rsid w:val="00BD64E2"/>
    <w:rsid w:val="00BE4995"/>
    <w:rsid w:val="00BF226E"/>
    <w:rsid w:val="00BF429A"/>
    <w:rsid w:val="00BF62BE"/>
    <w:rsid w:val="00C054D6"/>
    <w:rsid w:val="00C07126"/>
    <w:rsid w:val="00C1004D"/>
    <w:rsid w:val="00C12A51"/>
    <w:rsid w:val="00C15B14"/>
    <w:rsid w:val="00C16853"/>
    <w:rsid w:val="00C263F0"/>
    <w:rsid w:val="00C30A71"/>
    <w:rsid w:val="00C33D41"/>
    <w:rsid w:val="00C356F7"/>
    <w:rsid w:val="00C36E63"/>
    <w:rsid w:val="00C40AFD"/>
    <w:rsid w:val="00C41E20"/>
    <w:rsid w:val="00C41ED0"/>
    <w:rsid w:val="00C426F2"/>
    <w:rsid w:val="00C42E3E"/>
    <w:rsid w:val="00C51C13"/>
    <w:rsid w:val="00C525A5"/>
    <w:rsid w:val="00C5300F"/>
    <w:rsid w:val="00C54594"/>
    <w:rsid w:val="00C66CE0"/>
    <w:rsid w:val="00C71BED"/>
    <w:rsid w:val="00C737B2"/>
    <w:rsid w:val="00C81B53"/>
    <w:rsid w:val="00C82AD2"/>
    <w:rsid w:val="00C87F02"/>
    <w:rsid w:val="00C90FB6"/>
    <w:rsid w:val="00C9220E"/>
    <w:rsid w:val="00C932BD"/>
    <w:rsid w:val="00C93429"/>
    <w:rsid w:val="00CA16C5"/>
    <w:rsid w:val="00CA415A"/>
    <w:rsid w:val="00CA5AFF"/>
    <w:rsid w:val="00CA7A35"/>
    <w:rsid w:val="00CB01F2"/>
    <w:rsid w:val="00CB1536"/>
    <w:rsid w:val="00CB1603"/>
    <w:rsid w:val="00CB7FB8"/>
    <w:rsid w:val="00CC1F71"/>
    <w:rsid w:val="00CC5588"/>
    <w:rsid w:val="00CC5EB3"/>
    <w:rsid w:val="00CD0E7B"/>
    <w:rsid w:val="00CD2ABD"/>
    <w:rsid w:val="00CD2AF0"/>
    <w:rsid w:val="00CD2B32"/>
    <w:rsid w:val="00CD30C8"/>
    <w:rsid w:val="00CD4024"/>
    <w:rsid w:val="00CD4617"/>
    <w:rsid w:val="00CD4855"/>
    <w:rsid w:val="00CD67DD"/>
    <w:rsid w:val="00CE6D43"/>
    <w:rsid w:val="00CE7888"/>
    <w:rsid w:val="00D03F0D"/>
    <w:rsid w:val="00D0406B"/>
    <w:rsid w:val="00D10E1C"/>
    <w:rsid w:val="00D161A3"/>
    <w:rsid w:val="00D22E49"/>
    <w:rsid w:val="00D23716"/>
    <w:rsid w:val="00D25ED8"/>
    <w:rsid w:val="00D27F8F"/>
    <w:rsid w:val="00D316B8"/>
    <w:rsid w:val="00D31CFC"/>
    <w:rsid w:val="00D3255D"/>
    <w:rsid w:val="00D33435"/>
    <w:rsid w:val="00D33614"/>
    <w:rsid w:val="00D340C3"/>
    <w:rsid w:val="00D3509B"/>
    <w:rsid w:val="00D409CD"/>
    <w:rsid w:val="00D423D4"/>
    <w:rsid w:val="00D42CAF"/>
    <w:rsid w:val="00D450C8"/>
    <w:rsid w:val="00D4703C"/>
    <w:rsid w:val="00D5310F"/>
    <w:rsid w:val="00D601EF"/>
    <w:rsid w:val="00D61533"/>
    <w:rsid w:val="00D6256F"/>
    <w:rsid w:val="00D63B2F"/>
    <w:rsid w:val="00D70747"/>
    <w:rsid w:val="00D7261D"/>
    <w:rsid w:val="00D755FC"/>
    <w:rsid w:val="00D76B6D"/>
    <w:rsid w:val="00D84D07"/>
    <w:rsid w:val="00D8526A"/>
    <w:rsid w:val="00D90E91"/>
    <w:rsid w:val="00D926FB"/>
    <w:rsid w:val="00DA0AF0"/>
    <w:rsid w:val="00DB60E1"/>
    <w:rsid w:val="00DC1347"/>
    <w:rsid w:val="00DC39F1"/>
    <w:rsid w:val="00DD5640"/>
    <w:rsid w:val="00DE4B35"/>
    <w:rsid w:val="00DF19C1"/>
    <w:rsid w:val="00DF54CA"/>
    <w:rsid w:val="00DF56C9"/>
    <w:rsid w:val="00DF5B64"/>
    <w:rsid w:val="00DF6DC7"/>
    <w:rsid w:val="00E0244A"/>
    <w:rsid w:val="00E02794"/>
    <w:rsid w:val="00E043E3"/>
    <w:rsid w:val="00E0505B"/>
    <w:rsid w:val="00E11280"/>
    <w:rsid w:val="00E12359"/>
    <w:rsid w:val="00E152FF"/>
    <w:rsid w:val="00E2461B"/>
    <w:rsid w:val="00E24886"/>
    <w:rsid w:val="00E276FB"/>
    <w:rsid w:val="00E27F6F"/>
    <w:rsid w:val="00E32595"/>
    <w:rsid w:val="00E32DC6"/>
    <w:rsid w:val="00E33A74"/>
    <w:rsid w:val="00E37799"/>
    <w:rsid w:val="00E4030B"/>
    <w:rsid w:val="00E41D56"/>
    <w:rsid w:val="00E457DF"/>
    <w:rsid w:val="00E46642"/>
    <w:rsid w:val="00E5139A"/>
    <w:rsid w:val="00E5413D"/>
    <w:rsid w:val="00E57977"/>
    <w:rsid w:val="00E6167E"/>
    <w:rsid w:val="00E635D7"/>
    <w:rsid w:val="00E64E71"/>
    <w:rsid w:val="00E70576"/>
    <w:rsid w:val="00E71DED"/>
    <w:rsid w:val="00E831E5"/>
    <w:rsid w:val="00E83954"/>
    <w:rsid w:val="00E8450A"/>
    <w:rsid w:val="00E848DE"/>
    <w:rsid w:val="00E86506"/>
    <w:rsid w:val="00E91730"/>
    <w:rsid w:val="00E96F04"/>
    <w:rsid w:val="00E97AEC"/>
    <w:rsid w:val="00EA20FE"/>
    <w:rsid w:val="00EB33B4"/>
    <w:rsid w:val="00EB491E"/>
    <w:rsid w:val="00EB681B"/>
    <w:rsid w:val="00EB7B02"/>
    <w:rsid w:val="00EC1A13"/>
    <w:rsid w:val="00EC4FAD"/>
    <w:rsid w:val="00EC50F3"/>
    <w:rsid w:val="00ED6953"/>
    <w:rsid w:val="00ED73C7"/>
    <w:rsid w:val="00ED7467"/>
    <w:rsid w:val="00ED77B1"/>
    <w:rsid w:val="00EE3CFA"/>
    <w:rsid w:val="00EE4258"/>
    <w:rsid w:val="00EE69E4"/>
    <w:rsid w:val="00EF15B2"/>
    <w:rsid w:val="00EF2A7F"/>
    <w:rsid w:val="00EF7E90"/>
    <w:rsid w:val="00F002B6"/>
    <w:rsid w:val="00F10AFE"/>
    <w:rsid w:val="00F15C6C"/>
    <w:rsid w:val="00F17173"/>
    <w:rsid w:val="00F20987"/>
    <w:rsid w:val="00F22339"/>
    <w:rsid w:val="00F224DC"/>
    <w:rsid w:val="00F22EF9"/>
    <w:rsid w:val="00F2492A"/>
    <w:rsid w:val="00F2687F"/>
    <w:rsid w:val="00F26A5E"/>
    <w:rsid w:val="00F27F29"/>
    <w:rsid w:val="00F31CD6"/>
    <w:rsid w:val="00F32D54"/>
    <w:rsid w:val="00F36C54"/>
    <w:rsid w:val="00F418EA"/>
    <w:rsid w:val="00F41A29"/>
    <w:rsid w:val="00F44C1C"/>
    <w:rsid w:val="00F46CE3"/>
    <w:rsid w:val="00F46DBB"/>
    <w:rsid w:val="00F518DF"/>
    <w:rsid w:val="00F544DB"/>
    <w:rsid w:val="00F54AAA"/>
    <w:rsid w:val="00F55BB6"/>
    <w:rsid w:val="00F641D9"/>
    <w:rsid w:val="00F648EA"/>
    <w:rsid w:val="00F6502E"/>
    <w:rsid w:val="00F65663"/>
    <w:rsid w:val="00F75147"/>
    <w:rsid w:val="00F756C0"/>
    <w:rsid w:val="00F75A40"/>
    <w:rsid w:val="00F77637"/>
    <w:rsid w:val="00F8435D"/>
    <w:rsid w:val="00F862E5"/>
    <w:rsid w:val="00F87DD0"/>
    <w:rsid w:val="00F93360"/>
    <w:rsid w:val="00F93FE4"/>
    <w:rsid w:val="00F96712"/>
    <w:rsid w:val="00F97E4E"/>
    <w:rsid w:val="00FA1A40"/>
    <w:rsid w:val="00FA217B"/>
    <w:rsid w:val="00FB064A"/>
    <w:rsid w:val="00FB0BC5"/>
    <w:rsid w:val="00FB0BCC"/>
    <w:rsid w:val="00FB1270"/>
    <w:rsid w:val="00FB3EA7"/>
    <w:rsid w:val="00FB4996"/>
    <w:rsid w:val="00FC0FE5"/>
    <w:rsid w:val="00FC1313"/>
    <w:rsid w:val="00FD1ABC"/>
    <w:rsid w:val="00FD790A"/>
    <w:rsid w:val="00FD7DDF"/>
    <w:rsid w:val="00FE3000"/>
    <w:rsid w:val="00FE4C92"/>
    <w:rsid w:val="00FE7898"/>
    <w:rsid w:val="00FF0FAA"/>
    <w:rsid w:val="00FF3759"/>
    <w:rsid w:val="00FF4396"/>
    <w:rsid w:val="00FF650A"/>
    <w:rsid w:val="03385ED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5B3BE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lv-LV"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50BF"/>
    <w:pPr>
      <w:spacing w:line="288" w:lineRule="auto"/>
      <w:jc w:val="both"/>
    </w:pPr>
    <w:rPr>
      <w:lang w:eastAsia="en-US" w:bidi="ar-SA"/>
    </w:rPr>
  </w:style>
  <w:style w:type="paragraph" w:styleId="Heading1">
    <w:name w:val="heading 1"/>
    <w:basedOn w:val="Normal"/>
    <w:next w:val="Normal"/>
    <w:link w:val="Heading1Char"/>
    <w:qFormat/>
    <w:rsid w:val="007E50BF"/>
    <w:pPr>
      <w:numPr>
        <w:numId w:val="1"/>
      </w:numPr>
      <w:outlineLvl w:val="0"/>
    </w:pPr>
    <w:rPr>
      <w:kern w:val="28"/>
    </w:rPr>
  </w:style>
  <w:style w:type="paragraph" w:styleId="Heading2">
    <w:name w:val="heading 2"/>
    <w:basedOn w:val="Normal"/>
    <w:next w:val="Normal"/>
    <w:link w:val="Heading2Char"/>
    <w:qFormat/>
    <w:rsid w:val="007E50BF"/>
    <w:pPr>
      <w:numPr>
        <w:ilvl w:val="1"/>
        <w:numId w:val="1"/>
      </w:numPr>
      <w:outlineLvl w:val="1"/>
    </w:pPr>
  </w:style>
  <w:style w:type="paragraph" w:styleId="Heading3">
    <w:name w:val="heading 3"/>
    <w:basedOn w:val="Normal"/>
    <w:next w:val="Normal"/>
    <w:link w:val="Heading3Char"/>
    <w:qFormat/>
    <w:rsid w:val="007E50BF"/>
    <w:pPr>
      <w:numPr>
        <w:ilvl w:val="2"/>
        <w:numId w:val="1"/>
      </w:numPr>
      <w:outlineLvl w:val="2"/>
    </w:pPr>
  </w:style>
  <w:style w:type="paragraph" w:styleId="Heading4">
    <w:name w:val="heading 4"/>
    <w:basedOn w:val="Normal"/>
    <w:next w:val="Normal"/>
    <w:link w:val="Heading4Char"/>
    <w:qFormat/>
    <w:rsid w:val="007E50BF"/>
    <w:pPr>
      <w:numPr>
        <w:ilvl w:val="3"/>
        <w:numId w:val="1"/>
      </w:numPr>
      <w:outlineLvl w:val="3"/>
    </w:pPr>
  </w:style>
  <w:style w:type="paragraph" w:styleId="Heading5">
    <w:name w:val="heading 5"/>
    <w:basedOn w:val="Normal"/>
    <w:next w:val="Normal"/>
    <w:link w:val="Heading5Char"/>
    <w:qFormat/>
    <w:rsid w:val="007E50BF"/>
    <w:pPr>
      <w:numPr>
        <w:ilvl w:val="4"/>
        <w:numId w:val="1"/>
      </w:numPr>
      <w:outlineLvl w:val="4"/>
    </w:pPr>
  </w:style>
  <w:style w:type="paragraph" w:styleId="Heading6">
    <w:name w:val="heading 6"/>
    <w:basedOn w:val="Normal"/>
    <w:next w:val="Normal"/>
    <w:link w:val="Heading6Char"/>
    <w:qFormat/>
    <w:rsid w:val="007E50BF"/>
    <w:pPr>
      <w:numPr>
        <w:ilvl w:val="5"/>
        <w:numId w:val="1"/>
      </w:numPr>
      <w:outlineLvl w:val="5"/>
    </w:pPr>
  </w:style>
  <w:style w:type="paragraph" w:styleId="Heading7">
    <w:name w:val="heading 7"/>
    <w:basedOn w:val="Normal"/>
    <w:next w:val="Normal"/>
    <w:link w:val="Heading7Char"/>
    <w:qFormat/>
    <w:rsid w:val="007E50BF"/>
    <w:pPr>
      <w:numPr>
        <w:ilvl w:val="6"/>
        <w:numId w:val="1"/>
      </w:numPr>
      <w:outlineLvl w:val="6"/>
    </w:pPr>
  </w:style>
  <w:style w:type="paragraph" w:styleId="Heading8">
    <w:name w:val="heading 8"/>
    <w:basedOn w:val="Normal"/>
    <w:next w:val="Normal"/>
    <w:link w:val="Heading8Char"/>
    <w:qFormat/>
    <w:rsid w:val="007E50BF"/>
    <w:pPr>
      <w:numPr>
        <w:ilvl w:val="7"/>
        <w:numId w:val="1"/>
      </w:numPr>
      <w:outlineLvl w:val="7"/>
    </w:pPr>
  </w:style>
  <w:style w:type="paragraph" w:styleId="Heading9">
    <w:name w:val="heading 9"/>
    <w:basedOn w:val="Normal"/>
    <w:next w:val="Normal"/>
    <w:link w:val="Heading9Char"/>
    <w:qFormat/>
    <w:rsid w:val="007E50BF"/>
    <w:pPr>
      <w:numPr>
        <w:ilvl w:val="8"/>
        <w:numId w:val="1"/>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eastAsia="en-US" w:bidi="ar-SA"/>
    </w:rPr>
  </w:style>
  <w:style w:type="character" w:customStyle="1" w:styleId="Heading2Char">
    <w:name w:val="Heading 2 Char"/>
    <w:basedOn w:val="DefaultParagraphFont"/>
    <w:link w:val="Heading2"/>
    <w:locked/>
    <w:rsid w:val="00CB1536"/>
    <w:rPr>
      <w:lang w:eastAsia="en-US" w:bidi="ar-SA"/>
    </w:rPr>
  </w:style>
  <w:style w:type="character" w:customStyle="1" w:styleId="Heading3Char">
    <w:name w:val="Heading 3 Char"/>
    <w:basedOn w:val="DefaultParagraphFont"/>
    <w:link w:val="Heading3"/>
    <w:locked/>
    <w:rsid w:val="00CB1536"/>
    <w:rPr>
      <w:lang w:eastAsia="en-US" w:bidi="ar-SA"/>
    </w:rPr>
  </w:style>
  <w:style w:type="character" w:customStyle="1" w:styleId="Heading4Char">
    <w:name w:val="Heading 4 Char"/>
    <w:basedOn w:val="DefaultParagraphFont"/>
    <w:link w:val="Heading4"/>
    <w:locked/>
    <w:rsid w:val="00CB1536"/>
    <w:rPr>
      <w:lang w:eastAsia="en-US" w:bidi="ar-SA"/>
    </w:rPr>
  </w:style>
  <w:style w:type="character" w:customStyle="1" w:styleId="Heading5Char">
    <w:name w:val="Heading 5 Char"/>
    <w:basedOn w:val="DefaultParagraphFont"/>
    <w:link w:val="Heading5"/>
    <w:locked/>
    <w:rsid w:val="00CB1536"/>
    <w:rPr>
      <w:lang w:eastAsia="en-US" w:bidi="ar-SA"/>
    </w:rPr>
  </w:style>
  <w:style w:type="character" w:customStyle="1" w:styleId="Heading6Char">
    <w:name w:val="Heading 6 Char"/>
    <w:basedOn w:val="DefaultParagraphFont"/>
    <w:link w:val="Heading6"/>
    <w:locked/>
    <w:rsid w:val="00CB1536"/>
    <w:rPr>
      <w:lang w:eastAsia="en-US" w:bidi="ar-SA"/>
    </w:rPr>
  </w:style>
  <w:style w:type="character" w:customStyle="1" w:styleId="Heading7Char">
    <w:name w:val="Heading 7 Char"/>
    <w:basedOn w:val="DefaultParagraphFont"/>
    <w:link w:val="Heading7"/>
    <w:locked/>
    <w:rsid w:val="00CB1536"/>
    <w:rPr>
      <w:lang w:eastAsia="en-US" w:bidi="ar-SA"/>
    </w:rPr>
  </w:style>
  <w:style w:type="character" w:customStyle="1" w:styleId="Heading8Char">
    <w:name w:val="Heading 8 Char"/>
    <w:basedOn w:val="DefaultParagraphFont"/>
    <w:link w:val="Heading8"/>
    <w:locked/>
    <w:rsid w:val="00CB1536"/>
    <w:rPr>
      <w:lang w:eastAsia="en-US" w:bidi="ar-SA"/>
    </w:rPr>
  </w:style>
  <w:style w:type="character" w:customStyle="1" w:styleId="Heading9Char">
    <w:name w:val="Heading 9 Char"/>
    <w:basedOn w:val="DefaultParagraphFont"/>
    <w:link w:val="Heading9"/>
    <w:locked/>
    <w:rsid w:val="00CB1536"/>
    <w:rPr>
      <w:lang w:eastAsia="en-US" w:bidi="ar-SA"/>
    </w:rPr>
  </w:style>
  <w:style w:type="paragraph" w:styleId="Footer">
    <w:name w:val="footer"/>
    <w:basedOn w:val="Normal"/>
    <w:link w:val="FooterChar"/>
    <w:qFormat/>
    <w:rsid w:val="007E50BF"/>
  </w:style>
  <w:style w:type="character" w:customStyle="1" w:styleId="FooterChar">
    <w:name w:val="Footer Char"/>
    <w:basedOn w:val="DefaultParagraphFont"/>
    <w:link w:val="Footer"/>
    <w:locked/>
    <w:rsid w:val="00CB1536"/>
    <w:rPr>
      <w:lang w:eastAsia="en-US" w:bidi="ar-SA"/>
    </w:rPr>
  </w:style>
  <w:style w:type="paragraph" w:styleId="FootnoteText">
    <w:name w:val="footnote text"/>
    <w:basedOn w:val="Normal"/>
    <w:link w:val="FootnoteTextChar"/>
    <w:qFormat/>
    <w:rsid w:val="007E50BF"/>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lv-LV" w:eastAsia="en-US" w:bidi="ar-SA"/>
    </w:rPr>
  </w:style>
  <w:style w:type="paragraph" w:styleId="Header">
    <w:name w:val="header"/>
    <w:basedOn w:val="Normal"/>
    <w:link w:val="HeaderChar"/>
    <w:qFormat/>
    <w:rsid w:val="007E50BF"/>
  </w:style>
  <w:style w:type="character" w:customStyle="1" w:styleId="HeaderChar">
    <w:name w:val="Header Char"/>
    <w:basedOn w:val="DefaultParagraphFont"/>
    <w:link w:val="Header"/>
    <w:locked/>
    <w:rsid w:val="00CB1536"/>
    <w:rPr>
      <w:lang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basedOn w:val="DefaultParagraphFont"/>
    <w:unhideWhenUsed/>
    <w:qFormat/>
    <w:rsid w:val="007E50BF"/>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7E50BF"/>
    <w:pPr>
      <w:ind w:left="720"/>
    </w:pPr>
    <w:rPr>
      <w:i/>
    </w:rPr>
  </w:style>
  <w:style w:type="character" w:customStyle="1" w:styleId="UnresolvedMention1">
    <w:name w:val="Unresolved Mention1"/>
    <w:basedOn w:val="DefaultParagraphFont"/>
    <w:uiPriority w:val="99"/>
    <w:semiHidden/>
    <w:unhideWhenUsed/>
    <w:rsid w:val="009E650E"/>
    <w:rPr>
      <w:color w:val="605E5C"/>
      <w:shd w:val="clear" w:color="auto" w:fill="E1DFDD"/>
    </w:rPr>
  </w:style>
  <w:style w:type="paragraph" w:styleId="BalloonText">
    <w:name w:val="Balloon Text"/>
    <w:basedOn w:val="Normal"/>
    <w:link w:val="BalloonTextChar"/>
    <w:uiPriority w:val="99"/>
    <w:semiHidden/>
    <w:unhideWhenUsed/>
    <w:rsid w:val="00D4703C"/>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703C"/>
    <w:rPr>
      <w:rFonts w:ascii="Segoe UI" w:hAnsi="Segoe UI" w:cs="Segoe UI"/>
      <w:sz w:val="18"/>
      <w:szCs w:val="18"/>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2949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yperlink" Target="mailto:eco@eesc.europa.eu"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s>
</file>

<file path=word/_rels/footnotes.xml.rels><?xml version="1.0" encoding="UTF-8" standalone="yes"?>
<Relationships xmlns="http://schemas.openxmlformats.org/package/2006/relationships"><Relationship Id="rId1" Type="http://schemas.openxmlformats.org/officeDocument/2006/relationships/hyperlink" Target="https://data.europa.eu/eli/C/2025/5153/o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M Document" ma:contentTypeID="0x010100EA97B91038054C99906057A708A1480A00B192796EE9568A4C8E77C6EF5F22B614" ma:contentTypeVersion="4" ma:contentTypeDescription="Defines the documents for Document Manager V2" ma:contentTypeScope="" ma:versionID="b9faea45a7e02bbb816d4162149d5e49">
  <xsd:schema xmlns:xsd="http://www.w3.org/2001/XMLSchema" xmlns:xs="http://www.w3.org/2001/XMLSchema" xmlns:p="http://schemas.microsoft.com/office/2006/metadata/properties" xmlns:ns2="1a33af13-4045-4f88-9d7b-618e30f79918" xmlns:ns3="http://schemas.microsoft.com/sharepoint/v3/fields" xmlns:ns4="27994258-8564-426c-a7a1-d6286d62992e" targetNamespace="http://schemas.microsoft.com/office/2006/metadata/properties" ma:root="true" ma:fieldsID="af51dee0f9c2d9a0a51b5858d1a4441d" ns2:_="" ns3:_="" ns4:_="">
    <xsd:import namespace="1a33af13-4045-4f88-9d7b-618e30f79918"/>
    <xsd:import namespace="http://schemas.microsoft.com/sharepoint/v3/fields"/>
    <xsd:import namespace="27994258-8564-426c-a7a1-d6286d62992e"/>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7994258-8564-426c-a7a1-d6286d62992e"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A6WAAD5KZT2Q-284857674-3891</_dlc_DocId>
    <_dlc_DocIdUrl xmlns="1a33af13-4045-4f88-9d7b-618e30f79918">
      <Url>http://dm/eesc/2025/_layouts/15/DocIdRedir.aspx?ID=A6WAAD5KZT2Q-284857674-3891</Url>
      <Description>A6WAAD5KZT2Q-284857674-3891</Description>
    </_dlc_DocIdUrl>
    <Procedure xmlns="1a33af13-4045-4f88-9d7b-618e30f79918">2025/0238(COD)</Procedure>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2025-11-24T12:00:00+00:00</ProductionDate>
    <DocumentNumber xmlns="27994258-8564-426c-a7a1-d6286d62992e">3305</DocumentNumber>
    <FicheYear xmlns="1a33af13-4045-4f88-9d7b-618e30f79918" xsi:nil="true"/>
    <DossierNumber xmlns="1a33af13-4045-4f88-9d7b-618e30f79918">685</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67</Value>
      <Value>50</Value>
      <Value>47</Value>
      <Value>46</Value>
      <Value>43</Value>
      <Value>42</Value>
      <Value>41</Value>
      <Value>40</Value>
      <Value>39</Value>
      <Value>37</Value>
      <Value>36</Value>
      <Value>35</Value>
      <Value>34</Value>
      <Value>33</Value>
      <Value>32</Value>
      <Value>31</Value>
      <Value>30</Value>
      <Value>29</Value>
      <Value>28</Value>
      <Value>27</Value>
      <Value>24</Value>
      <Value>23</Value>
      <Value>16</Value>
      <Value>15</Value>
      <Value>103</Value>
      <Value>13</Value>
      <Value>12</Value>
      <Value>8</Value>
      <Value>5</Value>
      <Value>126</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LV</TermName>
          <TermId xmlns="http://schemas.microsoft.com/office/infopath/2007/PartnerControls">46f7e311-5d9f-4663-b433-18aeccb7ace7</TermId>
        </TermInfo>
      </Terms>
    </DocumentLanguage_0>
    <Rapporteur xmlns="1a33af13-4045-4f88-9d7b-618e30f79918">SVENTEK</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296653</FicheNumber>
    <OriginalSender xmlns="1a33af13-4045-4f88-9d7b-618e30f79918">
      <UserInfo>
        <DisplayName>Gotharde Sintija</DisplayName>
        <AccountId>1508</AccountId>
        <AccountType/>
      </UserInfo>
    </OriginalSender>
    <DocumentPart xmlns="1a33af13-4045-4f88-9d7b-618e30f79918">0</DocumentPart>
    <AdoptionDate xmlns="1a33af13-4045-4f88-9d7b-618e30f79918" xsi:nil="true"/>
    <RequestingService xmlns="1a33af13-4045-4f88-9d7b-618e30f79918">Union économique et monétaire et cohésion économique et sociale</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27994258-8564-426c-a7a1-d6286d62992e">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ECO</TermName>
          <TermId xmlns="http://schemas.microsoft.com/office/infopath/2007/PartnerControls">8df351f5-c957-404c-8cf3-8ffb22c9cba2</TermId>
        </TermInfo>
      </Terms>
    </DossierName_0>
    <DocumentVersion xmlns="1a33af13-4045-4f88-9d7b-618e30f79918">0</DocumentVersion>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F48E4FDC-A97A-48E5-B27C-BF7A29BCB4B0}"/>
</file>

<file path=customXml/itemProps2.xml><?xml version="1.0" encoding="utf-8"?>
<ds:datastoreItem xmlns:ds="http://schemas.openxmlformats.org/officeDocument/2006/customXml" ds:itemID="{527DD4EA-1545-4DEC-9807-502C1AD4C2C3}">
  <ds:schemaRefs>
    <ds:schemaRef ds:uri="http://schemas.microsoft.com/office/2006/metadata/properties"/>
    <ds:schemaRef ds:uri="http://schemas.microsoft.com/office/infopath/2007/PartnerControls"/>
    <ds:schemaRef ds:uri="1a33af13-4045-4f88-9d7b-618e30f79918"/>
    <ds:schemaRef ds:uri="http://schemas.microsoft.com/sharepoint/v3/fields"/>
    <ds:schemaRef ds:uri="27994258-8564-426c-a7a1-d6286d62992e"/>
  </ds:schemaRefs>
</ds:datastoreItem>
</file>

<file path=customXml/itemProps3.xml><?xml version="1.0" encoding="utf-8"?>
<ds:datastoreItem xmlns:ds="http://schemas.openxmlformats.org/officeDocument/2006/customXml" ds:itemID="{54616B32-3BFA-4CEF-885E-7B38B62AB602}">
  <ds:schemaRefs>
    <ds:schemaRef ds:uri="http://schemas.microsoft.com/sharepoint/v3/contenttype/forms"/>
  </ds:schemaRefs>
</ds:datastoreItem>
</file>

<file path=customXml/itemProps4.xml><?xml version="1.0" encoding="utf-8"?>
<ds:datastoreItem xmlns:ds="http://schemas.openxmlformats.org/officeDocument/2006/customXml" ds:itemID="{749CF32A-7D91-47CF-9497-43D667406426}">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1890</Words>
  <Characters>12881</Characters>
  <Application>Microsoft Office Word</Application>
  <DocSecurity>0</DocSecurity>
  <Lines>107</Lines>
  <Paragraphs>29</Paragraphs>
  <ScaleCrop>false</ScaleCrop>
  <HeadingPairs>
    <vt:vector size="6" baseType="variant">
      <vt:variant>
        <vt:lpstr>Title</vt:lpstr>
      </vt:variant>
      <vt:variant>
        <vt:i4>1</vt:i4>
      </vt:variant>
      <vt:variant>
        <vt:lpstr>Název</vt:lpstr>
      </vt:variant>
      <vt:variant>
        <vt:i4>1</vt:i4>
      </vt:variant>
      <vt:variant>
        <vt:lpstr>Titolo</vt:lpstr>
      </vt:variant>
      <vt:variant>
        <vt:i4>1</vt:i4>
      </vt:variant>
    </vt:vector>
  </HeadingPairs>
  <TitlesOfParts>
    <vt:vector size="3" baseType="lpstr">
      <vt:lpstr>European Fund for Regional Development including for Interreg and the Cohesion Fund</vt:lpstr>
      <vt:lpstr>Administrative cooperation in the field of taxation</vt:lpstr>
      <vt:lpstr>EESC DT - Model</vt:lpstr>
    </vt:vector>
  </TitlesOfParts>
  <Manager/>
  <Company/>
  <LinksUpToDate>false</LinksUpToDate>
  <CharactersWithSpaces>14742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Eiropas Reģionālās attīstības fonds, ietverot Interreg, un Kohēzijas fonds</dc:title>
  <dc:subject>Draft opinion</dc:subject>
  <dc:creator/>
  <cp:keywords>EESC-2025-03305-00-00-PA-TRA-EN</cp:keywords>
  <dc:description>Rapporteur: - SVENTEK Original language: - EN Date of document: - 13/11/2025 Date of meeting: - 20/11/2025 External documents: - COM(2025)552- final Administrator responsible: -  MELEAS Georgios</dc:description>
  <cp:lastModifiedBy/>
  <cp:revision>11</cp:revision>
  <cp:lastPrinted>2025-01-05T21:33:00Z</cp:lastPrinted>
  <dcterms:created xsi:type="dcterms:W3CDTF">2025-11-21T10:59:00Z</dcterms:created>
  <dcterms:modified xsi:type="dcterms:W3CDTF">2025-11-24T13:07:00Z</dcterms:modified>
  <cp:category>ECO/685</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21/11/2025, 13/11/2025, 05/11/2025, 09/01/2025, 12/04/2024, 17/05/2022, 04/11/2015, 27/10/2015, 19/10/2015, 09/10/2015, 05/10/2015, 05/10/2015, 26/08/2015, 26/08/2015, 25/08/2015</vt:lpwstr>
  </property>
  <property fmtid="{D5CDD505-2E9C-101B-9397-08002B2CF9AE}" pid="4" name="Pref_Time">
    <vt:lpwstr>11:54:36, 09:24:58, 08:39:38, 15:24:19, 12:08:09, 12:59:17, 12/10/07, 14:44:02, 16/04/16, 14:09:30, 16:24:55, 16:04:02, 08:56:14, 07:27:56, 17:31:53</vt:lpwstr>
  </property>
  <property fmtid="{D5CDD505-2E9C-101B-9397-08002B2CF9AE}" pid="5" name="Pref_User">
    <vt:lpwstr>jhvi, amett, pacup, jhvi, enied, enied, ssex, enied, amett, tvoc, mreg, mreg, amett, enied, ssex</vt:lpwstr>
  </property>
  <property fmtid="{D5CDD505-2E9C-101B-9397-08002B2CF9AE}" pid="6" name="Pref_FileName">
    <vt:lpwstr>EESC-2025-03305-00-00-AS-TRA-EN-CRR.docx, EESC-2025-03305-00-00-PA-TRA-EN-CRR.docx, EESC-2025-03305-00-00-DT-ORI.docx, EESC-2024-04551-00-00-DT-ORI.docx, COR-EESC-2024-01326-00-00-ADMIN-ORI.docx, COR-EESC-2022-02586-00-00-ADMIN-ORI.docx, EESC-2015-05408-0</vt:lpwstr>
  </property>
  <property fmtid="{D5CDD505-2E9C-101B-9397-08002B2CF9AE}" pid="7" name="ContentTypeId">
    <vt:lpwstr>0x010100EA97B91038054C99906057A708A1480A00B192796EE9568A4C8E77C6EF5F22B614</vt:lpwstr>
  </property>
  <property fmtid="{D5CDD505-2E9C-101B-9397-08002B2CF9AE}" pid="8" name="_dlc_DocIdItemGuid">
    <vt:lpwstr>bce6aac8-5bbd-4f68-bb67-8e7aeaf489a5</vt:lpwstr>
  </property>
  <property fmtid="{D5CDD505-2E9C-101B-9397-08002B2CF9AE}" pid="9" name="Procedure">
    <vt:lpwstr>2025/0238(COD)</vt:lpwstr>
  </property>
  <property fmtid="{D5CDD505-2E9C-101B-9397-08002B2CF9AE}" pid="10" name="AvailableTranslations">
    <vt:lpwstr>31;#SL|98a412ae-eb01-49e9-ae3d-585a81724cfc;#29;#CS|72f9705b-0217-4fd3-bea2-cbc7ed80e26e;#30;#LT|a7ff5ce7-6123-4f68-865a-a57c31810414;#24;#PL|1e03da61-4678-4e07-b136-b5024ca9197b;#46;#SK|46d9fce0-ef79-4f71-b89b-cd6aa82426b8;#37;#HU|6b229040-c589-4408-b4c1-4285663d20a8;#23;#DE|f6b31e5a-26fa-4935-b661-318e46daf27e;#34;#IT|0774613c-01ed-4e5d-a25d-11d2388de825;#50;#HR|2f555653-ed1a-4fe6-8362-9082d95989e5;#47;#BG|1a1b3951-7821-4e6a-85f5-5673fc08bd2c;#35;#FI|87606a43-d45f-42d6-b8c9-e1a3457db5b7;#33;#PT|50ccc04a-eadd-42ae-a0cb-acaf45f812ba;#41;#ET|ff6c3f4c-b02c-4c3c-ab07-2c37995a7a0a;#27;#NL|55c6556c-b4f4-441d-9acf-c498d4f838bd;#32;#MT|7df99101-6854-4a26-b53a-b88c0da02c26;#16;#ES|e7a6b05b-ae16-40c8-add9-68b64b03aeba;#40;#DA|5d49c027-8956-412b-aa16-e85a0f96ad0e;#39;#LV|46f7e311-5d9f-4663-b433-18aeccb7ace7;#43;#GA|762d2456-c427-4ecb-b312-af3dad8e258c;#42;#EL|6d4f4d51-af9b-4650-94b4-4276bee85c91;#5;#EN|f2175f21-25d7-44a3-96da-d6a61b075e1b;#36;#RO|feb747a2-64cd-4299-af12-4833ddc30497;#12;#FR|d2afafd3-4c81-4f60-8f52-ee33f2f54ff3;#28;#SV|c2ed69e7-a339-43d7-8f22-d93680a92aa0</vt:lpwstr>
  </property>
  <property fmtid="{D5CDD505-2E9C-101B-9397-08002B2CF9AE}" pid="11" name="DocumentType_0">
    <vt:lpwstr>AS|c7a748eb-f6f2-4d9d-8b5a-af0cafebc224</vt:lpwstr>
  </property>
  <property fmtid="{D5CDD505-2E9C-101B-9397-08002B2CF9AE}" pid="12" name="MeetingNumber">
    <vt:i4>601</vt:i4>
  </property>
  <property fmtid="{D5CDD505-2E9C-101B-9397-08002B2CF9AE}" pid="13" name="DossierName_0">
    <vt:lpwstr>ECO|8df351f5-c957-404c-8cf3-8ffb22c9cba2</vt:lpwstr>
  </property>
  <property fmtid="{D5CDD505-2E9C-101B-9397-08002B2CF9AE}" pid="14" name="DocumentSource_0">
    <vt:lpwstr>EESC|422833ec-8d7e-4e65-8e4e-8bed07ffb729</vt:lpwstr>
  </property>
  <property fmtid="{D5CDD505-2E9C-101B-9397-08002B2CF9AE}" pid="15" name="DocumentNumber">
    <vt:i4>3305</vt:i4>
  </property>
  <property fmtid="{D5CDD505-2E9C-101B-9397-08002B2CF9AE}" pid="16" name="FicheYear">
    <vt:i4>2025</vt:i4>
  </property>
  <property fmtid="{D5CDD505-2E9C-101B-9397-08002B2CF9AE}" pid="17" name="DocumentVersion">
    <vt:i4>0</vt:i4>
  </property>
  <property fmtid="{D5CDD505-2E9C-101B-9397-08002B2CF9AE}" pid="18" name="DossierNumber">
    <vt:i4>685</vt:i4>
  </property>
  <property fmtid="{D5CDD505-2E9C-101B-9397-08002B2CF9AE}" pid="19" name="DocumentStatus">
    <vt:lpwstr>13;#TRA|150d2a88-1431-44e6-a8ca-0bb753ab8672</vt:lpwstr>
  </property>
  <property fmtid="{D5CDD505-2E9C-101B-9397-08002B2CF9AE}" pid="20" name="DossierName">
    <vt:lpwstr>103;#ECO|8df351f5-c957-404c-8cf3-8ffb22c9cba2</vt:lpwstr>
  </property>
  <property fmtid="{D5CDD505-2E9C-101B-9397-08002B2CF9AE}" pid="21" name="RequestingService">
    <vt:lpwstr>Union économique et monétaire et cohésion économique et sociale</vt:lpwstr>
  </property>
  <property fmtid="{D5CDD505-2E9C-101B-9397-08002B2CF9AE}" pid="22" name="Confidentiality">
    <vt:lpwstr>15;#Unrestricted|826e22d7-d029-4ec0-a450-0c28ff673572</vt:lpwstr>
  </property>
  <property fmtid="{D5CDD505-2E9C-101B-9397-08002B2CF9AE}" pid="23" name="MeetingName_0">
    <vt:lpwstr>SPL-CES|32d8cb1f-c9ec-4365-95c7-8385a18618ac</vt:lpwstr>
  </property>
  <property fmtid="{D5CDD505-2E9C-101B-9397-08002B2CF9AE}" pid="24" name="Confidentiality_0">
    <vt:lpwstr>Unrestricted|826e22d7-d029-4ec0-a450-0c28ff673572</vt:lpwstr>
  </property>
  <property fmtid="{D5CDD505-2E9C-101B-9397-08002B2CF9AE}" pid="25" name="OriginalLanguage">
    <vt:lpwstr>5;#EN|f2175f21-25d7-44a3-96da-d6a61b075e1b</vt:lpwstr>
  </property>
  <property fmtid="{D5CDD505-2E9C-101B-9397-08002B2CF9AE}" pid="26" name="MeetingName">
    <vt:lpwstr>67;#SPL-CES|32d8cb1f-c9ec-4365-95c7-8385a18618ac</vt:lpwstr>
  </property>
  <property fmtid="{D5CDD505-2E9C-101B-9397-08002B2CF9AE}" pid="27" name="MeetingDate">
    <vt:filetime>2025-12-03T12:00:00Z</vt:filetime>
  </property>
  <property fmtid="{D5CDD505-2E9C-101B-9397-08002B2CF9AE}" pid="28" name="AvailableTranslations_0">
    <vt:lpwstr>SL|98a412ae-eb01-49e9-ae3d-585a81724cfc;CS|72f9705b-0217-4fd3-bea2-cbc7ed80e26e;LT|a7ff5ce7-6123-4f68-865a-a57c31810414;PL|1e03da61-4678-4e07-b136-b5024ca9197b;DE|f6b31e5a-26fa-4935-b661-318e46daf27e;IT|0774613c-01ed-4e5d-a25d-11d2388de825;BG|1a1b3951-7821-4e6a-85f5-5673fc08bd2c;FI|87606a43-d45f-42d6-b8c9-e1a3457db5b7;PT|50ccc04a-eadd-42ae-a0cb-acaf45f812ba;ET|ff6c3f4c-b02c-4c3c-ab07-2c37995a7a0a;ES|e7a6b05b-ae16-40c8-add9-68b64b03aeba;EN|f2175f21-25d7-44a3-96da-d6a61b075e1b;SV|c2ed69e7-a339-43d7-8f22-d93680a92aa0</vt:lpwstr>
  </property>
  <property fmtid="{D5CDD505-2E9C-101B-9397-08002B2CF9AE}" pid="29" name="DocumentStatus_0">
    <vt:lpwstr>TRA|150d2a88-1431-44e6-a8ca-0bb753ab8672</vt:lpwstr>
  </property>
  <property fmtid="{D5CDD505-2E9C-101B-9397-08002B2CF9AE}" pid="30" name="OriginalLanguage_0">
    <vt:lpwstr>EN|f2175f21-25d7-44a3-96da-d6a61b075e1b</vt:lpwstr>
  </property>
  <property fmtid="{D5CDD505-2E9C-101B-9397-08002B2CF9AE}" pid="31" name="TaxCatchAll">
    <vt:lpwstr>35;#FI|87606a43-d45f-42d6-b8c9-e1a3457db5b7;#34;#IT|0774613c-01ed-4e5d-a25d-11d2388de825;#33;#PT|50ccc04a-eadd-42ae-a0cb-acaf45f812ba;#31;#SL|98a412ae-eb01-49e9-ae3d-585a81724cfc;#30;#LT|a7ff5ce7-6123-4f68-865a-a57c31810414;#103;#ECO|8df351f5-c957-404c-8cf3-8ffb22c9cba2;#67;#SPL-CES|32d8cb1f-c9ec-4365-95c7-8385a18618ac;#24;#PL|1e03da61-4678-4e07-b136-b5024ca9197b;#23;#DE|f6b31e5a-26fa-4935-b661-318e46daf27e;#15;#Unrestricted|826e22d7-d029-4ec0-a450-0c28ff673572;#16;#ES|e7a6b05b-ae16-40c8-add9-68b64b03aeba;#126;#AS|c7a748eb-f6f2-4d9d-8b5a-af0cafebc224;#13;#TRA|150d2a88-1431-44e6-a8ca-0bb753ab8672;#28;#SV|c2ed69e7-a339-43d7-8f22-d93680a92aa0;#47;#BG|1a1b3951-7821-4e6a-85f5-5673fc08bd2c;#8;#Final|ea5e6674-7b27-4bac-b091-73adbb394efe;#29;#CS|72f9705b-0217-4fd3-bea2-cbc7ed80e26e;#5;#EN|f2175f21-25d7-44a3-96da-d6a61b075e1b;#41;#ET|ff6c3f4c-b02c-4c3c-ab07-2c37995a7a0a;#1;#EESC|422833ec-8d7e-4e65-8e4e-8bed07ffb729</vt:lpwstr>
  </property>
  <property fmtid="{D5CDD505-2E9C-101B-9397-08002B2CF9AE}" pid="32" name="Rapporteur">
    <vt:lpwstr>SVENTEK</vt:lpwstr>
  </property>
  <property fmtid="{D5CDD505-2E9C-101B-9397-08002B2CF9AE}" pid="33" name="VersionStatus_0">
    <vt:lpwstr>Final|ea5e6674-7b27-4bac-b091-73adbb394efe</vt:lpwstr>
  </property>
  <property fmtid="{D5CDD505-2E9C-101B-9397-08002B2CF9AE}" pid="34" name="VersionStatus">
    <vt:lpwstr>8;#Final|ea5e6674-7b27-4bac-b091-73adbb394efe</vt:lpwstr>
  </property>
  <property fmtid="{D5CDD505-2E9C-101B-9397-08002B2CF9AE}" pid="35" name="DocumentYear">
    <vt:i4>2025</vt:i4>
  </property>
  <property fmtid="{D5CDD505-2E9C-101B-9397-08002B2CF9AE}" pid="36" name="FicheNumber">
    <vt:i4>296653</vt:i4>
  </property>
  <property fmtid="{D5CDD505-2E9C-101B-9397-08002B2CF9AE}" pid="37" name="DocumentPart">
    <vt:i4>0</vt:i4>
  </property>
  <property fmtid="{D5CDD505-2E9C-101B-9397-08002B2CF9AE}" pid="38" name="DocumentSource">
    <vt:lpwstr>1;#EESC|422833ec-8d7e-4e65-8e4e-8bed07ffb729</vt:lpwstr>
  </property>
  <property fmtid="{D5CDD505-2E9C-101B-9397-08002B2CF9AE}" pid="39" name="DocumentType">
    <vt:lpwstr>126;#AS|c7a748eb-f6f2-4d9d-8b5a-af0cafebc224</vt:lpwstr>
  </property>
  <property fmtid="{D5CDD505-2E9C-101B-9397-08002B2CF9AE}" pid="40" name="DocumentLanguage">
    <vt:lpwstr>39;#LV|46f7e311-5d9f-4663-b433-18aeccb7ace7</vt:lpwstr>
  </property>
  <property fmtid="{D5CDD505-2E9C-101B-9397-08002B2CF9AE}" pid="41" name="_docset_NoMedatataSyncRequired">
    <vt:lpwstr>False</vt:lpwstr>
  </property>
  <property fmtid="{D5CDD505-2E9C-101B-9397-08002B2CF9AE}" pid="42" name="DocumentLanguage_0">
    <vt:lpwstr>EN|f2175f21-25d7-44a3-96da-d6a61b075e1b</vt:lpwstr>
  </property>
</Properties>
</file>