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BE56A" w14:textId="5F43D8C4" w:rsidR="00747364" w:rsidRDefault="00161052">
      <w:pPr>
        <w:jc w:val="center"/>
      </w:pPr>
      <w:r>
        <w:rPr>
          <w:noProof/>
        </w:rPr>
        <w:drawing>
          <wp:inline distT="0" distB="0" distL="0" distR="0" wp14:anchorId="0A07E46A" wp14:editId="42AC18E5">
            <wp:extent cx="1792605" cy="1239520"/>
            <wp:effectExtent l="0" t="0" r="0" b="0"/>
            <wp:docPr id="2" name="Picture 2" title="EESCLogo_RO"/>
            <wp:cNvGraphicFramePr/>
            <a:graphic xmlns:a="http://schemas.openxmlformats.org/drawingml/2006/main">
              <a:graphicData uri="http://schemas.openxmlformats.org/drawingml/2006/picture">
                <pic:pic xmlns:pic="http://schemas.openxmlformats.org/drawingml/2006/picture">
                  <pic:nvPicPr>
                    <pic:cNvPr id="2" name="Picture 2" title="EESCLogo_RO"/>
                    <pic:cNvPicPr/>
                  </pic:nvPicPr>
                  <pic:blipFill>
                    <a:blip r:embed="rId11"/>
                    <a:stretch>
                      <a:fillRect/>
                    </a:stretch>
                  </pic:blipFill>
                  <pic:spPr>
                    <a:xfrm>
                      <a:off x="0" y="0"/>
                      <a:ext cx="1792605" cy="1239520"/>
                    </a:xfrm>
                    <a:prstGeom prst="rect">
                      <a:avLst/>
                    </a:prstGeom>
                  </pic:spPr>
                </pic:pic>
              </a:graphicData>
            </a:graphic>
          </wp:inline>
        </w:drawing>
      </w:r>
      <w:r w:rsidR="00844F27">
        <w:rPr>
          <w:noProof/>
          <w:sz w:val="20"/>
        </w:rPr>
        <mc:AlternateContent>
          <mc:Choice Requires="wps">
            <w:drawing>
              <wp:anchor distT="0" distB="0" distL="114300" distR="114300" simplePos="0" relativeHeight="251659264" behindDoc="1" locked="0" layoutInCell="0" allowOverlap="1" wp14:anchorId="131133D6" wp14:editId="48DFB8C2">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 xmlns:pic="http://schemas.openxmlformats.org/drawingml/2006/pictur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w16sdtfl="http://schemas.microsoft.com/office/word/2024/wordml/sdtformatlock" xmlns:w16du="http://schemas.microsoft.com/office/word/2023/wordml/word16du" xmlns:oel="http://schemas.microsoft.com/office/2019/extlst">
                              <a:solidFill>
                                <a:srgbClr val="FFFFFF"/>
                              </a:solidFill>
                            </a14:hiddenFill>
                          </a:ext>
                          <a:ext uri="{91240B29-F687-4f45-9708-019B960494DF}">
                            <a14:hiddenLine xmlns="" xmlns:pic="http://schemas.openxmlformats.org/drawingml/2006/pictur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w16sdtfl="http://schemas.microsoft.com/office/word/2024/wordml/sdtformatlock" xmlns:w16du="http://schemas.microsoft.com/office/word/2023/wordml/word16du" xmlns:oel="http://schemas.microsoft.com/office/2019/extlst" w="9525">
                              <a:solidFill>
                                <a:srgbClr val="000000"/>
                              </a:solidFill>
                              <a:miter lim="800000"/>
                              <a:headEnd/>
                              <a:tailEnd/>
                            </a14:hiddenLine>
                          </a:ext>
                        </a:extLst>
                      </wps:spPr>
                      <wps:txbx>
                        <w:txbxContent>
                          <w:p w14:paraId="45060660" w14:textId="77777777" w:rsidR="00747364" w:rsidRDefault="00844F27">
                            <w:pPr>
                              <w:jc w:val="center"/>
                              <w:rPr>
                                <w:rFonts w:ascii="Arial" w:hAnsi="Arial" w:cs="Arial"/>
                                <w:b/>
                                <w:bCs/>
                                <w:sz w:val="48"/>
                              </w:rPr>
                            </w:pPr>
                            <w:r>
                              <w:rPr>
                                <w:rFonts w:ascii="Arial" w:hAnsi="Arial"/>
                                <w:b/>
                                <w:sz w:val="48"/>
                              </w:rPr>
                              <w:t>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1133D6"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45060660" w14:textId="77777777" w:rsidR="00747364" w:rsidRDefault="00844F27">
                      <w:pPr>
                        <w:jc w:val="center"/>
                        <w:rPr>
                          <w:rFonts w:ascii="Arial" w:hAnsi="Arial" w:cs="Arial"/>
                          <w:b/>
                          <w:bCs/>
                          <w:sz w:val="48"/>
                        </w:rPr>
                      </w:pPr>
                      <w:r>
                        <w:rPr>
                          <w:rFonts w:ascii="Arial" w:hAnsi="Arial"/>
                          <w:b/>
                          <w:sz w:val="48"/>
                        </w:rPr>
                        <w:t>RO</w:t>
                      </w:r>
                    </w:p>
                  </w:txbxContent>
                </v:textbox>
                <w10:wrap anchorx="page" anchory="page"/>
              </v:shape>
            </w:pict>
          </mc:Fallback>
        </mc:AlternateContent>
      </w:r>
    </w:p>
    <w:p w14:paraId="5E7A16AD" w14:textId="77777777" w:rsidR="00747364" w:rsidRDefault="00747364"/>
    <w:p w14:paraId="5B3BE56B" w14:textId="1A860352" w:rsidR="00747364" w:rsidRDefault="00844F27">
      <w:pPr>
        <w:jc w:val="right"/>
        <w:rPr>
          <w:b/>
          <w:bCs/>
        </w:rPr>
      </w:pPr>
      <w:r>
        <w:rPr>
          <w:b/>
        </w:rPr>
        <w:t>REX/608</w:t>
      </w:r>
    </w:p>
    <w:p w14:paraId="31C9F9CA" w14:textId="41CEDD14" w:rsidR="00747364" w:rsidRDefault="00844F27">
      <w:pPr>
        <w:jc w:val="right"/>
      </w:pPr>
      <w:r>
        <w:rPr>
          <w:b/>
        </w:rPr>
        <w:t>O cale de urmat europeană previzibilă și comună</w:t>
      </w:r>
      <w:r>
        <w:rPr>
          <w:b/>
        </w:rPr>
        <w:br/>
        <w:t>pentru ucraineni în UE</w:t>
      </w:r>
    </w:p>
    <w:p w14:paraId="5B3BE56D" w14:textId="77777777" w:rsidR="00747364" w:rsidRDefault="00747364"/>
    <w:p w14:paraId="5B3BE56E" w14:textId="77777777" w:rsidR="00747364" w:rsidRDefault="00747364"/>
    <w:p w14:paraId="3C09B2EE" w14:textId="41A78690" w:rsidR="00747364" w:rsidRDefault="00844F27">
      <w:pPr>
        <w:jc w:val="center"/>
        <w:rPr>
          <w:b/>
          <w:bCs/>
          <w:sz w:val="28"/>
          <w:szCs w:val="28"/>
        </w:rPr>
      </w:pPr>
      <w:r>
        <w:rPr>
          <w:b/>
          <w:sz w:val="28"/>
        </w:rPr>
        <w:t>AVIZ</w:t>
      </w:r>
    </w:p>
    <w:p w14:paraId="34368F6A" w14:textId="77777777" w:rsidR="00747364" w:rsidRDefault="00747364">
      <w:pPr>
        <w:jc w:val="center"/>
      </w:pPr>
    </w:p>
    <w:p w14:paraId="7D40B1DD" w14:textId="1DAE7C71" w:rsidR="00747364" w:rsidRDefault="00844F27">
      <w:pPr>
        <w:jc w:val="center"/>
      </w:pPr>
      <w:r>
        <w:t>Secțiunea pentru relații externe</w:t>
      </w:r>
    </w:p>
    <w:p w14:paraId="046C48E8" w14:textId="77777777" w:rsidR="00747364" w:rsidRDefault="00747364">
      <w:pPr>
        <w:jc w:val="center"/>
      </w:pPr>
    </w:p>
    <w:p w14:paraId="35D044C0" w14:textId="2006463C" w:rsidR="00747364" w:rsidRDefault="00844F27">
      <w:pPr>
        <w:jc w:val="center"/>
        <w:rPr>
          <w:b/>
        </w:rPr>
      </w:pPr>
      <w:r>
        <w:rPr>
          <w:b/>
        </w:rPr>
        <w:t xml:space="preserve">Comunicarea Comisiei către Parlamentul European, Consiliu, </w:t>
      </w:r>
      <w:r w:rsidR="004131E6">
        <w:rPr>
          <w:b/>
        </w:rPr>
        <w:br/>
      </w:r>
      <w:r>
        <w:rPr>
          <w:b/>
        </w:rPr>
        <w:t>Comitetul Economic și Social European și Comitetul Regiunilor –</w:t>
      </w:r>
    </w:p>
    <w:p w14:paraId="69DFD613" w14:textId="27E275DC" w:rsidR="00747364" w:rsidRDefault="00844F27">
      <w:pPr>
        <w:jc w:val="center"/>
        <w:rPr>
          <w:b/>
          <w:bCs/>
        </w:rPr>
      </w:pPr>
      <w:r>
        <w:rPr>
          <w:b/>
        </w:rPr>
        <w:t>O cale de urmat europeană previzibilă și comună pentru ucraineni în UE</w:t>
      </w:r>
    </w:p>
    <w:p w14:paraId="37AB4FE9" w14:textId="7FBCF199" w:rsidR="00747364" w:rsidRDefault="00844F27">
      <w:pPr>
        <w:jc w:val="center"/>
        <w:rPr>
          <w:bCs/>
        </w:rPr>
      </w:pPr>
      <w:r>
        <w:t>[COM(2025) 649 final]</w:t>
      </w:r>
    </w:p>
    <w:p w14:paraId="5B3BE570" w14:textId="77777777" w:rsidR="00747364" w:rsidRDefault="00747364">
      <w:pPr>
        <w:jc w:val="center"/>
      </w:pPr>
    </w:p>
    <w:tbl>
      <w:tblPr>
        <w:tblpPr w:leftFromText="181" w:rightFromText="181" w:tblpYSpec="bottom"/>
        <w:tblOverlap w:val="never"/>
        <w:tblW w:w="0" w:type="auto"/>
        <w:tblLayout w:type="fixed"/>
        <w:tblLook w:val="04A0" w:firstRow="1" w:lastRow="0" w:firstColumn="1" w:lastColumn="0" w:noHBand="0" w:noVBand="1"/>
      </w:tblPr>
      <w:tblGrid>
        <w:gridCol w:w="3085"/>
        <w:gridCol w:w="6204"/>
      </w:tblGrid>
      <w:tr w:rsidR="00747364" w14:paraId="7CB03C7E" w14:textId="77777777">
        <w:tc>
          <w:tcPr>
            <w:tcW w:w="3085" w:type="dxa"/>
          </w:tcPr>
          <w:p w14:paraId="34C60166" w14:textId="5FA9584A" w:rsidR="00747364" w:rsidRDefault="00844F27">
            <w:pPr>
              <w:jc w:val="left"/>
              <w:rPr>
                <w:b/>
                <w:bCs/>
              </w:rPr>
            </w:pPr>
            <w:r>
              <w:t>Date de contact</w:t>
            </w:r>
          </w:p>
        </w:tc>
        <w:tc>
          <w:tcPr>
            <w:tcW w:w="6204" w:type="dxa"/>
          </w:tcPr>
          <w:p w14:paraId="2B3072C8" w14:textId="0F44B688" w:rsidR="00747364" w:rsidRDefault="007B5D64">
            <w:pPr>
              <w:jc w:val="left"/>
              <w:rPr>
                <w:b/>
                <w:bCs/>
              </w:rPr>
            </w:pPr>
            <w:hyperlink r:id="rId12" w:history="1">
              <w:r w:rsidR="00161052">
                <w:rPr>
                  <w:rStyle w:val="Hyperlink"/>
                </w:rPr>
                <w:t>Katarina.Albrechtova@eesc.europa.eu</w:t>
              </w:r>
            </w:hyperlink>
          </w:p>
        </w:tc>
      </w:tr>
      <w:tr w:rsidR="00747364" w14:paraId="5B3BE57D" w14:textId="77777777">
        <w:tc>
          <w:tcPr>
            <w:tcW w:w="3085" w:type="dxa"/>
          </w:tcPr>
          <w:p w14:paraId="5B3BE57B" w14:textId="77777777" w:rsidR="00747364" w:rsidRDefault="00844F27">
            <w:pPr>
              <w:jc w:val="left"/>
            </w:pPr>
            <w:r>
              <w:t>Administratoare</w:t>
            </w:r>
          </w:p>
        </w:tc>
        <w:tc>
          <w:tcPr>
            <w:tcW w:w="6204" w:type="dxa"/>
          </w:tcPr>
          <w:p w14:paraId="5B3BE57C" w14:textId="2F4EBEC3" w:rsidR="00747364" w:rsidRDefault="00844F27">
            <w:pPr>
              <w:jc w:val="left"/>
            </w:pPr>
            <w:proofErr w:type="spellStart"/>
            <w:r>
              <w:t>Katarina</w:t>
            </w:r>
            <w:proofErr w:type="spellEnd"/>
            <w:r>
              <w:t xml:space="preserve"> </w:t>
            </w:r>
            <w:r w:rsidR="004131E6">
              <w:t>ALBRECHTOVA</w:t>
            </w:r>
          </w:p>
        </w:tc>
      </w:tr>
      <w:tr w:rsidR="00747364" w14:paraId="5B3BE580" w14:textId="77777777">
        <w:tc>
          <w:tcPr>
            <w:tcW w:w="3085" w:type="dxa"/>
          </w:tcPr>
          <w:p w14:paraId="5B3BE57E" w14:textId="77777777" w:rsidR="00747364" w:rsidRDefault="00844F27">
            <w:pPr>
              <w:jc w:val="left"/>
            </w:pPr>
            <w:r>
              <w:t>Data documentului</w:t>
            </w:r>
          </w:p>
        </w:tc>
        <w:tc>
          <w:tcPr>
            <w:tcW w:w="6204" w:type="dxa"/>
          </w:tcPr>
          <w:p w14:paraId="5B3BE57F" w14:textId="48C345CE" w:rsidR="00747364" w:rsidRDefault="00844F27">
            <w:pPr>
              <w:jc w:val="left"/>
            </w:pPr>
            <w:r>
              <w:t>14/11/2025</w:t>
            </w:r>
          </w:p>
        </w:tc>
      </w:tr>
    </w:tbl>
    <w:p w14:paraId="10FEC417" w14:textId="5C507DA9" w:rsidR="00747364" w:rsidRDefault="00844F27">
      <w:pPr>
        <w:jc w:val="center"/>
        <w:rPr>
          <w:b/>
          <w:bCs/>
        </w:rPr>
      </w:pPr>
      <w:r>
        <w:t xml:space="preserve">Raportor: </w:t>
      </w:r>
      <w:proofErr w:type="spellStart"/>
      <w:r>
        <w:rPr>
          <w:b/>
        </w:rPr>
        <w:t>Mateusz</w:t>
      </w:r>
      <w:proofErr w:type="spellEnd"/>
      <w:r>
        <w:rPr>
          <w:b/>
        </w:rPr>
        <w:t xml:space="preserve"> SZYMAŃSKI</w:t>
      </w:r>
    </w:p>
    <w:p w14:paraId="7C3291A5" w14:textId="6BF8749E" w:rsidR="00747364" w:rsidRDefault="00844F27">
      <w:pPr>
        <w:jc w:val="center"/>
        <w:rPr>
          <w:bCs/>
        </w:rPr>
      </w:pPr>
      <w:r>
        <w:t>Coraportor:</w:t>
      </w:r>
      <w:r>
        <w:rPr>
          <w:b/>
        </w:rPr>
        <w:t xml:space="preserve"> </w:t>
      </w:r>
      <w:proofErr w:type="spellStart"/>
      <w:r>
        <w:rPr>
          <w:b/>
        </w:rPr>
        <w:t>Krzysztof</w:t>
      </w:r>
      <w:proofErr w:type="spellEnd"/>
      <w:r>
        <w:rPr>
          <w:b/>
        </w:rPr>
        <w:t xml:space="preserve"> BALON</w:t>
      </w:r>
    </w:p>
    <w:p w14:paraId="5B3BE582" w14:textId="6F8F6800" w:rsidR="00747364" w:rsidRDefault="00747364"/>
    <w:p w14:paraId="5B3BE583" w14:textId="77777777" w:rsidR="00747364" w:rsidRDefault="00747364"/>
    <w:p w14:paraId="5B3BE584" w14:textId="77777777" w:rsidR="00747364" w:rsidRDefault="00747364">
      <w:pPr>
        <w:sectPr w:rsidR="00747364" w:rsidSect="00844F27">
          <w:headerReference w:type="even" r:id="rId13"/>
          <w:headerReference w:type="default" r:id="rId14"/>
          <w:footerReference w:type="even" r:id="rId15"/>
          <w:footerReference w:type="default" r:id="rId16"/>
          <w:headerReference w:type="first" r:id="rId17"/>
          <w:footerReference w:type="first" r:id="rId18"/>
          <w:pgSz w:w="11907" w:h="16839" w:code="9"/>
          <w:pgMar w:top="1417" w:right="1417" w:bottom="1417" w:left="1417" w:header="709" w:footer="709" w:gutter="0"/>
          <w:pgNumType w:start="1"/>
          <w:cols w:space="720"/>
          <w:docGrid w:linePitch="299"/>
        </w:sectPr>
      </w:pPr>
    </w:p>
    <w:p w14:paraId="5B3BE5A3" w14:textId="77777777" w:rsidR="00747364" w:rsidRDefault="00747364"/>
    <w:tbl>
      <w:tblPr>
        <w:tblW w:w="0" w:type="auto"/>
        <w:tblLook w:val="04A0" w:firstRow="1" w:lastRow="0" w:firstColumn="1" w:lastColumn="0" w:noHBand="0" w:noVBand="1"/>
      </w:tblPr>
      <w:tblGrid>
        <w:gridCol w:w="3261"/>
        <w:gridCol w:w="5812"/>
      </w:tblGrid>
      <w:tr w:rsidR="00747364" w14:paraId="24249E85" w14:textId="77777777" w:rsidTr="004131E6">
        <w:trPr>
          <w:trHeight w:val="251"/>
        </w:trPr>
        <w:tc>
          <w:tcPr>
            <w:tcW w:w="3261" w:type="dxa"/>
          </w:tcPr>
          <w:p w14:paraId="1225BDD1" w14:textId="00300DC2" w:rsidR="00747364" w:rsidRDefault="00844F27">
            <w:pPr>
              <w:jc w:val="left"/>
            </w:pPr>
            <w:r>
              <w:t>Consilieră</w:t>
            </w:r>
          </w:p>
        </w:tc>
        <w:tc>
          <w:tcPr>
            <w:tcW w:w="5812" w:type="dxa"/>
          </w:tcPr>
          <w:p w14:paraId="4CEFBCA3" w14:textId="6B1DE713" w:rsidR="00747364" w:rsidRDefault="00844F27">
            <w:pPr>
              <w:jc w:val="left"/>
            </w:pPr>
            <w:proofErr w:type="spellStart"/>
            <w:r>
              <w:t>Tetyana</w:t>
            </w:r>
            <w:proofErr w:type="spellEnd"/>
            <w:r>
              <w:t xml:space="preserve"> LEWIŃSKA, pentru coraportor, Grupul III</w:t>
            </w:r>
          </w:p>
        </w:tc>
      </w:tr>
      <w:tr w:rsidR="00747364" w14:paraId="35E60D09" w14:textId="77777777" w:rsidTr="004131E6">
        <w:trPr>
          <w:trHeight w:val="251"/>
        </w:trPr>
        <w:tc>
          <w:tcPr>
            <w:tcW w:w="3261" w:type="dxa"/>
          </w:tcPr>
          <w:p w14:paraId="2CCD6979" w14:textId="77777777" w:rsidR="00747364" w:rsidRDefault="00747364">
            <w:pPr>
              <w:jc w:val="left"/>
            </w:pPr>
          </w:p>
        </w:tc>
        <w:tc>
          <w:tcPr>
            <w:tcW w:w="5812" w:type="dxa"/>
          </w:tcPr>
          <w:p w14:paraId="5F5408E4" w14:textId="77777777" w:rsidR="00747364" w:rsidRDefault="00747364">
            <w:pPr>
              <w:jc w:val="left"/>
            </w:pPr>
          </w:p>
        </w:tc>
      </w:tr>
      <w:tr w:rsidR="00747364" w14:paraId="5B3BE5AF" w14:textId="77777777" w:rsidTr="004131E6">
        <w:tc>
          <w:tcPr>
            <w:tcW w:w="3261" w:type="dxa"/>
          </w:tcPr>
          <w:p w14:paraId="5B3BE5AD" w14:textId="4D178B35" w:rsidR="00747364" w:rsidRDefault="00844F27">
            <w:pPr>
              <w:jc w:val="left"/>
            </w:pPr>
            <w:r>
              <w:t>Temei juridic</w:t>
            </w:r>
          </w:p>
        </w:tc>
        <w:tc>
          <w:tcPr>
            <w:tcW w:w="5812" w:type="dxa"/>
          </w:tcPr>
          <w:p w14:paraId="5B3BE5AE" w14:textId="258DAFE2" w:rsidR="00747364" w:rsidRDefault="00844F27" w:rsidP="004131E6">
            <w:r>
              <w:t>Articolul 304 din Tratatul privind funcționarea Uniunii Europene</w:t>
            </w:r>
          </w:p>
        </w:tc>
      </w:tr>
      <w:tr w:rsidR="00747364" w14:paraId="0907C2C7" w14:textId="77777777" w:rsidTr="004131E6">
        <w:tc>
          <w:tcPr>
            <w:tcW w:w="3261" w:type="dxa"/>
          </w:tcPr>
          <w:p w14:paraId="07EB1592" w14:textId="3BD5D712" w:rsidR="00747364" w:rsidRDefault="00844F27">
            <w:pPr>
              <w:jc w:val="left"/>
            </w:pPr>
            <w:r>
              <w:t>Sesizare</w:t>
            </w:r>
          </w:p>
        </w:tc>
        <w:tc>
          <w:tcPr>
            <w:tcW w:w="5812" w:type="dxa"/>
          </w:tcPr>
          <w:p w14:paraId="60A730CB" w14:textId="7179EEF0" w:rsidR="00747364" w:rsidRDefault="00844F27">
            <w:pPr>
              <w:jc w:val="left"/>
            </w:pPr>
            <w:r>
              <w:t>Comisia Europeană, 4/6/2025</w:t>
            </w:r>
          </w:p>
        </w:tc>
      </w:tr>
      <w:tr w:rsidR="00747364" w14:paraId="5B3BE5C4" w14:textId="77777777" w:rsidTr="004131E6">
        <w:tc>
          <w:tcPr>
            <w:tcW w:w="3261" w:type="dxa"/>
          </w:tcPr>
          <w:p w14:paraId="5B3BE5C2" w14:textId="77777777" w:rsidR="00747364" w:rsidRDefault="00844F27">
            <w:pPr>
              <w:jc w:val="left"/>
            </w:pPr>
            <w:r>
              <w:t>Secțiunea competentă</w:t>
            </w:r>
          </w:p>
        </w:tc>
        <w:tc>
          <w:tcPr>
            <w:tcW w:w="5812" w:type="dxa"/>
          </w:tcPr>
          <w:p w14:paraId="5B3BE5C3" w14:textId="71EB9A74" w:rsidR="00747364" w:rsidRDefault="00844F27">
            <w:pPr>
              <w:jc w:val="left"/>
            </w:pPr>
            <w:r>
              <w:t>Secțiunea pentru relații externe</w:t>
            </w:r>
          </w:p>
        </w:tc>
      </w:tr>
      <w:tr w:rsidR="00747364" w14:paraId="5B3BE5C7" w14:textId="77777777" w:rsidTr="004131E6">
        <w:tc>
          <w:tcPr>
            <w:tcW w:w="3261" w:type="dxa"/>
          </w:tcPr>
          <w:p w14:paraId="5B3BE5C5" w14:textId="6F862EC0" w:rsidR="00747364" w:rsidRDefault="00844F27">
            <w:pPr>
              <w:jc w:val="left"/>
            </w:pPr>
            <w:r>
              <w:t>Data adoptării în secțiune</w:t>
            </w:r>
          </w:p>
        </w:tc>
        <w:tc>
          <w:tcPr>
            <w:tcW w:w="5812" w:type="dxa"/>
          </w:tcPr>
          <w:p w14:paraId="5B3BE5C6" w14:textId="38EDBD54" w:rsidR="00747364" w:rsidRDefault="00844F27">
            <w:pPr>
              <w:jc w:val="left"/>
            </w:pPr>
            <w:r>
              <w:t>7/11/2025</w:t>
            </w:r>
          </w:p>
        </w:tc>
      </w:tr>
      <w:tr w:rsidR="00747364" w14:paraId="76673220" w14:textId="77777777" w:rsidTr="004131E6">
        <w:tc>
          <w:tcPr>
            <w:tcW w:w="3261" w:type="dxa"/>
          </w:tcPr>
          <w:p w14:paraId="3C0899C8" w14:textId="0995A3EA" w:rsidR="00747364" w:rsidRDefault="00844F27">
            <w:pPr>
              <w:jc w:val="left"/>
            </w:pPr>
            <w:r>
              <w:t xml:space="preserve">Rezultatul votului </w:t>
            </w:r>
            <w:r>
              <w:br/>
              <w:t>(pentru/împotrivă/abțineri)</w:t>
            </w:r>
          </w:p>
        </w:tc>
        <w:tc>
          <w:tcPr>
            <w:tcW w:w="5812" w:type="dxa"/>
            <w:vAlign w:val="bottom"/>
          </w:tcPr>
          <w:p w14:paraId="31005FC7" w14:textId="22C06C74" w:rsidR="00747364" w:rsidRDefault="00844F27">
            <w:pPr>
              <w:jc w:val="left"/>
            </w:pPr>
            <w:r>
              <w:t>73/1/5</w:t>
            </w:r>
          </w:p>
        </w:tc>
      </w:tr>
      <w:tr w:rsidR="00747364" w14:paraId="5B3BE5CA" w14:textId="77777777" w:rsidTr="004131E6">
        <w:tc>
          <w:tcPr>
            <w:tcW w:w="3261" w:type="dxa"/>
          </w:tcPr>
          <w:p w14:paraId="5B3BE5C8" w14:textId="261924E9" w:rsidR="00747364" w:rsidRDefault="00844F27">
            <w:pPr>
              <w:jc w:val="left"/>
            </w:pPr>
            <w:r>
              <w:t>Data adoptării în sesiunea plenară</w:t>
            </w:r>
          </w:p>
        </w:tc>
        <w:tc>
          <w:tcPr>
            <w:tcW w:w="5812" w:type="dxa"/>
          </w:tcPr>
          <w:p w14:paraId="5B3BE5C9" w14:textId="5FDDD67E" w:rsidR="00747364" w:rsidRDefault="00844F27">
            <w:pPr>
              <w:jc w:val="left"/>
            </w:pPr>
            <w:r>
              <w:t>D/M/YYYY</w:t>
            </w:r>
          </w:p>
        </w:tc>
      </w:tr>
      <w:tr w:rsidR="00747364" w14:paraId="5B3BE5CD" w14:textId="77777777" w:rsidTr="004131E6">
        <w:tc>
          <w:tcPr>
            <w:tcW w:w="3261" w:type="dxa"/>
          </w:tcPr>
          <w:p w14:paraId="5B3BE5CB" w14:textId="77777777" w:rsidR="00747364" w:rsidRDefault="00844F27">
            <w:pPr>
              <w:jc w:val="left"/>
            </w:pPr>
            <w:r>
              <w:t>Sesiunea plenară nr.</w:t>
            </w:r>
          </w:p>
        </w:tc>
        <w:tc>
          <w:tcPr>
            <w:tcW w:w="5812" w:type="dxa"/>
          </w:tcPr>
          <w:p w14:paraId="5B3BE5CC" w14:textId="77777777" w:rsidR="00747364" w:rsidRDefault="00844F27">
            <w:pPr>
              <w:jc w:val="left"/>
            </w:pPr>
            <w:r>
              <w:t>…</w:t>
            </w:r>
          </w:p>
        </w:tc>
      </w:tr>
      <w:tr w:rsidR="00747364" w14:paraId="5B3BE5D0" w14:textId="77777777" w:rsidTr="004131E6">
        <w:tc>
          <w:tcPr>
            <w:tcW w:w="3261" w:type="dxa"/>
          </w:tcPr>
          <w:p w14:paraId="5B3BE5CE" w14:textId="0ED6183D" w:rsidR="00747364" w:rsidRDefault="00844F27">
            <w:pPr>
              <w:jc w:val="left"/>
            </w:pPr>
            <w:r>
              <w:t xml:space="preserve">Rezultatul votului </w:t>
            </w:r>
            <w:r>
              <w:br/>
              <w:t>(pentru/împotrivă/abțineri)</w:t>
            </w:r>
          </w:p>
        </w:tc>
        <w:tc>
          <w:tcPr>
            <w:tcW w:w="5812" w:type="dxa"/>
            <w:vAlign w:val="bottom"/>
          </w:tcPr>
          <w:p w14:paraId="5B3BE5CF" w14:textId="77777777" w:rsidR="00747364" w:rsidRDefault="00844F27">
            <w:pPr>
              <w:jc w:val="left"/>
            </w:pPr>
            <w:r>
              <w:t>…/…/…</w:t>
            </w:r>
          </w:p>
        </w:tc>
      </w:tr>
    </w:tbl>
    <w:p w14:paraId="2476738B" w14:textId="77777777" w:rsidR="00747364" w:rsidRDefault="00747364"/>
    <w:p w14:paraId="5B3BE5D2" w14:textId="5D3DBC87" w:rsidR="00747364" w:rsidRDefault="00844F27">
      <w:r>
        <w:br w:type="page"/>
      </w:r>
    </w:p>
    <w:p w14:paraId="5B3BE5D3" w14:textId="1B1DA058" w:rsidR="00747364" w:rsidRDefault="00844F27">
      <w:pPr>
        <w:pStyle w:val="Heading1"/>
        <w:rPr>
          <w:b/>
          <w:bCs/>
        </w:rPr>
      </w:pPr>
      <w:r>
        <w:rPr>
          <w:b/>
        </w:rPr>
        <w:lastRenderedPageBreak/>
        <w:t>Concluzii și recomandări</w:t>
      </w:r>
    </w:p>
    <w:p w14:paraId="5B3BE5D4" w14:textId="77777777" w:rsidR="00747364" w:rsidRDefault="00747364"/>
    <w:p w14:paraId="589D17CD" w14:textId="25DB7CC4" w:rsidR="00747364" w:rsidRDefault="00844F27">
      <w:pPr>
        <w:pStyle w:val="Heading2"/>
      </w:pPr>
      <w:r>
        <w:t xml:space="preserve">Comitetul Economic și Social European (CESE) condamnă încă o dată războiul de agresiune nejustificat și ilegal al Rusiei împotriva Ucrainei. CESE își menține solidaritatea fermă cu poporul ucrainean și îl sprijină în toate modurile posibile. Prin urmare, toate deciziile privind viitorul statut al ucrainenilor în UE trebuie luate ținând seama de progresele înregistrate în direcția aderării Ucrainei la UE și într-un parteneriat strâns cu guvernul ucrainean. </w:t>
      </w:r>
    </w:p>
    <w:p w14:paraId="1DA705AA" w14:textId="77777777" w:rsidR="00747364" w:rsidRDefault="00747364">
      <w:pPr>
        <w:pStyle w:val="Heading2"/>
        <w:numPr>
          <w:ilvl w:val="0"/>
          <w:numId w:val="0"/>
        </w:numPr>
        <w:ind w:left="567" w:hanging="567"/>
      </w:pPr>
    </w:p>
    <w:p w14:paraId="2B911DB4" w14:textId="62452BC6" w:rsidR="00747364" w:rsidRDefault="00844F27">
      <w:pPr>
        <w:pStyle w:val="Heading2"/>
      </w:pPr>
      <w:r>
        <w:t>În 2022, agresiunea Rusiei împotriva Ucrainei a determinat milioane de ucraineni să fugă de pericol. Una dintre deciziile luate de Uniunea Europeană (UE) la momentul respectiv a fost activarea protecției temporare. Este pentru prima dată când s-a recurs la acest mecanism.</w:t>
      </w:r>
    </w:p>
    <w:p w14:paraId="765DFD65" w14:textId="0ECF00BC" w:rsidR="00747364" w:rsidRDefault="00747364"/>
    <w:p w14:paraId="365BD549" w14:textId="3A2FA6C6" w:rsidR="00747364" w:rsidRDefault="00844F27">
      <w:pPr>
        <w:pStyle w:val="Heading3"/>
      </w:pPr>
      <w:r>
        <w:t>CESE dorește, de asemenea, să sublinieze rolul jucat de organizațiile societății civile atunci când a avut loc cel mai mare aflux de persoane strămutate din Ucraina. Cetățenii și organizațiile din UE merită cea mai înaltă recunoaștere pentru solidaritatea și ospitalitatea lor, care vor reprezenta o moștenire valoroasă pentru UE.</w:t>
      </w:r>
    </w:p>
    <w:p w14:paraId="792D5F26" w14:textId="77777777" w:rsidR="00747364" w:rsidRDefault="00747364">
      <w:pPr>
        <w:pStyle w:val="Heading2"/>
        <w:numPr>
          <w:ilvl w:val="0"/>
          <w:numId w:val="0"/>
        </w:numPr>
        <w:ind w:left="567" w:hanging="567"/>
      </w:pPr>
    </w:p>
    <w:p w14:paraId="5CA8300F" w14:textId="6B1D6E96" w:rsidR="00747364" w:rsidRDefault="00844F27">
      <w:pPr>
        <w:pStyle w:val="Heading2"/>
      </w:pPr>
      <w:r>
        <w:t>Cetățenii ucraineni care locuiesc în UE se bucură de o serie de libertăți, din care fac parte, mai presus de toate, libertatea de circulație în interiorul UE și accesul la piața muncii și la serviciile publice ale UE. Protecția temporară se dovedește a fi o soluție benefică pentru ei. În același timp, condițiile pentru întoarcerea în Ucraina nu există încă, din cauza agresiunii actuale exercitate de Rusia.</w:t>
      </w:r>
    </w:p>
    <w:p w14:paraId="3B48A802" w14:textId="77777777" w:rsidR="00747364" w:rsidRDefault="00747364">
      <w:pPr>
        <w:pStyle w:val="Heading2"/>
        <w:numPr>
          <w:ilvl w:val="0"/>
          <w:numId w:val="0"/>
        </w:numPr>
        <w:ind w:left="567" w:hanging="567"/>
      </w:pPr>
    </w:p>
    <w:p w14:paraId="6D623887" w14:textId="77777777" w:rsidR="00747364" w:rsidRDefault="00844F27">
      <w:pPr>
        <w:pStyle w:val="Heading2"/>
      </w:pPr>
      <w:r>
        <w:t>Prin urmare, ținând cont de situația actuală și de provocările administrative asociate cu modificarea condițiilor de ședere legală pentru un număr atât de mare de persoane, CESE salută decizia de a prelungi protecția temporară pentru o perioadă suplimentară.</w:t>
      </w:r>
    </w:p>
    <w:p w14:paraId="6C1F9125" w14:textId="77777777" w:rsidR="00747364" w:rsidRDefault="00747364">
      <w:pPr>
        <w:pStyle w:val="Heading2"/>
        <w:numPr>
          <w:ilvl w:val="0"/>
          <w:numId w:val="0"/>
        </w:numPr>
        <w:ind w:left="567" w:hanging="567"/>
      </w:pPr>
    </w:p>
    <w:p w14:paraId="12102D42" w14:textId="4DFE4DDF" w:rsidR="00747364" w:rsidRDefault="00844F27">
      <w:pPr>
        <w:pStyle w:val="Heading2"/>
      </w:pPr>
      <w:r>
        <w:t>Cu toate acestea, având în vedere provocările economice și sociale și necesitatea de a stabili condiții mai previzibile pentru șederea cetățenilor ucraineni în UE, CESE solicită Comisiei Europene și statelor membre să depună eforturi pentru a facilita o tranziție ușoară către o bază cu caracter mai permanent a șederii și o renunțare treptată la protecția temporară. Este necesară o perspectivă pe termen lung în această privință. Ar trebui elaborate în prezent planurile de acțiune și modalitățile europene și naționale de legalizare a șederii după încetarea protecției temporare.</w:t>
      </w:r>
    </w:p>
    <w:p w14:paraId="1293FDC4" w14:textId="527AFE60" w:rsidR="00747364" w:rsidRPr="004E5C34" w:rsidRDefault="00747364">
      <w:pPr>
        <w:rPr>
          <w:lang w:val="en-GB"/>
        </w:rPr>
      </w:pPr>
    </w:p>
    <w:p w14:paraId="2755D62E" w14:textId="4B0D610D" w:rsidR="00747364" w:rsidRDefault="00844F27">
      <w:pPr>
        <w:pStyle w:val="Heading2"/>
      </w:pPr>
      <w:r>
        <w:t xml:space="preserve">Situația legată de sosirea ucrainenilor în UE a sporit presiunea asupra sistemelor de servicii publice ale statelor membre. Prin urmare, CESE este ferm în favoarea măririi investițiilor în servicii de interes general de înaltă calitate, inclusiv în locuințe, care să fie disponibile pe picior de egalitate pentru toate persoanele cu reședința legală în UE. </w:t>
      </w:r>
    </w:p>
    <w:p w14:paraId="11A4F759" w14:textId="77777777" w:rsidR="00747364" w:rsidRDefault="00747364"/>
    <w:p w14:paraId="00B1D7EB" w14:textId="1C67E54D" w:rsidR="00747364" w:rsidRDefault="00844F27">
      <w:pPr>
        <w:pStyle w:val="Heading2"/>
      </w:pPr>
      <w:r>
        <w:t>În același timp, ar trebui depuse eforturi pentru a asigura integrarea cu succes a ucrainenilor în țările UE. Acest obiectiv poate fi atins prin acordarea de sprijin pentru învățarea limbilor țărilor</w:t>
      </w:r>
      <w:r w:rsidR="00595B1E">
        <w:noBreakHyphen/>
      </w:r>
      <w:r>
        <w:t>gazdă, sprijinirea inițiativelor comunităților locale, educarea copiilor ucraineni în sistemele de învățământ general ale statelor membre, precum și prin combaterea dezinformării și a activităților serviciilor de informații ruse.</w:t>
      </w:r>
    </w:p>
    <w:p w14:paraId="41B509E5" w14:textId="77777777" w:rsidR="00747364" w:rsidRDefault="00747364">
      <w:pPr>
        <w:pStyle w:val="Heading2"/>
        <w:numPr>
          <w:ilvl w:val="0"/>
          <w:numId w:val="0"/>
        </w:numPr>
        <w:ind w:left="567" w:hanging="567"/>
      </w:pPr>
    </w:p>
    <w:p w14:paraId="5ADF76D5" w14:textId="693E5100" w:rsidR="00747364" w:rsidRDefault="00844F27">
      <w:pPr>
        <w:pStyle w:val="Heading2"/>
      </w:pPr>
      <w:r>
        <w:lastRenderedPageBreak/>
        <w:t>De asemenea, este necesară construirea unor legături sociale puternice, bazate pe încredere. Prin urmare, rolul societății civile este crucial. Este important ca cetățenii ucraineni să se implice în organizațiile care activează în comunitățile lor locale.</w:t>
      </w:r>
    </w:p>
    <w:p w14:paraId="6F08BACF" w14:textId="77777777" w:rsidR="00747364" w:rsidRDefault="00747364">
      <w:pPr>
        <w:pStyle w:val="Heading2"/>
        <w:numPr>
          <w:ilvl w:val="0"/>
          <w:numId w:val="0"/>
        </w:numPr>
        <w:ind w:left="567" w:hanging="567"/>
      </w:pPr>
    </w:p>
    <w:p w14:paraId="3CF39800" w14:textId="7508CF0E" w:rsidR="00747364" w:rsidRDefault="00844F27">
      <w:pPr>
        <w:pStyle w:val="Heading2"/>
      </w:pPr>
      <w:r>
        <w:t xml:space="preserve">De asemenea, este important să se stabilească condiții de muncă echitabile pentru ucraineni, atât în UE, cât și în Ucraina. Este de așteptat ca statele membre să combată exploatarea și tratamentul inegal al ucrainenilor la locul de muncă, iar guvernul ucrainean să restabilească soluții favorabile lucrătorilor și activităților sindicale, prin dialog cu partenerii sociali. </w:t>
      </w:r>
    </w:p>
    <w:p w14:paraId="33A18981" w14:textId="5724E457" w:rsidR="00747364" w:rsidRDefault="00747364"/>
    <w:p w14:paraId="11B66F1A" w14:textId="6DFC4C23" w:rsidR="00747364" w:rsidRDefault="00844F27">
      <w:pPr>
        <w:pStyle w:val="Heading2"/>
      </w:pPr>
      <w:r>
        <w:t>Este important ca ucrainenii să fie activi din punct de vedere economic. Prin urmare, CESE pledează pentru măsuri care să promoveze caracterul activ, în special prin reducerea barierelor administrative, protejând în același timp persoanele cele mai vulnerabile care, din motive independente de voința lor, nu pot sau nu sunt în măsură să ocupe un loc de muncă.</w:t>
      </w:r>
    </w:p>
    <w:p w14:paraId="5B3BE5DA" w14:textId="678AED29" w:rsidR="00747364" w:rsidRDefault="00747364"/>
    <w:p w14:paraId="4CBB748D" w14:textId="33B6889A" w:rsidR="00747364" w:rsidRDefault="00844F27">
      <w:pPr>
        <w:pStyle w:val="Heading1"/>
        <w:keepNext/>
        <w:keepLines/>
        <w:rPr>
          <w:b/>
          <w:bCs/>
        </w:rPr>
      </w:pPr>
      <w:r>
        <w:rPr>
          <w:b/>
        </w:rPr>
        <w:t>Contextul avizului, inclusiv documentul Comisiei supus examinării</w:t>
      </w:r>
    </w:p>
    <w:p w14:paraId="6AE9A1BF" w14:textId="7DC0601C" w:rsidR="00747364" w:rsidRDefault="00747364">
      <w:pPr>
        <w:keepNext/>
        <w:keepLines/>
      </w:pPr>
    </w:p>
    <w:p w14:paraId="4D955813" w14:textId="58633267" w:rsidR="00747364" w:rsidRDefault="00844F27">
      <w:pPr>
        <w:pStyle w:val="Heading2"/>
      </w:pPr>
      <w:r>
        <w:t>Agresiunea nejustificată și ilegală la scară largă a Rusiei împotriva Ucrainei în 2022 a declanșat un aflux fără precedent de cetățeni din Ucraina către Uniunea Europeană. CESE s-a opus ferm acestei agresiuni încă din prima zi și solicită Rusiei să se retragă din Ucraina și să recunoască unitatea sa teritorială.</w:t>
      </w:r>
    </w:p>
    <w:p w14:paraId="7560B2FB" w14:textId="77777777" w:rsidR="00747364" w:rsidRDefault="00747364"/>
    <w:p w14:paraId="19BF3E79" w14:textId="4E50060E" w:rsidR="00747364" w:rsidRDefault="00844F27">
      <w:pPr>
        <w:pStyle w:val="Heading2"/>
      </w:pPr>
      <w:r>
        <w:t>Inițial, majoritatea oamenilor care fugeau din calea agresiunii ruse s-au refugiat în țările vecine. La 31 mai 2025, își găsiseră adăpost în Uniunea Europeană, în principal în Germania și în Polonia, 4,28 milioane de persoane care au părăsit Ucraina în urma agresiunii militare a Rusiei</w:t>
      </w:r>
      <w:r>
        <w:rPr>
          <w:rStyle w:val="FootnoteReference"/>
        </w:rPr>
        <w:footnoteReference w:id="1"/>
      </w:r>
      <w:r>
        <w:t>.</w:t>
      </w:r>
    </w:p>
    <w:p w14:paraId="38CEB068" w14:textId="77777777" w:rsidR="00747364" w:rsidRDefault="00747364"/>
    <w:p w14:paraId="6C524E9C" w14:textId="0FC43F6B" w:rsidR="00747364" w:rsidRDefault="00844F27">
      <w:pPr>
        <w:pStyle w:val="Heading2"/>
      </w:pPr>
      <w:r>
        <w:t>Prima utilizare din istorie a mecanismului de protecție temporară, care a făcut posibilă simplificarea semnificativă a procesului de legalizare a șederii cetățenilor ucraineni în UE, a fost un eveniment fără precedent. CESE a susținut această măsură</w:t>
      </w:r>
      <w:r>
        <w:rPr>
          <w:rStyle w:val="FootnoteReference"/>
        </w:rPr>
        <w:footnoteReference w:id="2"/>
      </w:r>
      <w:r>
        <w:t>.</w:t>
      </w:r>
    </w:p>
    <w:p w14:paraId="2C9EA5CB" w14:textId="77777777" w:rsidR="00747364" w:rsidRDefault="00747364"/>
    <w:p w14:paraId="5D4B1E9B" w14:textId="40BA8F36" w:rsidR="00747364" w:rsidRDefault="00844F27">
      <w:pPr>
        <w:pStyle w:val="Heading2"/>
      </w:pPr>
      <w:r>
        <w:t>Mecanismul de protecție temporară este un instrument al UE care își propune să ofere protecție imediată și colectivă (adică fără a fi nevoie să se prelucreze cereri individuale) persoanelor strămutate care nu se pot întoarce în țara lor de origine. Obiectivul acestui mecanism este de a permite persoanelor respective să beneficieze de drepturi armonizate în întreaga UE. Ocuparea forței de muncă și educația se numără printre principalele drepturi de care beneficiază persoanele strămutate din Ucraina în UE, pe lângă cazare, asistență medicală și asistență socială</w:t>
      </w:r>
      <w:r>
        <w:rPr>
          <w:rStyle w:val="FootnoteReference"/>
        </w:rPr>
        <w:footnoteReference w:id="3"/>
      </w:r>
      <w:r>
        <w:t>.</w:t>
      </w:r>
    </w:p>
    <w:p w14:paraId="25E2138D" w14:textId="77777777" w:rsidR="00747364" w:rsidRDefault="00747364"/>
    <w:p w14:paraId="008E81F0" w14:textId="4F18DFF4" w:rsidR="00747364" w:rsidRDefault="00844F27">
      <w:pPr>
        <w:pStyle w:val="Heading2"/>
      </w:pPr>
      <w:r>
        <w:t xml:space="preserve">CESE împărtășește opinia Comisiei conform căreia menținerea unei abordări comune a UE cu privire la această chestiune este esențială pentru a asigura o repartizare echilibrată și coordonată a responsabilităților între statele membre. În comunicarea sa, Comisia a concluzionat că este necesar să se prelungească protecția temporară cu încă un an și, concomitent, să se facă pregătiri pentru a oferi o perspectivă mai stabilă și pe termen lung persoanelor care beneficiază de protecție </w:t>
      </w:r>
      <w:r>
        <w:lastRenderedPageBreak/>
        <w:t>temporară, inclusiv pentru sprijinirea returnărilor în condiții de siguranță, voluntare și demne în Ucraina</w:t>
      </w:r>
      <w:r>
        <w:rPr>
          <w:rStyle w:val="FootnoteReference"/>
        </w:rPr>
        <w:footnoteReference w:id="4"/>
      </w:r>
      <w:r>
        <w:t>. CESE salută această decizie.</w:t>
      </w:r>
    </w:p>
    <w:p w14:paraId="327B7BC7" w14:textId="77777777" w:rsidR="00747364" w:rsidRDefault="00747364"/>
    <w:p w14:paraId="399D1E76" w14:textId="6CBCF3FC" w:rsidR="00747364" w:rsidRDefault="00844F27">
      <w:pPr>
        <w:pStyle w:val="Heading2"/>
      </w:pPr>
      <w:r>
        <w:t>CESE dorește, de asemenea, să sublinieze rolul pe care l-a avut, alături de organizațiile societății civile, în perioada de vârf a afluxului de persoane din Ucraina. Acest rol a fost important și într</w:t>
      </w:r>
      <w:r w:rsidR="00595B1E">
        <w:noBreakHyphen/>
      </w:r>
      <w:r>
        <w:t>o etapă ulterioară, când a devenit necesară punerea în aplicare a unor măsuri care să-i ajute pe ucraineni să se integreze. Cetățenii și organizațiile din UE merită o recunoaștere maximă pentru solidaritatea și ospitalitatea lor, care vor fi o moștenire importantă pentru UE și pentru viitorul comun al Ucrainei în UE.</w:t>
      </w:r>
    </w:p>
    <w:p w14:paraId="4D8EF593" w14:textId="77777777" w:rsidR="00747364" w:rsidRDefault="00747364"/>
    <w:p w14:paraId="6CD99579" w14:textId="75712BF4" w:rsidR="00747364" w:rsidRDefault="00844F27">
      <w:pPr>
        <w:pStyle w:val="Heading2"/>
      </w:pPr>
      <w:r>
        <w:t>Eforturile viitoare de sprijinire a Ucrainei și a cetățenilor săi trebuie să facă obiectul unei cooperări și coordonări bazate pe solidaritate între toate statele membre ale UE și instituțiile sale, aceasta nefiind o chestiune care privește doar partea estică a Uniunii.</w:t>
      </w:r>
    </w:p>
    <w:p w14:paraId="247E717C" w14:textId="77777777" w:rsidR="00747364" w:rsidRDefault="00747364"/>
    <w:p w14:paraId="0DC3E738" w14:textId="0CF01365" w:rsidR="00747364" w:rsidRDefault="00844F27">
      <w:pPr>
        <w:pStyle w:val="Heading1"/>
        <w:keepNext/>
        <w:keepLines/>
        <w:rPr>
          <w:b/>
        </w:rPr>
      </w:pPr>
      <w:r>
        <w:rPr>
          <w:b/>
        </w:rPr>
        <w:t>Observații generale</w:t>
      </w:r>
    </w:p>
    <w:p w14:paraId="7124B632" w14:textId="161BA7CF" w:rsidR="00747364" w:rsidRDefault="00747364">
      <w:pPr>
        <w:keepNext/>
        <w:keepLines/>
      </w:pPr>
    </w:p>
    <w:p w14:paraId="5737FBB7" w14:textId="3E5914C1" w:rsidR="00747364" w:rsidRDefault="00844F27">
      <w:pPr>
        <w:keepNext/>
        <w:keepLines/>
        <w:rPr>
          <w:b/>
          <w:bCs/>
        </w:rPr>
      </w:pPr>
      <w:r>
        <w:rPr>
          <w:b/>
        </w:rPr>
        <w:t>Protecție temporară și viziune pe termen lung privind șederea în UE</w:t>
      </w:r>
    </w:p>
    <w:p w14:paraId="5B3BE5DC" w14:textId="77777777" w:rsidR="00747364" w:rsidRDefault="00747364">
      <w:pPr>
        <w:keepNext/>
        <w:keepLines/>
      </w:pPr>
    </w:p>
    <w:p w14:paraId="5B75AC27" w14:textId="760E6FFD" w:rsidR="00747364" w:rsidRDefault="00844F27">
      <w:pPr>
        <w:pStyle w:val="Heading2"/>
      </w:pPr>
      <w:r>
        <w:t xml:space="preserve">Marea majoritate a ucrainenilor aflați în UE își prelungesc statutul în cadrul mecanismului de protecție temporară. Nu pot fi identificate mutări semnificative în direcția sistemelor naționale, ceea ce înseamnă că mecanismul de protecție temporară continuă să satisfacă în mod corespunzător nevoile lor legitime. În același timp însă, acest lucru înseamnă că în Ucraina încă nu au fost create condițiile pentru ca ucrainenii să se întoarcă în țara lor. Principalele probleme sunt sentimentul de insecuritate și lipsa infrastructurii economice și sociale ca urmare a agresiunii Rusiei. Atacurile recente ale Rusiei pot duce la o creștere a numărului de ucraineni care solicită protecție temporară în UE. </w:t>
      </w:r>
    </w:p>
    <w:p w14:paraId="42F3E6EA" w14:textId="77777777" w:rsidR="00747364" w:rsidRDefault="00747364"/>
    <w:p w14:paraId="5682B39E" w14:textId="21061420" w:rsidR="00747364" w:rsidRDefault="00844F27">
      <w:pPr>
        <w:pStyle w:val="Heading2"/>
      </w:pPr>
      <w:r>
        <w:t xml:space="preserve">Ar trebui remarcat faptul că acest mecanism este temporar și trebuie reînnoit anual, ceea ce creează, fără îndoială, un sentiment de incertitudine pentru persoanele vizate, punând totodată sub semnul întrebării însăși ideea instrumentului ca mecanism destinat unei situații excepționale și de scurtă durată. Lipsa unei perspective clare pe termen lung sau posibilitatea de a obține un permis de ședere permanentă poate favoriza un efect disuasiv atât pentru viața profesională, cât și pentru cea personală, precum în ceea ce privește integrarea sau decizia de returnare. Un statut viitor previzibil creează efectul contrar. În plus, diferențele în ceea ce privește domeniul de aplicare al sprijinului de la o țară la alta ar putea spori stimulentele pentru deplasările secundare. În acest context, CESE salută recomandarea ca statele membre să evite posibilitatea ca aceeași persoană să obțină protecție temporară în diferite state membre. </w:t>
      </w:r>
    </w:p>
    <w:p w14:paraId="6A2C805D" w14:textId="77777777" w:rsidR="00747364" w:rsidRDefault="00747364"/>
    <w:p w14:paraId="3D5FD45D" w14:textId="73681728" w:rsidR="00747364" w:rsidRDefault="00844F27">
      <w:pPr>
        <w:pStyle w:val="Heading2"/>
      </w:pPr>
      <w:r>
        <w:t>Ar trebui elaborate în prezent planurile de acțiune și modalitățile europene și naționale de legalizare a șederii după încetarea protecției temporare. Ar trebui evitată situația în care protecția se încheie, iar noi instrumente sunt puse în aplicare brusc și simultan, deoarece o astfel de situație ar putea duce la un blocaj administrativ și i-ar expune pe ucrainenii strămutați riscului de a nu îndeplini la timp anumite cerințe formale.</w:t>
      </w:r>
    </w:p>
    <w:p w14:paraId="4C42215D" w14:textId="77777777" w:rsidR="00747364" w:rsidRDefault="00747364"/>
    <w:p w14:paraId="1C31E127" w14:textId="5F8D8A65" w:rsidR="00747364" w:rsidRDefault="00844F27">
      <w:pPr>
        <w:pStyle w:val="Heading2"/>
      </w:pPr>
      <w:r>
        <w:t>O problemă importantă în planificarea politicii de returnare și a legalizării ulterioare a șederilor este modalitatea de finanțare a inițiativelor de redresare și de returnare planificată. CESE sprijină soluția de mobilizare în acest scop a activelor rusești aflate pe teritoriul Uniunii Europene</w:t>
      </w:r>
      <w:r>
        <w:rPr>
          <w:rStyle w:val="FootnoteReference"/>
        </w:rPr>
        <w:footnoteReference w:id="5"/>
      </w:r>
      <w:r>
        <w:t>.</w:t>
      </w:r>
    </w:p>
    <w:p w14:paraId="6E32691D" w14:textId="77777777" w:rsidR="00747364" w:rsidRDefault="00747364"/>
    <w:p w14:paraId="40DC3DA4" w14:textId="013EDB75" w:rsidR="00747364" w:rsidRDefault="00844F27">
      <w:pPr>
        <w:pStyle w:val="Heading2"/>
      </w:pPr>
      <w:r>
        <w:t>Trebuie remediate lacunele actuale din comunicare în ceea ce privește o perspectivă mai clară pentru grupurile cele mai vulnerabile, cum ar fi persoanele aflate în îngrijire, persoanele în vârstă, persoanele cu handicap și alte persoane care – în cadrul familiilor lor sau singure – nu ar trebui să se confrunte cu incertitudini suplimentare.</w:t>
      </w:r>
    </w:p>
    <w:p w14:paraId="457D402A" w14:textId="77777777" w:rsidR="00747364" w:rsidRDefault="00747364"/>
    <w:p w14:paraId="66B9ECCC" w14:textId="22170FCC" w:rsidR="00747364" w:rsidRDefault="00844F27">
      <w:pPr>
        <w:keepNext/>
        <w:keepLines/>
      </w:pPr>
      <w:r>
        <w:rPr>
          <w:b/>
        </w:rPr>
        <w:t>O provocare pentru sistemul de servicii publice</w:t>
      </w:r>
    </w:p>
    <w:p w14:paraId="581E4FEB" w14:textId="77777777" w:rsidR="00747364" w:rsidRDefault="00747364">
      <w:pPr>
        <w:keepNext/>
        <w:keepLines/>
      </w:pPr>
    </w:p>
    <w:p w14:paraId="453C7DD2" w14:textId="629AA5E8" w:rsidR="00747364" w:rsidRDefault="00844F27">
      <w:pPr>
        <w:pStyle w:val="Heading2"/>
        <w:numPr>
          <w:ilvl w:val="1"/>
          <w:numId w:val="4"/>
        </w:numPr>
      </w:pPr>
      <w:r>
        <w:t>Protecția temporară reprezintă o abordare comună la nivelul UE, oferind previzibilitate și securitate juridică atât persoanelor strămutate din Ucraina, cât și statelor membre. Cu toate acestea, ea a avut impact asupra serviciilor publice din multe țări ale UE. Necesitatea de a asigura locuințe a afectat piețele locuințelor, deja supuse unei presiuni considerabile. Situația este similară și în alte sectoare esențiale, precum educația și sănătatea.</w:t>
      </w:r>
    </w:p>
    <w:p w14:paraId="4BFDD75E" w14:textId="77777777" w:rsidR="00747364" w:rsidRDefault="00747364"/>
    <w:p w14:paraId="4E2160BD" w14:textId="385158DA" w:rsidR="00747364" w:rsidRDefault="00844F27">
      <w:pPr>
        <w:pStyle w:val="Heading2"/>
      </w:pPr>
      <w:r>
        <w:t>Cele de mai sus nu sunt lipsite de importanță pentru relațiile sociale din țările-gazdă</w:t>
      </w:r>
      <w:r>
        <w:rPr>
          <w:rStyle w:val="FootnoteReference"/>
        </w:rPr>
        <w:footnoteReference w:id="6"/>
      </w:r>
      <w:r>
        <w:t>. Prin urmare, CESE este ferm în favoarea sporirii investițiilor în servicii de interes general de înaltă calitate, inclusiv în locuințe, care să fie disponibile pe picior de egalitate pentru toate persoanele cu reședința legală în UE.</w:t>
      </w:r>
    </w:p>
    <w:p w14:paraId="487C8538" w14:textId="77777777" w:rsidR="00747364" w:rsidRDefault="00747364"/>
    <w:p w14:paraId="4C09FB49" w14:textId="32C2BEAD" w:rsidR="00747364" w:rsidRDefault="00844F27">
      <w:pPr>
        <w:pStyle w:val="Heading2"/>
      </w:pPr>
      <w:r>
        <w:t>Eforturile suplimentare de sprijinire a ucrainenilor strămutați și a integrării acestora ar trebui să includă asistență financiară pentru țările cele mai afectate. Cea mai mare parte a sprijinului oferit până în prezent s-a limitat la realocarea fondurilor existente și la o flexibilitate sporită în modul în care sunt distribuite fondurile UE. Acest lucru este în contradicție cu solidaritatea europeană.</w:t>
      </w:r>
    </w:p>
    <w:p w14:paraId="73BA5604" w14:textId="77777777" w:rsidR="00747364" w:rsidRDefault="00747364"/>
    <w:p w14:paraId="76149F62" w14:textId="2AC6CCC1" w:rsidR="00747364" w:rsidRDefault="00844F27">
      <w:pPr>
        <w:pStyle w:val="Heading2"/>
        <w:keepNext/>
        <w:keepLines/>
        <w:numPr>
          <w:ilvl w:val="0"/>
          <w:numId w:val="0"/>
        </w:numPr>
        <w:rPr>
          <w:b/>
          <w:bCs/>
        </w:rPr>
      </w:pPr>
      <w:r>
        <w:rPr>
          <w:b/>
        </w:rPr>
        <w:t>Importanța organizațiilor societății civile și a partenerilor sociali</w:t>
      </w:r>
    </w:p>
    <w:p w14:paraId="75A11FF7" w14:textId="77777777" w:rsidR="00747364" w:rsidRDefault="00747364">
      <w:pPr>
        <w:keepNext/>
        <w:keepLines/>
      </w:pPr>
    </w:p>
    <w:p w14:paraId="10DCF569" w14:textId="27A9E194" w:rsidR="00747364" w:rsidRDefault="00844F27">
      <w:pPr>
        <w:pStyle w:val="Heading2"/>
      </w:pPr>
      <w:r>
        <w:t>CESE solicită continuare sprijinului pentru organizațiile societății civile și partenerii sociali din Ucraina. Munca lor pe teren, în comunitățile locale, este de o importanță considerabilă și oferă un sprijin semnificativ pentru măsurile luate de autoritățile publice.</w:t>
      </w:r>
    </w:p>
    <w:p w14:paraId="1D25E006" w14:textId="77777777" w:rsidR="00747364" w:rsidRDefault="00747364"/>
    <w:p w14:paraId="213B92F1" w14:textId="213B5AB4" w:rsidR="00747364" w:rsidRDefault="00844F27">
      <w:pPr>
        <w:pStyle w:val="Heading2"/>
      </w:pPr>
      <w:r>
        <w:t>Experiența și cunoștințele organizațiilor societății civile sunt neprețuite. Prin urmare, CESE consideră că, în cazul în care se înființează organisme specifice, cum ar fi Platforma de solidaritate pentru Ucraina, a cărei instituire a fost propusă, reprezentanții organizațiilor respective ar trebui să fie implicați în activitatea acestor organisme. CESE este pregătit să participe la activitățile desfășurate la nivelul UE. Inițiativele societății civile vor contribui la facilitarea procesului de aderare a Ucrainei la UE, la fel ca în cazul aderărilor din trecut ale noilor state membre.</w:t>
      </w:r>
    </w:p>
    <w:p w14:paraId="7BBBAC78" w14:textId="77777777" w:rsidR="00747364" w:rsidRDefault="00747364"/>
    <w:p w14:paraId="7A73E2D5" w14:textId="4699E745" w:rsidR="00747364" w:rsidRDefault="00844F27">
      <w:pPr>
        <w:pStyle w:val="Heading2"/>
      </w:pPr>
      <w:r>
        <w:lastRenderedPageBreak/>
        <w:t>Participarea cetățenilor ucraineni la organizațiile civice și la inițiativele locale, inclusiv aderarea la asociații și sindicate, are un impact pozitiv atât asupra integrării în statele membre, cât și asupra creării condițiilor pentru întoarcerea în Ucraina, menținând în același timp contactul cu comunitățile care au oferit adăpost. În plus, activitatea socială a ucrainenilor strămutați contribuie la construirea încrederii între aceștia și comunitățile locale în care trăiesc zi de zi. Prin urmare, această implicare trebuie sprijinită la toate nivelurile, inclusiv prin participare la rețelele UE. Autoritățile locale ar trebui să fie puternic sprijinite în eforturile de facilitare a unor astfel de inițiative.</w:t>
      </w:r>
    </w:p>
    <w:p w14:paraId="0FB90F9C" w14:textId="5AB8D7C7" w:rsidR="00747364" w:rsidRDefault="00747364"/>
    <w:p w14:paraId="409ACCE2" w14:textId="43BE04A8" w:rsidR="00747364" w:rsidRDefault="00844F27">
      <w:pPr>
        <w:pStyle w:val="Heading2"/>
      </w:pPr>
      <w:r>
        <w:t>CESE salută menționarea instrumentului de sprijinire a capacitării tinerilor și solicită extinderea acestuia pentru a include sprijinirea organizațiilor societății civile de tineret, inclusiv a celor care promovează participarea tinerilor la procesul decizional și dezvoltarea tinerilor ca cetățeni activi. Sectorul tineretului din Ucraina ar trebui, de asemenea, să fie un actor-cheie și un beneficiar al sprijinului pentru redresarea postbelică a Ucrainei.</w:t>
      </w:r>
    </w:p>
    <w:p w14:paraId="6BC57ADE" w14:textId="12078EB0" w:rsidR="00747364" w:rsidRDefault="00747364"/>
    <w:p w14:paraId="06E60330" w14:textId="77777777" w:rsidR="00747364" w:rsidRDefault="00844F27">
      <w:pPr>
        <w:keepNext/>
        <w:keepLines/>
        <w:rPr>
          <w:b/>
          <w:bCs/>
        </w:rPr>
      </w:pPr>
      <w:r>
        <w:rPr>
          <w:b/>
        </w:rPr>
        <w:t>Implicarea în activitatea economică și drepturile lucrătorilor în Ucraina</w:t>
      </w:r>
    </w:p>
    <w:p w14:paraId="46F9A91D" w14:textId="77777777" w:rsidR="00747364" w:rsidRDefault="00747364">
      <w:pPr>
        <w:keepNext/>
        <w:keepLines/>
      </w:pPr>
    </w:p>
    <w:p w14:paraId="7ABD1AE7" w14:textId="5797C002" w:rsidR="00747364" w:rsidRDefault="00844F27">
      <w:pPr>
        <w:pStyle w:val="Heading2"/>
      </w:pPr>
      <w:r>
        <w:t>CESE dorește să recunoască contribuția ucrainenilor la economia și finanțele publice europene. Dovezile furnizate de țările cele mai afectate arată că beneficiile economice care rezultă din integrarea lor pot compensa pe deplin cheltuielile publice inițiale pentru primire și sprijin.</w:t>
      </w:r>
    </w:p>
    <w:p w14:paraId="464065B8" w14:textId="77777777" w:rsidR="00747364" w:rsidRDefault="00747364">
      <w:pPr>
        <w:pStyle w:val="Heading2"/>
        <w:numPr>
          <w:ilvl w:val="0"/>
          <w:numId w:val="0"/>
        </w:numPr>
      </w:pPr>
    </w:p>
    <w:p w14:paraId="43D3DD2E" w14:textId="0299B6B0" w:rsidR="00747364" w:rsidRDefault="00844F27">
      <w:pPr>
        <w:pStyle w:val="Heading2"/>
      </w:pPr>
      <w:r>
        <w:t>Cu toate acestea, ar trebui remarcat faptul că, deși activitatea economică a persoanelor strămutate din Ucraina a avut un impact general pozitiv asupra economiei, asupra sistemelor de securitate socială și, în special, asupra situației demografice din UE, în unele state membre condițiile birocratice pot fi nefavorabile pentru integrarea pe piața forței de muncă. Ar trebui depuse eforturi pentru a sprijini activitatea economică a persoanelor din Ucraina, dar astfel încât să se țină seama de situația grupurilor celor mai vulnerabile, cum ar fi părinții singuri, persoanele în vârstă și persoanele cu infirmități.</w:t>
      </w:r>
    </w:p>
    <w:p w14:paraId="3341CAF0" w14:textId="7E132589" w:rsidR="00747364" w:rsidRDefault="00747364"/>
    <w:p w14:paraId="001A033E" w14:textId="6375C416" w:rsidR="00747364" w:rsidRDefault="00844F27">
      <w:pPr>
        <w:pStyle w:val="Heading2"/>
      </w:pPr>
      <w:r>
        <w:t>CESE observă că un număr tot mai mare de ucraineni aleg să înființeze întreprinderi în statele membre ale UE. Această evoluție pozitivă ar trebui sprijinită și facilitată în mod activ prin accesul la servicii de înregistrare a întreprinderilor, finanțare, formare și consiliere. Consolidarea relațiilor comerciale și economice dintre Ucraina și statele membre ale UE nu numai că va stimula creșterea economică reciprocă, ci va și pune bazele redresării și reconstrucției postbelice a Ucrainei. În acest context, CESE încurajează continuarea sprijinului UE pentru inițiativele care promovează cooperarea transfrontalieră.</w:t>
      </w:r>
    </w:p>
    <w:p w14:paraId="1F8DBEE2" w14:textId="77777777" w:rsidR="00747364" w:rsidRDefault="00747364">
      <w:pPr>
        <w:pStyle w:val="Heading2"/>
        <w:numPr>
          <w:ilvl w:val="0"/>
          <w:numId w:val="0"/>
        </w:numPr>
      </w:pPr>
    </w:p>
    <w:p w14:paraId="4A98C5C6" w14:textId="37F05CC1" w:rsidR="00747364" w:rsidRDefault="00844F27">
      <w:pPr>
        <w:pStyle w:val="Heading2"/>
      </w:pPr>
      <w:r>
        <w:t>CESE se opune ferm oricărei situații în care ucrainenii strămutați ar putea deveni victime ale exploatării, ale abuzurilor și ale eludării normelor existente referitoare la ocuparea forței de muncă. Statele membre sunt invitate să își intensifice eforturile de monitorizare și să aplice în mod corespunzător legislația de protecție a lucrătorilor. Inițiativele de succes care urmăresc să asigure informarea ucrainenilor din UE cu privire la drepturile și obligațiile în materie de muncă în diferite state membre ale UE ar trebui continuate. În acest sens, ar fi utilă promovarea aderării cetățenilor ucraineni care locuiesc în UE la organizații sindicale.</w:t>
      </w:r>
    </w:p>
    <w:p w14:paraId="3D84B212" w14:textId="0F20F184" w:rsidR="00747364" w:rsidRDefault="00747364"/>
    <w:p w14:paraId="048CB85F" w14:textId="573EE3A7" w:rsidR="00747364" w:rsidRDefault="00844F27">
      <w:pPr>
        <w:numPr>
          <w:ilvl w:val="1"/>
          <w:numId w:val="1"/>
        </w:numPr>
        <w:ind w:left="567" w:hanging="567"/>
      </w:pPr>
      <w:r>
        <w:lastRenderedPageBreak/>
        <w:t>Se pare că învățarea limbii țării-gazdă este un factor-cheie pentru activitatea socială, integrarea cu succes și dincolo de aceasta. Deși protecția temporară este destinată situațiilor de urgență, aceasta nu ar trebui folosită ca justificare pentru neglijarea dezvoltării competențelor lingvistice ale ucrainenilor din UE. CESE invită Comisia Europeană și guvernele naționale să ofere programe dedicate învățării limbilor țărilor-gazdă.</w:t>
      </w:r>
    </w:p>
    <w:p w14:paraId="2589D0E8" w14:textId="77777777" w:rsidR="00747364" w:rsidRDefault="00747364">
      <w:pPr>
        <w:ind w:left="567" w:hanging="567"/>
      </w:pPr>
    </w:p>
    <w:p w14:paraId="33201731" w14:textId="2351E5F1" w:rsidR="00747364" w:rsidRDefault="00844F27">
      <w:pPr>
        <w:numPr>
          <w:ilvl w:val="1"/>
          <w:numId w:val="1"/>
        </w:numPr>
        <w:ind w:left="567" w:hanging="567"/>
      </w:pPr>
      <w:r>
        <w:t>Comitetul dorește, de asemenea, să sublinieze că, în multe cazuri, ucrainenii din UE desfășoară activități care nu corespund competențelor și calificărilor lor oficiale. Totuși, este important ca aceste competențe și calificări să nu se piardă. Prin urmare, CESE propune programe prin care serviciile publice de ocupare a forței de muncă – cu sprijinul organizațiilor societății civile și al partenerilor sociali – să ofere oportunități de educație continuă persoanelor cu reședința legală în UE.</w:t>
      </w:r>
    </w:p>
    <w:p w14:paraId="0DE44EDD" w14:textId="77777777" w:rsidR="00747364" w:rsidRDefault="00747364">
      <w:pPr>
        <w:pStyle w:val="Heading2"/>
        <w:numPr>
          <w:ilvl w:val="0"/>
          <w:numId w:val="0"/>
        </w:numPr>
      </w:pPr>
    </w:p>
    <w:p w14:paraId="0AB23CBF" w14:textId="55D0E8F7" w:rsidR="00747364" w:rsidRDefault="00844F27">
      <w:pPr>
        <w:pStyle w:val="Heading2"/>
      </w:pPr>
      <w:r>
        <w:t>Recunoașterea reciprocă rapidă și eficientă a calificărilor de către statele membre ale UE și Ucraina va fi un factor important pentru sprijinirea ucrainenilor care lucrează pe piața forței de muncă din UE, precum și a celor care se vor întoarce și se vor reintegra pe piața muncii din Ucraina. În acest context, CESE salută adoptarea, la 25 iunie 2025, de către Cabinetul de Miniștri al Ucrainei, a normelor privind recunoașterea rezultatelor învățării obținute în străinătate. Actualizarea abilităților și cunoștințelor existente este, de asemenea, importantă. În acest sens, ar putea fi utile inclusiv schimburile intensive de experiență și de bune practici între serviciile publice de ocupare a forței de muncă din statele membre și Ucraina, cu sprijinul UE.</w:t>
      </w:r>
    </w:p>
    <w:p w14:paraId="2A124E41" w14:textId="77777777" w:rsidR="00747364" w:rsidRDefault="00747364">
      <w:pPr>
        <w:pStyle w:val="Heading2"/>
        <w:numPr>
          <w:ilvl w:val="0"/>
          <w:numId w:val="0"/>
        </w:numPr>
      </w:pPr>
    </w:p>
    <w:p w14:paraId="01791C45" w14:textId="6B9ED1F0" w:rsidR="00747364" w:rsidRDefault="00844F27">
      <w:pPr>
        <w:pStyle w:val="Heading2"/>
      </w:pPr>
      <w:r>
        <w:t>În contextul strategiei Comisiei pentru returnările în Ucraina, este important să se ia în considerare recentele evoluții negative ale țării în ceea ce privește legislația muncii și implicațiile acestora pentru alinierea la standardele internaționale și ale UE. Deși anumite măsuri introduse în timpul războiului sunt motivate de nevoile în materie de apărare, ar trebui să se acorde o atenție deosebită asigurării faptului că politicile de muncă ale Ucrainei rămân în concordanță cu acquis-</w:t>
      </w:r>
      <w:proofErr w:type="spellStart"/>
      <w:r>
        <w:t>ul</w:t>
      </w:r>
      <w:proofErr w:type="spellEnd"/>
      <w:r>
        <w:t xml:space="preserve"> social al UE și cu Acordul de asociere dintre UE și Ucraina. Prin urmare, CESE salută încheierea memorandumului tripartit privind reforma pieței forței de muncă și eforturile depuse în prezent pentru elaborarea unui nou cod al muncii menit să aducă legislația ucraineană mai aproape de standardele de muncă acceptate la nivel internațional. Comitetul recunoaște, de asemenea, valoarea sprijinului financiar și tehnic oferit de Organizația Internațională a Muncii și de UE pentru susținerea acestor reforme. În plus, Ucraina și UE ar trebui să colaboreze în continuare pentru a facilita integrarea pe piața muncii a persoanelor care se întorc în Ucraina, contribuind la promovarea stabilității și a redresării economice durabile.</w:t>
      </w:r>
    </w:p>
    <w:p w14:paraId="006230F5" w14:textId="77777777" w:rsidR="00747364" w:rsidRDefault="00747364"/>
    <w:p w14:paraId="581FEA73" w14:textId="36AF5BD1" w:rsidR="00747364" w:rsidRDefault="00844F27">
      <w:pPr>
        <w:keepNext/>
        <w:keepLines/>
        <w:rPr>
          <w:b/>
          <w:bCs/>
        </w:rPr>
      </w:pPr>
      <w:r>
        <w:rPr>
          <w:b/>
        </w:rPr>
        <w:t>Educație</w:t>
      </w:r>
    </w:p>
    <w:p w14:paraId="1A659C4A" w14:textId="77777777" w:rsidR="00747364" w:rsidRDefault="00747364">
      <w:pPr>
        <w:keepNext/>
        <w:keepLines/>
      </w:pPr>
    </w:p>
    <w:p w14:paraId="0A53638B" w14:textId="17EF1702" w:rsidR="00747364" w:rsidRDefault="00844F27">
      <w:pPr>
        <w:pStyle w:val="Heading2"/>
      </w:pPr>
      <w:r>
        <w:t xml:space="preserve">Includerea copiilor persoanelor din Ucraina în sistemele de învățământ ale statelor membre reprezintă un factor important pentru integrare. Ea are un impact pozitiv asupra viitorului parcurs educațional și profesional al copiilor și tinerilor și construiește legături cu comunitățile locale din țările-gazdă. În acest sens, este necesar să se sprijine programele de integrare socială și educațională destinate copiilor ucraineni, la diferite niveluri de învățământ preșcolar și școlar din țările UE. În acest context, CESE împărtășește punctul de vedere al Comisiei Europene potrivit căruia întoarcerea în Ucraina nu ar trebui să afecteze procesul educațional al copiilor. Este </w:t>
      </w:r>
      <w:r>
        <w:lastRenderedPageBreak/>
        <w:t>important să se asigure posibilitatea ca elevii să își finalizeze studiile într-un mediu stabil, alături de familiile lor.</w:t>
      </w:r>
    </w:p>
    <w:p w14:paraId="6CA05501" w14:textId="2A6A67B3" w:rsidR="00747364" w:rsidRDefault="00747364"/>
    <w:p w14:paraId="4F191578" w14:textId="2DC8F94C" w:rsidR="00747364" w:rsidRDefault="00844F27">
      <w:pPr>
        <w:pStyle w:val="Heading2"/>
      </w:pPr>
      <w:r>
        <w:t>Mai mult, este important să se sprijine inițiativele care vizează promovarea culturii și limbii ucrainene, atât în rândul comunității ucrainene, cât și în societățile-gazdă. Acest tip de activitate socială va reduce, de asemenea, riscul de înstrăinare a imigranților din Ucraina. În plus, ucrainenii care locuiesc în UE pot deține cunoștințe despre modul de acțiune în condiții de război, care s-ar putea dovedi deosebit de utile pentru consolidarea pregătirii europene în cazul unei amenințări, dar și în cadrul dezbaterilor despre îmbunătățirea învățământului electronic și la distanță.</w:t>
      </w:r>
    </w:p>
    <w:p w14:paraId="09E4598A" w14:textId="4C40B274" w:rsidR="00747364" w:rsidRDefault="00747364"/>
    <w:p w14:paraId="690AEE38" w14:textId="0F25B5E7" w:rsidR="00747364" w:rsidRDefault="00844F27">
      <w:pPr>
        <w:keepNext/>
        <w:keepLines/>
        <w:rPr>
          <w:b/>
          <w:bCs/>
        </w:rPr>
      </w:pPr>
      <w:r>
        <w:rPr>
          <w:b/>
        </w:rPr>
        <w:t>Relațiile reciproce – provocări sociale</w:t>
      </w:r>
    </w:p>
    <w:p w14:paraId="20CDAEEA" w14:textId="265CC9A9" w:rsidR="00747364" w:rsidRDefault="00747364">
      <w:pPr>
        <w:keepNext/>
        <w:keepLines/>
      </w:pPr>
    </w:p>
    <w:p w14:paraId="3997AB7A" w14:textId="4337492E" w:rsidR="00747364" w:rsidRDefault="00844F27">
      <w:pPr>
        <w:pStyle w:val="Heading2"/>
      </w:pPr>
      <w:r>
        <w:t>În pofida eforturilor de combatere a corupției, Ucraina rămâne o țară în care această problemă persistă</w:t>
      </w:r>
      <w:r>
        <w:rPr>
          <w:rStyle w:val="FootnoteReference"/>
        </w:rPr>
        <w:footnoteReference w:id="7"/>
      </w:r>
      <w:r>
        <w:t>. Măsurile de sporire a transparenței sistemului vor fi dificile, după cum au arătat-o evenimentele din ultimele luni. În contextul politicii de returnare, acest lucru poate reprezenta o provocare socială semnificativă. Retragerea modificărilor nefavorabile propuse în iulie 2025 este un semn pozitiv.</w:t>
      </w:r>
    </w:p>
    <w:p w14:paraId="3AFF3098" w14:textId="77777777" w:rsidR="00747364" w:rsidRPr="004E5C34" w:rsidRDefault="00747364">
      <w:pPr>
        <w:rPr>
          <w:lang w:val="en-GB"/>
        </w:rPr>
      </w:pPr>
    </w:p>
    <w:p w14:paraId="63E60CEC" w14:textId="7425162D" w:rsidR="00747364" w:rsidRDefault="00844F27">
      <w:pPr>
        <w:pStyle w:val="Heading2"/>
      </w:pPr>
      <w:r>
        <w:t>O altă problemă importantă este percepția publică din unele state membre ale UE cu privire la faptul că cetățenii ucraineni evită serviciul militar prin emigrare, inclusiv în mod ilegal</w:t>
      </w:r>
      <w:r>
        <w:rPr>
          <w:rStyle w:val="FootnoteReference"/>
        </w:rPr>
        <w:footnoteReference w:id="8"/>
      </w:r>
      <w:r>
        <w:t xml:space="preserve">. Problema sustragerii de la serviciul militar este o chestiune de interes public în unele state membre. Pentru a aborda această problemă, este necesară cooperarea dintre autoritățile ucrainene și statele membre ale UE. </w:t>
      </w:r>
    </w:p>
    <w:p w14:paraId="15407F01" w14:textId="77777777" w:rsidR="00747364" w:rsidRDefault="00747364">
      <w:pPr>
        <w:pStyle w:val="Heading2"/>
        <w:numPr>
          <w:ilvl w:val="0"/>
          <w:numId w:val="0"/>
        </w:numPr>
      </w:pPr>
    </w:p>
    <w:p w14:paraId="3FA019C7" w14:textId="2B2A9FC8" w:rsidR="00747364" w:rsidRDefault="00844F27">
      <w:pPr>
        <w:pStyle w:val="Heading2"/>
      </w:pPr>
      <w:r>
        <w:t>O altă problemă cu care se confruntă persoanele strămutate din Ucraina este teama tot mai mare în rândul populațiilor din unele state membre cu privire la nivelurile ridicate de imigrație. Prin urmare, este necesară intensificarea eforturilor de combatere a dezinformării cu privire la ucrainenii din UE, inclusiv prin finanțarea proiectelor organizațiilor civice privind monitorizarea și contracararea știrilor false și prin desfășurarea de activități de educare și informare.</w:t>
      </w:r>
    </w:p>
    <w:p w14:paraId="16248344" w14:textId="77777777" w:rsidR="00747364" w:rsidRDefault="00747364"/>
    <w:p w14:paraId="104DDD9D" w14:textId="3112B9B2" w:rsidR="00747364" w:rsidRDefault="00844F27">
      <w:pPr>
        <w:pStyle w:val="Heading2"/>
      </w:pPr>
      <w:r>
        <w:t xml:space="preserve">În plus, ar trebui intensificată campania de informare adresată </w:t>
      </w:r>
      <w:proofErr w:type="spellStart"/>
      <w:r>
        <w:t>migranților</w:t>
      </w:r>
      <w:proofErr w:type="spellEnd"/>
      <w:r>
        <w:t xml:space="preserve"> ucraineni, care avertizează cu privire la recrutările efectuate de Rusia pentru activități de sabotaj și spionaj. Campaniile, inclusiv cele derulate prin intermediul mijloacelor de comunicare socială, ar trebui să avertizeze cu privire la ofertele de câștiguri rapide și „ușoare”, subliniind consecințele legale și expunând mecanismele utilizate de Rusia pentru a exploata </w:t>
      </w:r>
      <w:proofErr w:type="spellStart"/>
      <w:r>
        <w:t>migranții</w:t>
      </w:r>
      <w:proofErr w:type="spellEnd"/>
      <w:r>
        <w:t xml:space="preserve"> în scopul destabilizării societăților și al amplificării tensiunilor sociale bazate pe temeri legate de migrație.</w:t>
      </w:r>
    </w:p>
    <w:p w14:paraId="04659FD1" w14:textId="36ED4318" w:rsidR="00747364" w:rsidRDefault="00747364"/>
    <w:p w14:paraId="701F2D06" w14:textId="3B9D0A4E" w:rsidR="00747364" w:rsidRDefault="00844F27">
      <w:pPr>
        <w:pStyle w:val="Heading1"/>
        <w:keepNext/>
        <w:keepLines/>
      </w:pPr>
      <w:r>
        <w:rPr>
          <w:b/>
        </w:rPr>
        <w:lastRenderedPageBreak/>
        <w:t>Observații specifice</w:t>
      </w:r>
    </w:p>
    <w:p w14:paraId="4D162544" w14:textId="77777777" w:rsidR="00747364" w:rsidRDefault="00747364">
      <w:pPr>
        <w:pStyle w:val="Heading2"/>
        <w:keepNext/>
        <w:keepLines/>
        <w:numPr>
          <w:ilvl w:val="0"/>
          <w:numId w:val="0"/>
        </w:numPr>
      </w:pPr>
    </w:p>
    <w:p w14:paraId="1ECC24F4" w14:textId="267CBE5D" w:rsidR="00747364" w:rsidRDefault="00844F27">
      <w:pPr>
        <w:pStyle w:val="Heading2"/>
      </w:pPr>
      <w:r>
        <w:t>CESE salută decizia de a elimina tarifele de roaming pentru apelurile efectuate între UE și Ucraina începând cu 1 ianuarie 2026 și sprijinul Comisiei pentru eforturile Ucrainei de a adera la zona unică de plăți în euro (SEPA). Astfel de măsuri reprezintă un ajutor semnificativ pentru a aduce persoanele strămutate mai aproape de rudele și prietenii lor din Ucraina.</w:t>
      </w:r>
    </w:p>
    <w:p w14:paraId="3A5EFA0A" w14:textId="77777777" w:rsidR="00747364" w:rsidRDefault="00747364"/>
    <w:p w14:paraId="75EC4657" w14:textId="23CA6476" w:rsidR="00747364" w:rsidRDefault="00844F27">
      <w:pPr>
        <w:pStyle w:val="Heading2"/>
      </w:pPr>
      <w:r>
        <w:t>Sprijinul pentru inițiativele care urmăresc menținerea contactului cu ucrainenii strămutați ar trebui să țină seama de rolul partenerilor sociali și al organizațiilor civice în punerea în aplicare a planurilor de acțiune ale instituțiilor implicate. Acest lucru va asigura o mai mare eficiență și legitimitate socială a acțiunilor.</w:t>
      </w:r>
    </w:p>
    <w:p w14:paraId="5B3BE5DE" w14:textId="77777777" w:rsidR="00747364" w:rsidRDefault="00747364"/>
    <w:p w14:paraId="1F56F8E5" w14:textId="77777777" w:rsidR="00747364" w:rsidRDefault="00844F27">
      <w:pPr>
        <w:pStyle w:val="Heading2"/>
      </w:pPr>
      <w:r>
        <w:t>Sănătatea mintală și nevoile psihosociale ale adulților și copiilor care au suferit traume de război și au reușit să fugă reprezintă, de asemenea, o problemă semnificativă și tot mai răspândită în rândul refugiaților ucraineni: 23 % declară că se confruntă cu probleme de sănătate mintală și psihosocială care le afectează viața de zi cu zi, iar 36 % dintre gospodării au cel puțin un membru care se confruntă cu astfel de dificultăți. Femeile declară în mod constant niveluri mai ridicate de probleme de sănătate mintală decât bărbații. Dintre cei care declară probleme de sănătate mintală sau psihosocială care le afectează viața de zi cu zi, aproximativ jumătate (46 %) continuă să solicite sprijin. Acest fapt indică necesitatea de a aborda provocări precum nivelul scăzut de informare și lipsa de încredere în servicii, stigmatizarea, barierele lingvistice și accesibilitatea limitată</w:t>
      </w:r>
      <w:r>
        <w:rPr>
          <w:rStyle w:val="FootnoteReference"/>
        </w:rPr>
        <w:footnoteReference w:id="9"/>
      </w:r>
      <w:r>
        <w:t>. Prin urmare, programele de sprijin ar trebui să includă și servicii asistență psihologică cu acces necondiționat, derulate în cooperare cu organizațiile comunității ucrainene din străinătate și cu organizațiile civice din țările-gazdă.</w:t>
      </w:r>
    </w:p>
    <w:p w14:paraId="4ED1B6AE" w14:textId="77777777" w:rsidR="00747364" w:rsidRDefault="00747364">
      <w:pPr>
        <w:pStyle w:val="Heading2"/>
        <w:numPr>
          <w:ilvl w:val="0"/>
          <w:numId w:val="0"/>
        </w:numPr>
      </w:pPr>
    </w:p>
    <w:p w14:paraId="7A13C459" w14:textId="1F48C714" w:rsidR="00747364" w:rsidRDefault="00844F27">
      <w:pPr>
        <w:pStyle w:val="Heading2"/>
      </w:pPr>
      <w:r>
        <w:t>CESE recomandă Comisiei Europene să extindă pagina de internet „Refugiați din Ucraina: drepturile dumneavoastră în UE” transformând-o într-un portal de informare comun și multilingv al UE, care să ofere îndrumări specifice fiecărei țări privind procedurile de depunere a cererilor, documentația necesară, drepturile și punctele de contact, printr-o interfață interactivă și actualizată periodic. O astfel de platformă ar asigura accesul transparent și consecvent la informații fiabile, ar facilita exercitarea drepturilor în temeiul directivei și ar consolida coordonarea și solidaritatea în cadrul Uniunii. O asemenea platformă ar putea fi utilizată, de asemenea, ca instrument de informare pentru ucrainenii din UE, atunci când aceștia participă la viitoare alegeri libere în Ucraina.</w:t>
      </w:r>
    </w:p>
    <w:p w14:paraId="57CD4330" w14:textId="77777777" w:rsidR="00747364" w:rsidRDefault="00747364"/>
    <w:p w14:paraId="2A2A10DA" w14:textId="77777777" w:rsidR="00747364" w:rsidRDefault="00844F27">
      <w:r>
        <w:t>Bruxelles, 7 noiembrie 2025</w:t>
      </w:r>
    </w:p>
    <w:p w14:paraId="2AD533C5" w14:textId="77777777" w:rsidR="00747364" w:rsidRDefault="00747364"/>
    <w:p w14:paraId="502FC55D" w14:textId="77777777" w:rsidR="00747364" w:rsidRDefault="00747364"/>
    <w:p w14:paraId="35C7EC64" w14:textId="4DD0AEEA" w:rsidR="00747364" w:rsidRDefault="00844F27">
      <w:pPr>
        <w:rPr>
          <w:i/>
          <w:iCs/>
        </w:rPr>
      </w:pPr>
      <w:r>
        <w:rPr>
          <w:i/>
        </w:rPr>
        <w:t>Președintele Secțiunii pentru relații externe</w:t>
      </w:r>
    </w:p>
    <w:p w14:paraId="5A4BEF5B" w14:textId="718FD414" w:rsidR="00747364" w:rsidRDefault="00844F27">
      <w:proofErr w:type="spellStart"/>
      <w:r>
        <w:t>Stefano</w:t>
      </w:r>
      <w:proofErr w:type="spellEnd"/>
      <w:r>
        <w:t xml:space="preserve"> PALMIERI</w:t>
      </w:r>
    </w:p>
    <w:p w14:paraId="5B3BE5E5" w14:textId="77777777" w:rsidR="00747364" w:rsidRDefault="00844F27">
      <w:pPr>
        <w:jc w:val="center"/>
      </w:pPr>
      <w:r>
        <w:t>_____________</w:t>
      </w:r>
    </w:p>
    <w:p w14:paraId="400A1EBF" w14:textId="77777777" w:rsidR="00747364" w:rsidRDefault="00747364">
      <w:pPr>
        <w:jc w:val="left"/>
      </w:pPr>
    </w:p>
    <w:sectPr w:rsidR="00747364" w:rsidSect="00844F27">
      <w:headerReference w:type="even" r:id="rId19"/>
      <w:headerReference w:type="default" r:id="rId20"/>
      <w:footerReference w:type="even" r:id="rId21"/>
      <w:footerReference w:type="default" r:id="rId22"/>
      <w:headerReference w:type="first" r:id="rId23"/>
      <w:footerReference w:type="first" r:id="rId24"/>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62E81B" w14:textId="77777777" w:rsidR="009C3D89" w:rsidRDefault="009C3D89">
      <w:r>
        <w:separator/>
      </w:r>
    </w:p>
  </w:endnote>
  <w:endnote w:type="continuationSeparator" w:id="0">
    <w:p w14:paraId="54A5CDA7" w14:textId="77777777" w:rsidR="009C3D89" w:rsidRDefault="009C3D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F07D0" w14:textId="77777777" w:rsidR="00844F27" w:rsidRPr="00844F27" w:rsidRDefault="00844F27" w:rsidP="00844F2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6F19F" w14:textId="3657280E" w:rsidR="00747364" w:rsidRPr="00844F27" w:rsidRDefault="00844F27" w:rsidP="00844F27">
    <w:pPr>
      <w:pStyle w:val="Footer"/>
    </w:pPr>
    <w:r>
      <w:t xml:space="preserve">REX/608 – EESC-2025-02613-00-01-AS-TRA (EN) </w:t>
    </w:r>
    <w:r>
      <w:fldChar w:fldCharType="begin"/>
    </w:r>
    <w:r>
      <w:instrText xml:space="preserve"> PAGE  \* Arabic  \* MERGEFORMAT </w:instrText>
    </w:r>
    <w:r>
      <w:fldChar w:fldCharType="separate"/>
    </w:r>
    <w:r w:rsidR="00B824E8">
      <w:t>1</w:t>
    </w:r>
    <w:r>
      <w:fldChar w:fldCharType="end"/>
    </w:r>
    <w:r>
      <w:t>/</w:t>
    </w:r>
    <w:r w:rsidR="007B5D64">
      <w:fldChar w:fldCharType="begin"/>
    </w:r>
    <w:r w:rsidR="007B5D64">
      <w:instrText xml:space="preserve"> NUMPAGES </w:instrText>
    </w:r>
    <w:r w:rsidR="007B5D64">
      <w:fldChar w:fldCharType="separate"/>
    </w:r>
    <w:r w:rsidR="00B824E8">
      <w:t>1</w:t>
    </w:r>
    <w:r w:rsidR="007B5D64">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B4F71" w14:textId="77777777" w:rsidR="00844F27" w:rsidRPr="00844F27" w:rsidRDefault="00844F27" w:rsidP="00844F2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6AA83" w14:textId="77777777" w:rsidR="00747364" w:rsidRPr="00844F27" w:rsidRDefault="00747364" w:rsidP="00844F2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FDA59" w14:textId="7AABBB9A" w:rsidR="00747364" w:rsidRPr="00844F27" w:rsidRDefault="00844F27" w:rsidP="00844F27">
    <w:pPr>
      <w:pStyle w:val="Footer"/>
    </w:pPr>
    <w:r>
      <w:t xml:space="preserve">REX/608 – EESC-2025-02613-00-01-AS-TRA (EN) </w:t>
    </w:r>
    <w:r>
      <w:fldChar w:fldCharType="begin"/>
    </w:r>
    <w:r>
      <w:instrText xml:space="preserve"> PAGE  \* Arabic  \* MERGEFORMAT </w:instrText>
    </w:r>
    <w:r>
      <w:fldChar w:fldCharType="separate"/>
    </w:r>
    <w:r>
      <w:t>2</w:t>
    </w:r>
    <w:r>
      <w:fldChar w:fldCharType="end"/>
    </w:r>
    <w:r>
      <w:t>/</w:t>
    </w:r>
    <w:r w:rsidR="007B5D64">
      <w:fldChar w:fldCharType="begin"/>
    </w:r>
    <w:r w:rsidR="007B5D64">
      <w:instrText xml:space="preserve"> NUMPAGES </w:instrText>
    </w:r>
    <w:r w:rsidR="007B5D64">
      <w:fldChar w:fldCharType="separate"/>
    </w:r>
    <w:r>
      <w:t>10</w:t>
    </w:r>
    <w:r w:rsidR="007B5D64">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C9FE7" w14:textId="77777777" w:rsidR="00747364" w:rsidRPr="00844F27" w:rsidRDefault="00747364" w:rsidP="00844F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14A461" w14:textId="77777777" w:rsidR="009C3D89" w:rsidRDefault="009C3D89">
      <w:r>
        <w:separator/>
      </w:r>
    </w:p>
  </w:footnote>
  <w:footnote w:type="continuationSeparator" w:id="0">
    <w:p w14:paraId="0DF18A14" w14:textId="77777777" w:rsidR="009C3D89" w:rsidRDefault="009C3D89">
      <w:r>
        <w:continuationSeparator/>
      </w:r>
    </w:p>
  </w:footnote>
  <w:footnote w:id="1">
    <w:p w14:paraId="7482978D" w14:textId="5E30C9DA" w:rsidR="00747364" w:rsidRDefault="00844F27">
      <w:pPr>
        <w:pStyle w:val="FootnoteText"/>
      </w:pPr>
      <w:r>
        <w:rPr>
          <w:rStyle w:val="FootnoteReference"/>
        </w:rPr>
        <w:footnoteRef/>
      </w:r>
      <w:r>
        <w:tab/>
      </w:r>
      <w:hyperlink r:id="rId1" w:history="1">
        <w:r>
          <w:rPr>
            <w:rStyle w:val="Hyperlink"/>
          </w:rPr>
          <w:t>Date ale UE</w:t>
        </w:r>
      </w:hyperlink>
      <w:r>
        <w:t>.</w:t>
      </w:r>
    </w:p>
  </w:footnote>
  <w:footnote w:id="2">
    <w:p w14:paraId="171B5BFF" w14:textId="7400647B" w:rsidR="00747364" w:rsidRDefault="00844F27">
      <w:pPr>
        <w:pStyle w:val="FootnoteText"/>
      </w:pPr>
      <w:r>
        <w:rPr>
          <w:rStyle w:val="FootnoteReference"/>
        </w:rPr>
        <w:footnoteRef/>
      </w:r>
      <w:r>
        <w:tab/>
        <w:t>Avizul SOC/710.</w:t>
      </w:r>
    </w:p>
  </w:footnote>
  <w:footnote w:id="3">
    <w:p w14:paraId="31A20338" w14:textId="453FEED7" w:rsidR="00747364" w:rsidRDefault="00844F27">
      <w:pPr>
        <w:pStyle w:val="FootnoteText"/>
      </w:pPr>
      <w:r>
        <w:rPr>
          <w:rStyle w:val="FootnoteReference"/>
        </w:rPr>
        <w:footnoteRef/>
      </w:r>
      <w:r>
        <w:tab/>
      </w:r>
      <w:hyperlink r:id="rId2" w:history="1">
        <w:r>
          <w:rPr>
            <w:rStyle w:val="Hyperlink"/>
          </w:rPr>
          <w:t>COM(2025) 649 final</w:t>
        </w:r>
      </w:hyperlink>
      <w:r>
        <w:t>.</w:t>
      </w:r>
    </w:p>
  </w:footnote>
  <w:footnote w:id="4">
    <w:p w14:paraId="4EE31346" w14:textId="52638602" w:rsidR="00747364" w:rsidRDefault="00844F27">
      <w:pPr>
        <w:pStyle w:val="FootnoteText"/>
      </w:pPr>
      <w:r>
        <w:rPr>
          <w:rStyle w:val="FootnoteReference"/>
        </w:rPr>
        <w:footnoteRef/>
      </w:r>
      <w:r>
        <w:tab/>
      </w:r>
      <w:hyperlink r:id="rId3" w:history="1">
        <w:r>
          <w:rPr>
            <w:rStyle w:val="Hyperlink"/>
          </w:rPr>
          <w:t>COM(2025) 649 final</w:t>
        </w:r>
      </w:hyperlink>
      <w:r>
        <w:t>.</w:t>
      </w:r>
    </w:p>
  </w:footnote>
  <w:footnote w:id="5">
    <w:p w14:paraId="7CCD4B68" w14:textId="2C405F1B" w:rsidR="00747364" w:rsidRDefault="00844F27">
      <w:pPr>
        <w:pStyle w:val="FootnoteText"/>
      </w:pPr>
      <w:r>
        <w:rPr>
          <w:rStyle w:val="FootnoteReference"/>
        </w:rPr>
        <w:footnoteRef/>
      </w:r>
      <w:r>
        <w:tab/>
        <w:t>A se vedea, de asemenea, Avizul ECO/625, punctul 3.5.1.</w:t>
      </w:r>
    </w:p>
  </w:footnote>
  <w:footnote w:id="6">
    <w:p w14:paraId="1340102B" w14:textId="29F5086F" w:rsidR="00747364" w:rsidRDefault="00844F27">
      <w:pPr>
        <w:pStyle w:val="FootnoteText"/>
      </w:pPr>
      <w:r>
        <w:rPr>
          <w:rStyle w:val="FootnoteReference"/>
        </w:rPr>
        <w:footnoteRef/>
      </w:r>
      <w:r>
        <w:tab/>
      </w:r>
      <w:proofErr w:type="spellStart"/>
      <w:r>
        <w:t>Eurofund</w:t>
      </w:r>
      <w:proofErr w:type="spellEnd"/>
      <w:r>
        <w:t xml:space="preserve"> </w:t>
      </w:r>
      <w:hyperlink r:id="rId4" w:history="1">
        <w:r>
          <w:rPr>
            <w:rStyle w:val="Hyperlink"/>
          </w:rPr>
          <w:t>https://www.eurofound.europa.eu/en/publications/all/support-ukraine-still-high-among-eu-citizens-some-fall-apparent-among</w:t>
        </w:r>
      </w:hyperlink>
      <w:r>
        <w:t>.</w:t>
      </w:r>
    </w:p>
  </w:footnote>
  <w:footnote w:id="7">
    <w:p w14:paraId="0BD0F54A" w14:textId="112C8E7F" w:rsidR="00747364" w:rsidRDefault="00844F27">
      <w:pPr>
        <w:pStyle w:val="FootnoteText"/>
      </w:pPr>
      <w:r>
        <w:rPr>
          <w:rStyle w:val="FootnoteReference"/>
        </w:rPr>
        <w:footnoteRef/>
      </w:r>
      <w:r>
        <w:tab/>
        <w:t xml:space="preserve">Conform unui studiu din 2024 realizat de Institutul Internațional de Sociologie din Kiev, corupția este a doua cea mai gravă problemă a Ucrainei, imediat după agresiunea la scară largă a Rusiei, </w:t>
      </w:r>
      <w:hyperlink r:id="rId5" w:history="1">
        <w:r>
          <w:rPr>
            <w:rStyle w:val="Hyperlink"/>
          </w:rPr>
          <w:t>https://kiis.com.ua/?lang=ukr&amp;cat=reports&amp;id=1512&amp;page=1</w:t>
        </w:r>
      </w:hyperlink>
      <w:r>
        <w:t>. Persistența problemei în pofida eforturilor este confirmată de raportul întocmit de OCDE cu privire la integritate și la combaterea corupției în Ucraina (</w:t>
      </w:r>
      <w:r>
        <w:rPr>
          <w:i/>
        </w:rPr>
        <w:t xml:space="preserve">OECD </w:t>
      </w:r>
      <w:proofErr w:type="spellStart"/>
      <w:r>
        <w:rPr>
          <w:i/>
        </w:rPr>
        <w:t>Integrity</w:t>
      </w:r>
      <w:proofErr w:type="spellEnd"/>
      <w:r>
        <w:rPr>
          <w:i/>
        </w:rPr>
        <w:t xml:space="preserve"> </w:t>
      </w:r>
      <w:proofErr w:type="spellStart"/>
      <w:r>
        <w:rPr>
          <w:i/>
        </w:rPr>
        <w:t>and</w:t>
      </w:r>
      <w:proofErr w:type="spellEnd"/>
      <w:r>
        <w:rPr>
          <w:i/>
        </w:rPr>
        <w:t xml:space="preserve"> Anti-</w:t>
      </w:r>
      <w:proofErr w:type="spellStart"/>
      <w:r>
        <w:rPr>
          <w:i/>
        </w:rPr>
        <w:t>Corruption</w:t>
      </w:r>
      <w:proofErr w:type="spellEnd"/>
      <w:r>
        <w:rPr>
          <w:i/>
        </w:rPr>
        <w:t xml:space="preserve"> Review of </w:t>
      </w:r>
      <w:proofErr w:type="spellStart"/>
      <w:r>
        <w:rPr>
          <w:i/>
        </w:rPr>
        <w:t>Ukraine</w:t>
      </w:r>
      <w:proofErr w:type="spellEnd"/>
      <w:r>
        <w:t xml:space="preserve">) și publicat în seria OECD Public </w:t>
      </w:r>
      <w:proofErr w:type="spellStart"/>
      <w:r>
        <w:t>Governance</w:t>
      </w:r>
      <w:proofErr w:type="spellEnd"/>
      <w:r>
        <w:t xml:space="preserve"> </w:t>
      </w:r>
      <w:proofErr w:type="spellStart"/>
      <w:r>
        <w:t>Reviews</w:t>
      </w:r>
      <w:proofErr w:type="spellEnd"/>
      <w:r>
        <w:t xml:space="preserve">, OECD </w:t>
      </w:r>
      <w:proofErr w:type="spellStart"/>
      <w:r>
        <w:t>Publishing</w:t>
      </w:r>
      <w:proofErr w:type="spellEnd"/>
      <w:r>
        <w:t>, Paris (</w:t>
      </w:r>
      <w:hyperlink r:id="rId6" w:history="1">
        <w:r>
          <w:rPr>
            <w:rStyle w:val="Hyperlink"/>
          </w:rPr>
          <w:t>https://doi.org/10.1787/7dbe965b-en</w:t>
        </w:r>
      </w:hyperlink>
      <w:r>
        <w:t xml:space="preserve">), și de Indicele de percepție a corupției al </w:t>
      </w:r>
      <w:proofErr w:type="spellStart"/>
      <w:r>
        <w:t>Transparency</w:t>
      </w:r>
      <w:proofErr w:type="spellEnd"/>
      <w:r>
        <w:t xml:space="preserve"> International (</w:t>
      </w:r>
      <w:hyperlink r:id="rId7" w:history="1">
        <w:r>
          <w:rPr>
            <w:rStyle w:val="Hyperlink"/>
          </w:rPr>
          <w:t>https://www.transparency.org/en/cpi/2024/</w:t>
        </w:r>
      </w:hyperlink>
      <w:r>
        <w:t>).</w:t>
      </w:r>
    </w:p>
  </w:footnote>
  <w:footnote w:id="8">
    <w:p w14:paraId="3E94F6F7" w14:textId="0DB54F64" w:rsidR="00747364" w:rsidRDefault="00844F27">
      <w:pPr>
        <w:pStyle w:val="FootnoteText"/>
      </w:pPr>
      <w:r>
        <w:rPr>
          <w:rStyle w:val="FootnoteReference"/>
        </w:rPr>
        <w:footnoteRef/>
      </w:r>
      <w:r>
        <w:tab/>
        <w:t xml:space="preserve">Conform datelor Serviciului de Frontieră al Ucrainei, de la începutul anului 2022, aproape 30 000 de persoane au fost reținute în timp ce încercau să treacă ilegal frontiera, iar alte 44 900 au trecut ilegal frontiera, </w:t>
      </w:r>
      <w:hyperlink r:id="rId8" w:history="1">
        <w:r>
          <w:rPr>
            <w:rStyle w:val="Hyperlink"/>
          </w:rPr>
          <w:t>https://www.pravda.com.ua/news/2025/05/21/7513302/</w:t>
        </w:r>
      </w:hyperlink>
      <w:r>
        <w:t>.</w:t>
      </w:r>
    </w:p>
  </w:footnote>
  <w:footnote w:id="9">
    <w:p w14:paraId="526B520B" w14:textId="6E561E2F" w:rsidR="00747364" w:rsidRDefault="00844F27">
      <w:pPr>
        <w:keepLines/>
        <w:spacing w:after="60" w:line="240" w:lineRule="auto"/>
        <w:ind w:left="567" w:hanging="567"/>
        <w:jc w:val="left"/>
        <w:rPr>
          <w:sz w:val="16"/>
          <w:szCs w:val="16"/>
        </w:rPr>
      </w:pPr>
      <w:r>
        <w:rPr>
          <w:rStyle w:val="FootnoteReference"/>
        </w:rPr>
        <w:footnoteRef/>
      </w:r>
      <w:r>
        <w:tab/>
      </w:r>
      <w:hyperlink r:id="rId9" w:anchor=":~:text=Example%20of%20such%20stressors%20are%20the%20abrupt,war%2Dtorn%20country%20and%20in%20their%20forced%20displacement" w:history="1">
        <w:r>
          <w:rPr>
            <w:rStyle w:val="Hyperlink"/>
            <w:sz w:val="16"/>
          </w:rPr>
          <w:t>Gestionarea provocărilor în materie de sănătate și bunăstare pentru refugiații din Ucraina (2025)</w:t>
        </w:r>
      </w:hyperlink>
      <w:r>
        <w:rPr>
          <w:sz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4AD23" w14:textId="77777777" w:rsidR="00844F27" w:rsidRPr="00844F27" w:rsidRDefault="00844F27" w:rsidP="00844F2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5CDA2" w14:textId="0AD5C203" w:rsidR="00844F27" w:rsidRPr="00844F27" w:rsidRDefault="00844F27" w:rsidP="00844F2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58F7CC" w14:textId="77777777" w:rsidR="00844F27" w:rsidRPr="00844F27" w:rsidRDefault="00844F27" w:rsidP="00844F2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46783" w14:textId="77777777" w:rsidR="00747364" w:rsidRPr="00844F27" w:rsidRDefault="00747364" w:rsidP="00844F2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C8B8E" w14:textId="71D37566" w:rsidR="00747364" w:rsidRPr="00844F27" w:rsidRDefault="00747364" w:rsidP="00844F2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EE929" w14:textId="77777777" w:rsidR="00747364" w:rsidRPr="00844F27" w:rsidRDefault="00747364" w:rsidP="00844F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1601206"/>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num w:numId="1">
    <w:abstractNumId w:val="0"/>
  </w:num>
  <w:num w:numId="2">
    <w:abstractNumId w:val="0"/>
    <w:lvlOverride w:ilvl="0">
      <w:startOverride w:val="3"/>
    </w:lvlOverride>
    <w:lvlOverride w:ilvl="1">
      <w:startOverride w:val="19"/>
    </w:lvlOverride>
  </w:num>
  <w:num w:numId="3">
    <w:abstractNumId w:val="0"/>
    <w:lvlOverride w:ilvl="0">
      <w:startOverride w:val="3"/>
    </w:lvlOverride>
    <w:lvlOverride w:ilvl="1">
      <w:startOverride w:val="13"/>
    </w:lvlOverride>
  </w:num>
  <w:num w:numId="4">
    <w:abstractNumId w:val="0"/>
    <w:lvlOverride w:ilvl="0">
      <w:startOverride w:val="3"/>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7F8F"/>
    <w:rsid w:val="00005AB9"/>
    <w:rsid w:val="00005EB9"/>
    <w:rsid w:val="00006E24"/>
    <w:rsid w:val="00007A40"/>
    <w:rsid w:val="00011D33"/>
    <w:rsid w:val="000154B4"/>
    <w:rsid w:val="00016EEC"/>
    <w:rsid w:val="00017DDE"/>
    <w:rsid w:val="00020E6E"/>
    <w:rsid w:val="000232D5"/>
    <w:rsid w:val="0002512C"/>
    <w:rsid w:val="000255BC"/>
    <w:rsid w:val="0003035B"/>
    <w:rsid w:val="00031A4B"/>
    <w:rsid w:val="000325FD"/>
    <w:rsid w:val="00033913"/>
    <w:rsid w:val="00033E5B"/>
    <w:rsid w:val="000357A8"/>
    <w:rsid w:val="00036D8F"/>
    <w:rsid w:val="00042E61"/>
    <w:rsid w:val="000430A6"/>
    <w:rsid w:val="00044923"/>
    <w:rsid w:val="0005249C"/>
    <w:rsid w:val="000534A5"/>
    <w:rsid w:val="00055A1A"/>
    <w:rsid w:val="0005680D"/>
    <w:rsid w:val="00063FB4"/>
    <w:rsid w:val="0006793E"/>
    <w:rsid w:val="00072E0F"/>
    <w:rsid w:val="000735E5"/>
    <w:rsid w:val="0007392F"/>
    <w:rsid w:val="00076051"/>
    <w:rsid w:val="00076DE1"/>
    <w:rsid w:val="000860FE"/>
    <w:rsid w:val="00087B39"/>
    <w:rsid w:val="00094103"/>
    <w:rsid w:val="00096502"/>
    <w:rsid w:val="00096FC3"/>
    <w:rsid w:val="000A2D25"/>
    <w:rsid w:val="000A49BB"/>
    <w:rsid w:val="000A677A"/>
    <w:rsid w:val="000B029D"/>
    <w:rsid w:val="000B0715"/>
    <w:rsid w:val="000C2DD3"/>
    <w:rsid w:val="000C3441"/>
    <w:rsid w:val="000C507D"/>
    <w:rsid w:val="000C6780"/>
    <w:rsid w:val="000C679B"/>
    <w:rsid w:val="000C7F53"/>
    <w:rsid w:val="000D2F8E"/>
    <w:rsid w:val="000D45EB"/>
    <w:rsid w:val="000D4F66"/>
    <w:rsid w:val="000D55BD"/>
    <w:rsid w:val="000D668E"/>
    <w:rsid w:val="000E1994"/>
    <w:rsid w:val="000E55A3"/>
    <w:rsid w:val="000E5697"/>
    <w:rsid w:val="000E6D34"/>
    <w:rsid w:val="000F07AD"/>
    <w:rsid w:val="000F196B"/>
    <w:rsid w:val="000F4062"/>
    <w:rsid w:val="00100A99"/>
    <w:rsid w:val="00100F92"/>
    <w:rsid w:val="00105361"/>
    <w:rsid w:val="001101F8"/>
    <w:rsid w:val="0011206F"/>
    <w:rsid w:val="0011656A"/>
    <w:rsid w:val="0012220C"/>
    <w:rsid w:val="001234BD"/>
    <w:rsid w:val="00123EF4"/>
    <w:rsid w:val="001243B2"/>
    <w:rsid w:val="0013664F"/>
    <w:rsid w:val="00136EA3"/>
    <w:rsid w:val="00137575"/>
    <w:rsid w:val="00144231"/>
    <w:rsid w:val="00150434"/>
    <w:rsid w:val="00155227"/>
    <w:rsid w:val="00155721"/>
    <w:rsid w:val="0015678B"/>
    <w:rsid w:val="00156820"/>
    <w:rsid w:val="00161052"/>
    <w:rsid w:val="0016503F"/>
    <w:rsid w:val="0016674F"/>
    <w:rsid w:val="00167CA0"/>
    <w:rsid w:val="0017120D"/>
    <w:rsid w:val="001714F6"/>
    <w:rsid w:val="00173A6E"/>
    <w:rsid w:val="00176168"/>
    <w:rsid w:val="00177158"/>
    <w:rsid w:val="001808A5"/>
    <w:rsid w:val="00184FD4"/>
    <w:rsid w:val="00186B04"/>
    <w:rsid w:val="00186F1E"/>
    <w:rsid w:val="00190836"/>
    <w:rsid w:val="00193930"/>
    <w:rsid w:val="001963A5"/>
    <w:rsid w:val="00196F1E"/>
    <w:rsid w:val="00197FCA"/>
    <w:rsid w:val="001A0C04"/>
    <w:rsid w:val="001A0C8A"/>
    <w:rsid w:val="001A27DB"/>
    <w:rsid w:val="001A6852"/>
    <w:rsid w:val="001B20B4"/>
    <w:rsid w:val="001B243D"/>
    <w:rsid w:val="001B286A"/>
    <w:rsid w:val="001B2D02"/>
    <w:rsid w:val="001B3647"/>
    <w:rsid w:val="001B5F61"/>
    <w:rsid w:val="001B77FA"/>
    <w:rsid w:val="001B7CC9"/>
    <w:rsid w:val="001C0ABE"/>
    <w:rsid w:val="001C5852"/>
    <w:rsid w:val="001C593A"/>
    <w:rsid w:val="001C621B"/>
    <w:rsid w:val="001D1897"/>
    <w:rsid w:val="001D45F0"/>
    <w:rsid w:val="001D66CA"/>
    <w:rsid w:val="001E1E45"/>
    <w:rsid w:val="001E3EF6"/>
    <w:rsid w:val="001E4A33"/>
    <w:rsid w:val="001E5C27"/>
    <w:rsid w:val="001F0220"/>
    <w:rsid w:val="001F602B"/>
    <w:rsid w:val="001F6AC8"/>
    <w:rsid w:val="00200882"/>
    <w:rsid w:val="0020204C"/>
    <w:rsid w:val="002021B1"/>
    <w:rsid w:val="002037D5"/>
    <w:rsid w:val="00205D3F"/>
    <w:rsid w:val="00206F90"/>
    <w:rsid w:val="0020755C"/>
    <w:rsid w:val="00210A33"/>
    <w:rsid w:val="00212B03"/>
    <w:rsid w:val="002131AE"/>
    <w:rsid w:val="00215C10"/>
    <w:rsid w:val="00215C2D"/>
    <w:rsid w:val="002249AC"/>
    <w:rsid w:val="002252C4"/>
    <w:rsid w:val="0022590E"/>
    <w:rsid w:val="0023183E"/>
    <w:rsid w:val="002341FC"/>
    <w:rsid w:val="00235138"/>
    <w:rsid w:val="002362A9"/>
    <w:rsid w:val="00240622"/>
    <w:rsid w:val="00240A4B"/>
    <w:rsid w:val="00240F95"/>
    <w:rsid w:val="00243E36"/>
    <w:rsid w:val="0024442D"/>
    <w:rsid w:val="0024540B"/>
    <w:rsid w:val="00245EF4"/>
    <w:rsid w:val="00250E11"/>
    <w:rsid w:val="00251383"/>
    <w:rsid w:val="002522C9"/>
    <w:rsid w:val="0025245E"/>
    <w:rsid w:val="00252A21"/>
    <w:rsid w:val="002535AE"/>
    <w:rsid w:val="00253E4F"/>
    <w:rsid w:val="0025411C"/>
    <w:rsid w:val="002542E4"/>
    <w:rsid w:val="00255D3D"/>
    <w:rsid w:val="002576F0"/>
    <w:rsid w:val="00261053"/>
    <w:rsid w:val="00262FDE"/>
    <w:rsid w:val="00263629"/>
    <w:rsid w:val="00272368"/>
    <w:rsid w:val="002769BD"/>
    <w:rsid w:val="00276A75"/>
    <w:rsid w:val="002809EA"/>
    <w:rsid w:val="002810E1"/>
    <w:rsid w:val="00284962"/>
    <w:rsid w:val="00287506"/>
    <w:rsid w:val="00287B0E"/>
    <w:rsid w:val="002916CD"/>
    <w:rsid w:val="002A0B53"/>
    <w:rsid w:val="002A0EEF"/>
    <w:rsid w:val="002A69E5"/>
    <w:rsid w:val="002A76F9"/>
    <w:rsid w:val="002B2DF7"/>
    <w:rsid w:val="002B359F"/>
    <w:rsid w:val="002C1DB1"/>
    <w:rsid w:val="002C3BF4"/>
    <w:rsid w:val="002C6016"/>
    <w:rsid w:val="002C749F"/>
    <w:rsid w:val="002D0742"/>
    <w:rsid w:val="002D58E0"/>
    <w:rsid w:val="002E2C25"/>
    <w:rsid w:val="002E7B33"/>
    <w:rsid w:val="002F059B"/>
    <w:rsid w:val="002F2580"/>
    <w:rsid w:val="002F5B0B"/>
    <w:rsid w:val="002F6DE3"/>
    <w:rsid w:val="002F7542"/>
    <w:rsid w:val="00300924"/>
    <w:rsid w:val="0030596E"/>
    <w:rsid w:val="003073C3"/>
    <w:rsid w:val="00311F77"/>
    <w:rsid w:val="00315516"/>
    <w:rsid w:val="0031625A"/>
    <w:rsid w:val="00320BC5"/>
    <w:rsid w:val="00323637"/>
    <w:rsid w:val="00324E8A"/>
    <w:rsid w:val="003257BE"/>
    <w:rsid w:val="0033173F"/>
    <w:rsid w:val="00331A55"/>
    <w:rsid w:val="00331A97"/>
    <w:rsid w:val="00331D87"/>
    <w:rsid w:val="00332850"/>
    <w:rsid w:val="00333513"/>
    <w:rsid w:val="00333B12"/>
    <w:rsid w:val="00334478"/>
    <w:rsid w:val="003346B4"/>
    <w:rsid w:val="00334AE6"/>
    <w:rsid w:val="003365D0"/>
    <w:rsid w:val="003423F2"/>
    <w:rsid w:val="00342D4A"/>
    <w:rsid w:val="003439AB"/>
    <w:rsid w:val="00344D7D"/>
    <w:rsid w:val="00344DA1"/>
    <w:rsid w:val="003474A6"/>
    <w:rsid w:val="0035034C"/>
    <w:rsid w:val="003535B3"/>
    <w:rsid w:val="00354695"/>
    <w:rsid w:val="0035549B"/>
    <w:rsid w:val="003577DD"/>
    <w:rsid w:val="00357F49"/>
    <w:rsid w:val="00363CD0"/>
    <w:rsid w:val="003662D6"/>
    <w:rsid w:val="00367157"/>
    <w:rsid w:val="00373315"/>
    <w:rsid w:val="003755C8"/>
    <w:rsid w:val="00375687"/>
    <w:rsid w:val="0037793A"/>
    <w:rsid w:val="00380AE0"/>
    <w:rsid w:val="00383324"/>
    <w:rsid w:val="00384440"/>
    <w:rsid w:val="00386408"/>
    <w:rsid w:val="00387A75"/>
    <w:rsid w:val="003904FD"/>
    <w:rsid w:val="00394254"/>
    <w:rsid w:val="003948F7"/>
    <w:rsid w:val="003950A6"/>
    <w:rsid w:val="003957F9"/>
    <w:rsid w:val="003978DB"/>
    <w:rsid w:val="003A4817"/>
    <w:rsid w:val="003A7F3F"/>
    <w:rsid w:val="003B0AEC"/>
    <w:rsid w:val="003B0C32"/>
    <w:rsid w:val="003B3451"/>
    <w:rsid w:val="003C0D20"/>
    <w:rsid w:val="003C1859"/>
    <w:rsid w:val="003C2BFB"/>
    <w:rsid w:val="003C436B"/>
    <w:rsid w:val="003C5337"/>
    <w:rsid w:val="003C5F92"/>
    <w:rsid w:val="003C7F2D"/>
    <w:rsid w:val="003D08FA"/>
    <w:rsid w:val="003D6442"/>
    <w:rsid w:val="003D7A8C"/>
    <w:rsid w:val="003D7C00"/>
    <w:rsid w:val="003E1A8D"/>
    <w:rsid w:val="003E56E5"/>
    <w:rsid w:val="003E7E60"/>
    <w:rsid w:val="003F00D4"/>
    <w:rsid w:val="003F04CF"/>
    <w:rsid w:val="003F2209"/>
    <w:rsid w:val="003F3D39"/>
    <w:rsid w:val="003F5F1D"/>
    <w:rsid w:val="003F646A"/>
    <w:rsid w:val="003F6761"/>
    <w:rsid w:val="003F6A0A"/>
    <w:rsid w:val="004024F5"/>
    <w:rsid w:val="0040261D"/>
    <w:rsid w:val="00402DE1"/>
    <w:rsid w:val="0040337F"/>
    <w:rsid w:val="00403D8B"/>
    <w:rsid w:val="004058F1"/>
    <w:rsid w:val="00407E7D"/>
    <w:rsid w:val="00407EA5"/>
    <w:rsid w:val="0041283D"/>
    <w:rsid w:val="004131E6"/>
    <w:rsid w:val="00413AB4"/>
    <w:rsid w:val="004154F2"/>
    <w:rsid w:val="004162B3"/>
    <w:rsid w:val="00421373"/>
    <w:rsid w:val="00421FB7"/>
    <w:rsid w:val="0042763B"/>
    <w:rsid w:val="0043024C"/>
    <w:rsid w:val="00432760"/>
    <w:rsid w:val="00434B03"/>
    <w:rsid w:val="00436706"/>
    <w:rsid w:val="00442125"/>
    <w:rsid w:val="00443D38"/>
    <w:rsid w:val="004462E3"/>
    <w:rsid w:val="00450E7A"/>
    <w:rsid w:val="004519B2"/>
    <w:rsid w:val="004543E7"/>
    <w:rsid w:val="0045609F"/>
    <w:rsid w:val="00456AF8"/>
    <w:rsid w:val="00456F81"/>
    <w:rsid w:val="004607E2"/>
    <w:rsid w:val="0046776A"/>
    <w:rsid w:val="00470B15"/>
    <w:rsid w:val="004722F0"/>
    <w:rsid w:val="00472474"/>
    <w:rsid w:val="00475869"/>
    <w:rsid w:val="00475A77"/>
    <w:rsid w:val="004816C7"/>
    <w:rsid w:val="00484994"/>
    <w:rsid w:val="004866A9"/>
    <w:rsid w:val="0048754F"/>
    <w:rsid w:val="00490B6D"/>
    <w:rsid w:val="00492297"/>
    <w:rsid w:val="00492774"/>
    <w:rsid w:val="0049279D"/>
    <w:rsid w:val="00493D37"/>
    <w:rsid w:val="004943C9"/>
    <w:rsid w:val="00494E95"/>
    <w:rsid w:val="00496D7A"/>
    <w:rsid w:val="004A31BC"/>
    <w:rsid w:val="004A3F1A"/>
    <w:rsid w:val="004A3F45"/>
    <w:rsid w:val="004A5738"/>
    <w:rsid w:val="004A588C"/>
    <w:rsid w:val="004A7F87"/>
    <w:rsid w:val="004B1701"/>
    <w:rsid w:val="004B1AFA"/>
    <w:rsid w:val="004B2347"/>
    <w:rsid w:val="004B434B"/>
    <w:rsid w:val="004B7088"/>
    <w:rsid w:val="004C10C3"/>
    <w:rsid w:val="004C4D12"/>
    <w:rsid w:val="004C5B76"/>
    <w:rsid w:val="004D02CD"/>
    <w:rsid w:val="004D0B24"/>
    <w:rsid w:val="004D4B90"/>
    <w:rsid w:val="004D6B95"/>
    <w:rsid w:val="004D7F41"/>
    <w:rsid w:val="004E03A2"/>
    <w:rsid w:val="004E317E"/>
    <w:rsid w:val="004E3954"/>
    <w:rsid w:val="004E5856"/>
    <w:rsid w:val="004E5C34"/>
    <w:rsid w:val="004E7B59"/>
    <w:rsid w:val="004E7E51"/>
    <w:rsid w:val="004F2330"/>
    <w:rsid w:val="004F515C"/>
    <w:rsid w:val="004F53C6"/>
    <w:rsid w:val="004F55C6"/>
    <w:rsid w:val="004F69DB"/>
    <w:rsid w:val="004F6B87"/>
    <w:rsid w:val="00501A20"/>
    <w:rsid w:val="00501C2D"/>
    <w:rsid w:val="00502637"/>
    <w:rsid w:val="00502D00"/>
    <w:rsid w:val="0050362C"/>
    <w:rsid w:val="00504A8B"/>
    <w:rsid w:val="0050689F"/>
    <w:rsid w:val="00511140"/>
    <w:rsid w:val="00513CFE"/>
    <w:rsid w:val="00514394"/>
    <w:rsid w:val="00514796"/>
    <w:rsid w:val="00515A05"/>
    <w:rsid w:val="00523B6A"/>
    <w:rsid w:val="005253C6"/>
    <w:rsid w:val="00525F6C"/>
    <w:rsid w:val="00530B97"/>
    <w:rsid w:val="00531A0D"/>
    <w:rsid w:val="00532085"/>
    <w:rsid w:val="00533C04"/>
    <w:rsid w:val="00534B99"/>
    <w:rsid w:val="005375AE"/>
    <w:rsid w:val="00543D17"/>
    <w:rsid w:val="00546AB4"/>
    <w:rsid w:val="005514E5"/>
    <w:rsid w:val="005543E3"/>
    <w:rsid w:val="00557F1B"/>
    <w:rsid w:val="00563C84"/>
    <w:rsid w:val="00570610"/>
    <w:rsid w:val="00571D15"/>
    <w:rsid w:val="005720DD"/>
    <w:rsid w:val="005762F6"/>
    <w:rsid w:val="00576D02"/>
    <w:rsid w:val="00584FBE"/>
    <w:rsid w:val="00585483"/>
    <w:rsid w:val="005866FF"/>
    <w:rsid w:val="00587378"/>
    <w:rsid w:val="00587C05"/>
    <w:rsid w:val="00590AAB"/>
    <w:rsid w:val="00592337"/>
    <w:rsid w:val="005938C3"/>
    <w:rsid w:val="0059468C"/>
    <w:rsid w:val="00595125"/>
    <w:rsid w:val="00595B1E"/>
    <w:rsid w:val="00596F21"/>
    <w:rsid w:val="005A1BF5"/>
    <w:rsid w:val="005A5317"/>
    <w:rsid w:val="005B1CDD"/>
    <w:rsid w:val="005B1E19"/>
    <w:rsid w:val="005B2FA8"/>
    <w:rsid w:val="005B55FC"/>
    <w:rsid w:val="005C0169"/>
    <w:rsid w:val="005C28C2"/>
    <w:rsid w:val="005C2D5E"/>
    <w:rsid w:val="005C3B81"/>
    <w:rsid w:val="005C650C"/>
    <w:rsid w:val="005D086C"/>
    <w:rsid w:val="005D11D3"/>
    <w:rsid w:val="005D14BF"/>
    <w:rsid w:val="005D1C4F"/>
    <w:rsid w:val="005D4202"/>
    <w:rsid w:val="005D4E1F"/>
    <w:rsid w:val="005D4FB3"/>
    <w:rsid w:val="005E2F07"/>
    <w:rsid w:val="005E2FEA"/>
    <w:rsid w:val="005F042C"/>
    <w:rsid w:val="005F1A82"/>
    <w:rsid w:val="005F314B"/>
    <w:rsid w:val="005F4A5D"/>
    <w:rsid w:val="00604BE4"/>
    <w:rsid w:val="00611AF2"/>
    <w:rsid w:val="0061212B"/>
    <w:rsid w:val="006127AF"/>
    <w:rsid w:val="00612C31"/>
    <w:rsid w:val="00613A98"/>
    <w:rsid w:val="00615FB2"/>
    <w:rsid w:val="00617BD1"/>
    <w:rsid w:val="00617CE8"/>
    <w:rsid w:val="00621A2F"/>
    <w:rsid w:val="006229CF"/>
    <w:rsid w:val="00624529"/>
    <w:rsid w:val="006248BD"/>
    <w:rsid w:val="006278A0"/>
    <w:rsid w:val="0063095F"/>
    <w:rsid w:val="00631CBD"/>
    <w:rsid w:val="0063704F"/>
    <w:rsid w:val="00637F87"/>
    <w:rsid w:val="00642C90"/>
    <w:rsid w:val="00646AC2"/>
    <w:rsid w:val="00650390"/>
    <w:rsid w:val="00650BE5"/>
    <w:rsid w:val="00652F21"/>
    <w:rsid w:val="0065416F"/>
    <w:rsid w:val="00654DAB"/>
    <w:rsid w:val="006566F6"/>
    <w:rsid w:val="006579DF"/>
    <w:rsid w:val="006617D9"/>
    <w:rsid w:val="0066204A"/>
    <w:rsid w:val="0066489D"/>
    <w:rsid w:val="00667715"/>
    <w:rsid w:val="00670E3C"/>
    <w:rsid w:val="00672DBA"/>
    <w:rsid w:val="00677F57"/>
    <w:rsid w:val="00681088"/>
    <w:rsid w:val="0068347E"/>
    <w:rsid w:val="0069577E"/>
    <w:rsid w:val="0069634B"/>
    <w:rsid w:val="00696623"/>
    <w:rsid w:val="006A04E9"/>
    <w:rsid w:val="006A074F"/>
    <w:rsid w:val="006A08CB"/>
    <w:rsid w:val="006A0EB1"/>
    <w:rsid w:val="006A1783"/>
    <w:rsid w:val="006A4099"/>
    <w:rsid w:val="006A4A03"/>
    <w:rsid w:val="006A7543"/>
    <w:rsid w:val="006B12FA"/>
    <w:rsid w:val="006B42F3"/>
    <w:rsid w:val="006B5F1E"/>
    <w:rsid w:val="006B6AED"/>
    <w:rsid w:val="006B725C"/>
    <w:rsid w:val="006C273D"/>
    <w:rsid w:val="006C4689"/>
    <w:rsid w:val="006C5C4F"/>
    <w:rsid w:val="006C6282"/>
    <w:rsid w:val="006C762A"/>
    <w:rsid w:val="006D5FF9"/>
    <w:rsid w:val="006E0772"/>
    <w:rsid w:val="006E0F86"/>
    <w:rsid w:val="006E0FFD"/>
    <w:rsid w:val="006E2A4F"/>
    <w:rsid w:val="006E33E8"/>
    <w:rsid w:val="006E3D93"/>
    <w:rsid w:val="006E4943"/>
    <w:rsid w:val="006F0B15"/>
    <w:rsid w:val="006F0DCC"/>
    <w:rsid w:val="006F1F8A"/>
    <w:rsid w:val="00703DF9"/>
    <w:rsid w:val="007047BD"/>
    <w:rsid w:val="007048EB"/>
    <w:rsid w:val="00704FBB"/>
    <w:rsid w:val="007066F7"/>
    <w:rsid w:val="0070726A"/>
    <w:rsid w:val="0071226B"/>
    <w:rsid w:val="00714A9F"/>
    <w:rsid w:val="00717040"/>
    <w:rsid w:val="0072457F"/>
    <w:rsid w:val="007259D4"/>
    <w:rsid w:val="00731680"/>
    <w:rsid w:val="00741377"/>
    <w:rsid w:val="00743FAB"/>
    <w:rsid w:val="00745D6B"/>
    <w:rsid w:val="00746E64"/>
    <w:rsid w:val="00747364"/>
    <w:rsid w:val="00747794"/>
    <w:rsid w:val="00753E48"/>
    <w:rsid w:val="00754C9E"/>
    <w:rsid w:val="00755ECF"/>
    <w:rsid w:val="007622A7"/>
    <w:rsid w:val="00765FE4"/>
    <w:rsid w:val="00770ACA"/>
    <w:rsid w:val="007750A2"/>
    <w:rsid w:val="007762C1"/>
    <w:rsid w:val="007817D6"/>
    <w:rsid w:val="00781996"/>
    <w:rsid w:val="00781E1C"/>
    <w:rsid w:val="00787912"/>
    <w:rsid w:val="007900DD"/>
    <w:rsid w:val="0079177A"/>
    <w:rsid w:val="00794836"/>
    <w:rsid w:val="007948D5"/>
    <w:rsid w:val="007A02C8"/>
    <w:rsid w:val="007A15C9"/>
    <w:rsid w:val="007A6676"/>
    <w:rsid w:val="007A6F4B"/>
    <w:rsid w:val="007B5D64"/>
    <w:rsid w:val="007B6872"/>
    <w:rsid w:val="007B6ED1"/>
    <w:rsid w:val="007B7FF5"/>
    <w:rsid w:val="007C3AC0"/>
    <w:rsid w:val="007C3FC6"/>
    <w:rsid w:val="007C476D"/>
    <w:rsid w:val="007D1B14"/>
    <w:rsid w:val="007D2CE9"/>
    <w:rsid w:val="007D30F2"/>
    <w:rsid w:val="007D4FED"/>
    <w:rsid w:val="007D54C2"/>
    <w:rsid w:val="007D69DA"/>
    <w:rsid w:val="007D70B1"/>
    <w:rsid w:val="007D7140"/>
    <w:rsid w:val="007E0B33"/>
    <w:rsid w:val="007E1CDB"/>
    <w:rsid w:val="007E408C"/>
    <w:rsid w:val="007E4662"/>
    <w:rsid w:val="007E50BF"/>
    <w:rsid w:val="007E62BC"/>
    <w:rsid w:val="007E7ABC"/>
    <w:rsid w:val="007E7E21"/>
    <w:rsid w:val="007F0460"/>
    <w:rsid w:val="007F0DA2"/>
    <w:rsid w:val="007F39CE"/>
    <w:rsid w:val="007F5E0D"/>
    <w:rsid w:val="007F616A"/>
    <w:rsid w:val="007F671E"/>
    <w:rsid w:val="007F7495"/>
    <w:rsid w:val="007F7A3B"/>
    <w:rsid w:val="0080039F"/>
    <w:rsid w:val="00801085"/>
    <w:rsid w:val="00801A89"/>
    <w:rsid w:val="00804457"/>
    <w:rsid w:val="0080682E"/>
    <w:rsid w:val="00812061"/>
    <w:rsid w:val="00812138"/>
    <w:rsid w:val="008121E7"/>
    <w:rsid w:val="008145C7"/>
    <w:rsid w:val="008151F2"/>
    <w:rsid w:val="00816B7E"/>
    <w:rsid w:val="0081777A"/>
    <w:rsid w:val="008210E0"/>
    <w:rsid w:val="00821256"/>
    <w:rsid w:val="00824079"/>
    <w:rsid w:val="00831F0A"/>
    <w:rsid w:val="00833A78"/>
    <w:rsid w:val="00841C10"/>
    <w:rsid w:val="00841E46"/>
    <w:rsid w:val="00844C79"/>
    <w:rsid w:val="00844F27"/>
    <w:rsid w:val="0084585F"/>
    <w:rsid w:val="00853E53"/>
    <w:rsid w:val="0085535C"/>
    <w:rsid w:val="0085593F"/>
    <w:rsid w:val="00863064"/>
    <w:rsid w:val="00864D76"/>
    <w:rsid w:val="008656C9"/>
    <w:rsid w:val="00865FBE"/>
    <w:rsid w:val="0086711C"/>
    <w:rsid w:val="00867535"/>
    <w:rsid w:val="00875C5B"/>
    <w:rsid w:val="0088041C"/>
    <w:rsid w:val="00883C5F"/>
    <w:rsid w:val="0089102A"/>
    <w:rsid w:val="00891721"/>
    <w:rsid w:val="00891C7D"/>
    <w:rsid w:val="00892FA7"/>
    <w:rsid w:val="00893D4C"/>
    <w:rsid w:val="00893F08"/>
    <w:rsid w:val="008A3301"/>
    <w:rsid w:val="008A4DF1"/>
    <w:rsid w:val="008A5636"/>
    <w:rsid w:val="008A56D0"/>
    <w:rsid w:val="008B125E"/>
    <w:rsid w:val="008B241C"/>
    <w:rsid w:val="008B408B"/>
    <w:rsid w:val="008B4F11"/>
    <w:rsid w:val="008B5167"/>
    <w:rsid w:val="008B6C85"/>
    <w:rsid w:val="008C2362"/>
    <w:rsid w:val="008C3049"/>
    <w:rsid w:val="008C74D9"/>
    <w:rsid w:val="008D2871"/>
    <w:rsid w:val="008D4AE9"/>
    <w:rsid w:val="008D521B"/>
    <w:rsid w:val="008D5CF3"/>
    <w:rsid w:val="008D70EC"/>
    <w:rsid w:val="008D7D39"/>
    <w:rsid w:val="008E00BD"/>
    <w:rsid w:val="008E4574"/>
    <w:rsid w:val="008F3A69"/>
    <w:rsid w:val="008F3AB4"/>
    <w:rsid w:val="008F4016"/>
    <w:rsid w:val="008F42FE"/>
    <w:rsid w:val="008F4A00"/>
    <w:rsid w:val="008F5402"/>
    <w:rsid w:val="008F56CA"/>
    <w:rsid w:val="008F639F"/>
    <w:rsid w:val="0090053A"/>
    <w:rsid w:val="00901C2A"/>
    <w:rsid w:val="00901E8B"/>
    <w:rsid w:val="00902E3F"/>
    <w:rsid w:val="009118C7"/>
    <w:rsid w:val="00912589"/>
    <w:rsid w:val="00913CB9"/>
    <w:rsid w:val="0091628A"/>
    <w:rsid w:val="00917258"/>
    <w:rsid w:val="00920BA1"/>
    <w:rsid w:val="009225B6"/>
    <w:rsid w:val="00925397"/>
    <w:rsid w:val="00925E35"/>
    <w:rsid w:val="00930206"/>
    <w:rsid w:val="00932DB9"/>
    <w:rsid w:val="00933A21"/>
    <w:rsid w:val="00933C85"/>
    <w:rsid w:val="00934C10"/>
    <w:rsid w:val="00935A58"/>
    <w:rsid w:val="0093662A"/>
    <w:rsid w:val="0094060C"/>
    <w:rsid w:val="00942C4B"/>
    <w:rsid w:val="00944196"/>
    <w:rsid w:val="00946175"/>
    <w:rsid w:val="00954D9E"/>
    <w:rsid w:val="009565FE"/>
    <w:rsid w:val="009606A5"/>
    <w:rsid w:val="00961BBF"/>
    <w:rsid w:val="00962F1F"/>
    <w:rsid w:val="00963152"/>
    <w:rsid w:val="00965304"/>
    <w:rsid w:val="0097102B"/>
    <w:rsid w:val="00971293"/>
    <w:rsid w:val="00973A3B"/>
    <w:rsid w:val="00973D00"/>
    <w:rsid w:val="00981853"/>
    <w:rsid w:val="00983EAE"/>
    <w:rsid w:val="00984C72"/>
    <w:rsid w:val="0098760B"/>
    <w:rsid w:val="009962D4"/>
    <w:rsid w:val="00997053"/>
    <w:rsid w:val="009973EB"/>
    <w:rsid w:val="009A11DD"/>
    <w:rsid w:val="009A56C8"/>
    <w:rsid w:val="009B30AA"/>
    <w:rsid w:val="009B3A97"/>
    <w:rsid w:val="009B42A1"/>
    <w:rsid w:val="009B5217"/>
    <w:rsid w:val="009B5EFB"/>
    <w:rsid w:val="009B6BA8"/>
    <w:rsid w:val="009C2B27"/>
    <w:rsid w:val="009C3685"/>
    <w:rsid w:val="009C3D89"/>
    <w:rsid w:val="009C48DE"/>
    <w:rsid w:val="009C67A5"/>
    <w:rsid w:val="009D55D9"/>
    <w:rsid w:val="009D60D9"/>
    <w:rsid w:val="009E1E1E"/>
    <w:rsid w:val="009E33E3"/>
    <w:rsid w:val="009E428E"/>
    <w:rsid w:val="009E63B9"/>
    <w:rsid w:val="009E7F16"/>
    <w:rsid w:val="009F1E65"/>
    <w:rsid w:val="009F27F8"/>
    <w:rsid w:val="009F5052"/>
    <w:rsid w:val="00A02469"/>
    <w:rsid w:val="00A03083"/>
    <w:rsid w:val="00A04C85"/>
    <w:rsid w:val="00A100F0"/>
    <w:rsid w:val="00A156E6"/>
    <w:rsid w:val="00A15AFD"/>
    <w:rsid w:val="00A164B9"/>
    <w:rsid w:val="00A177C5"/>
    <w:rsid w:val="00A204DF"/>
    <w:rsid w:val="00A261CE"/>
    <w:rsid w:val="00A27D86"/>
    <w:rsid w:val="00A30A3D"/>
    <w:rsid w:val="00A3303A"/>
    <w:rsid w:val="00A33151"/>
    <w:rsid w:val="00A36970"/>
    <w:rsid w:val="00A36A87"/>
    <w:rsid w:val="00A40CC9"/>
    <w:rsid w:val="00A41EB4"/>
    <w:rsid w:val="00A44BFF"/>
    <w:rsid w:val="00A45381"/>
    <w:rsid w:val="00A457B5"/>
    <w:rsid w:val="00A501E3"/>
    <w:rsid w:val="00A50F0C"/>
    <w:rsid w:val="00A53C54"/>
    <w:rsid w:val="00A54E8C"/>
    <w:rsid w:val="00A558A7"/>
    <w:rsid w:val="00A56441"/>
    <w:rsid w:val="00A612C6"/>
    <w:rsid w:val="00A6207E"/>
    <w:rsid w:val="00A65608"/>
    <w:rsid w:val="00A70FE3"/>
    <w:rsid w:val="00A722C3"/>
    <w:rsid w:val="00A736DD"/>
    <w:rsid w:val="00A75226"/>
    <w:rsid w:val="00A7546A"/>
    <w:rsid w:val="00A76D17"/>
    <w:rsid w:val="00A76E56"/>
    <w:rsid w:val="00A77B1B"/>
    <w:rsid w:val="00A82869"/>
    <w:rsid w:val="00A85D4F"/>
    <w:rsid w:val="00A8662C"/>
    <w:rsid w:val="00A8723A"/>
    <w:rsid w:val="00A8758C"/>
    <w:rsid w:val="00A93929"/>
    <w:rsid w:val="00A95BDA"/>
    <w:rsid w:val="00A978D9"/>
    <w:rsid w:val="00AA127E"/>
    <w:rsid w:val="00AA19AE"/>
    <w:rsid w:val="00AA3234"/>
    <w:rsid w:val="00AA3CD7"/>
    <w:rsid w:val="00AA423D"/>
    <w:rsid w:val="00AA576F"/>
    <w:rsid w:val="00AA6A95"/>
    <w:rsid w:val="00AB10DE"/>
    <w:rsid w:val="00AB263E"/>
    <w:rsid w:val="00AB358A"/>
    <w:rsid w:val="00AB3668"/>
    <w:rsid w:val="00AB57DE"/>
    <w:rsid w:val="00AB5ED7"/>
    <w:rsid w:val="00AC0B4C"/>
    <w:rsid w:val="00AC280C"/>
    <w:rsid w:val="00AD0AEE"/>
    <w:rsid w:val="00AD1725"/>
    <w:rsid w:val="00AD49E3"/>
    <w:rsid w:val="00AD4B4F"/>
    <w:rsid w:val="00AF0616"/>
    <w:rsid w:val="00AF0E28"/>
    <w:rsid w:val="00AF1328"/>
    <w:rsid w:val="00AF23A4"/>
    <w:rsid w:val="00AF6402"/>
    <w:rsid w:val="00AF6F9B"/>
    <w:rsid w:val="00AF7604"/>
    <w:rsid w:val="00B01409"/>
    <w:rsid w:val="00B02027"/>
    <w:rsid w:val="00B10D37"/>
    <w:rsid w:val="00B10DBD"/>
    <w:rsid w:val="00B15629"/>
    <w:rsid w:val="00B21669"/>
    <w:rsid w:val="00B2372C"/>
    <w:rsid w:val="00B32F70"/>
    <w:rsid w:val="00B33A93"/>
    <w:rsid w:val="00B33F77"/>
    <w:rsid w:val="00B373D0"/>
    <w:rsid w:val="00B40188"/>
    <w:rsid w:val="00B40849"/>
    <w:rsid w:val="00B410A8"/>
    <w:rsid w:val="00B414CB"/>
    <w:rsid w:val="00B43AAA"/>
    <w:rsid w:val="00B509DA"/>
    <w:rsid w:val="00B53139"/>
    <w:rsid w:val="00B537D7"/>
    <w:rsid w:val="00B554E8"/>
    <w:rsid w:val="00B562CE"/>
    <w:rsid w:val="00B56807"/>
    <w:rsid w:val="00B61549"/>
    <w:rsid w:val="00B62DE2"/>
    <w:rsid w:val="00B7087D"/>
    <w:rsid w:val="00B74417"/>
    <w:rsid w:val="00B77246"/>
    <w:rsid w:val="00B824E8"/>
    <w:rsid w:val="00B82961"/>
    <w:rsid w:val="00B866CD"/>
    <w:rsid w:val="00B87BC7"/>
    <w:rsid w:val="00B91BAA"/>
    <w:rsid w:val="00B93034"/>
    <w:rsid w:val="00B93A81"/>
    <w:rsid w:val="00B97C5D"/>
    <w:rsid w:val="00BA1290"/>
    <w:rsid w:val="00BA15EA"/>
    <w:rsid w:val="00BA2F2D"/>
    <w:rsid w:val="00BA4DCA"/>
    <w:rsid w:val="00BA6D26"/>
    <w:rsid w:val="00BB0302"/>
    <w:rsid w:val="00BB2792"/>
    <w:rsid w:val="00BB38DB"/>
    <w:rsid w:val="00BB3903"/>
    <w:rsid w:val="00BB39F3"/>
    <w:rsid w:val="00BB76BF"/>
    <w:rsid w:val="00BB7BFD"/>
    <w:rsid w:val="00BC1AD1"/>
    <w:rsid w:val="00BC1D82"/>
    <w:rsid w:val="00BC4A58"/>
    <w:rsid w:val="00BC613B"/>
    <w:rsid w:val="00BC6597"/>
    <w:rsid w:val="00BC6F89"/>
    <w:rsid w:val="00BD3FEB"/>
    <w:rsid w:val="00BD4955"/>
    <w:rsid w:val="00BD51D9"/>
    <w:rsid w:val="00BD64E2"/>
    <w:rsid w:val="00BD6A88"/>
    <w:rsid w:val="00BD7382"/>
    <w:rsid w:val="00BE0B80"/>
    <w:rsid w:val="00BE4995"/>
    <w:rsid w:val="00BE4D4E"/>
    <w:rsid w:val="00BF29C8"/>
    <w:rsid w:val="00BF429A"/>
    <w:rsid w:val="00BF62BE"/>
    <w:rsid w:val="00C07126"/>
    <w:rsid w:val="00C12A51"/>
    <w:rsid w:val="00C16853"/>
    <w:rsid w:val="00C16CB4"/>
    <w:rsid w:val="00C242D6"/>
    <w:rsid w:val="00C263F0"/>
    <w:rsid w:val="00C2704E"/>
    <w:rsid w:val="00C33D41"/>
    <w:rsid w:val="00C34B1E"/>
    <w:rsid w:val="00C3509D"/>
    <w:rsid w:val="00C356F7"/>
    <w:rsid w:val="00C3639C"/>
    <w:rsid w:val="00C364E6"/>
    <w:rsid w:val="00C36E63"/>
    <w:rsid w:val="00C40AFD"/>
    <w:rsid w:val="00C41E20"/>
    <w:rsid w:val="00C42E3E"/>
    <w:rsid w:val="00C441D0"/>
    <w:rsid w:val="00C51C13"/>
    <w:rsid w:val="00C525A5"/>
    <w:rsid w:val="00C5300F"/>
    <w:rsid w:val="00C54594"/>
    <w:rsid w:val="00C566A5"/>
    <w:rsid w:val="00C567DD"/>
    <w:rsid w:val="00C61C85"/>
    <w:rsid w:val="00C66CE0"/>
    <w:rsid w:val="00C719BF"/>
    <w:rsid w:val="00C71BED"/>
    <w:rsid w:val="00C737B2"/>
    <w:rsid w:val="00C8091E"/>
    <w:rsid w:val="00C81B53"/>
    <w:rsid w:val="00C82AD2"/>
    <w:rsid w:val="00C82ED9"/>
    <w:rsid w:val="00C8331A"/>
    <w:rsid w:val="00C848EE"/>
    <w:rsid w:val="00C87F02"/>
    <w:rsid w:val="00C90FB6"/>
    <w:rsid w:val="00C9220E"/>
    <w:rsid w:val="00C932BD"/>
    <w:rsid w:val="00C93429"/>
    <w:rsid w:val="00CA16C5"/>
    <w:rsid w:val="00CA415A"/>
    <w:rsid w:val="00CA7A35"/>
    <w:rsid w:val="00CB1536"/>
    <w:rsid w:val="00CB609E"/>
    <w:rsid w:val="00CB7FB8"/>
    <w:rsid w:val="00CC0E65"/>
    <w:rsid w:val="00CC1991"/>
    <w:rsid w:val="00CC1F71"/>
    <w:rsid w:val="00CC3CC8"/>
    <w:rsid w:val="00CC5588"/>
    <w:rsid w:val="00CC5EB3"/>
    <w:rsid w:val="00CC6FF1"/>
    <w:rsid w:val="00CD0E7B"/>
    <w:rsid w:val="00CD2ABD"/>
    <w:rsid w:val="00CD4024"/>
    <w:rsid w:val="00CD41F8"/>
    <w:rsid w:val="00CD44E5"/>
    <w:rsid w:val="00CD4617"/>
    <w:rsid w:val="00CD4855"/>
    <w:rsid w:val="00CE0485"/>
    <w:rsid w:val="00CE1BE2"/>
    <w:rsid w:val="00CE6D43"/>
    <w:rsid w:val="00CE7888"/>
    <w:rsid w:val="00CF19D3"/>
    <w:rsid w:val="00CF48A6"/>
    <w:rsid w:val="00D10E1C"/>
    <w:rsid w:val="00D14EAE"/>
    <w:rsid w:val="00D161A3"/>
    <w:rsid w:val="00D22E49"/>
    <w:rsid w:val="00D23716"/>
    <w:rsid w:val="00D25ED8"/>
    <w:rsid w:val="00D26564"/>
    <w:rsid w:val="00D27F8F"/>
    <w:rsid w:val="00D316B8"/>
    <w:rsid w:val="00D31CFC"/>
    <w:rsid w:val="00D3255D"/>
    <w:rsid w:val="00D340C3"/>
    <w:rsid w:val="00D407D5"/>
    <w:rsid w:val="00D409CD"/>
    <w:rsid w:val="00D423D4"/>
    <w:rsid w:val="00D42CAF"/>
    <w:rsid w:val="00D46EDD"/>
    <w:rsid w:val="00D5310F"/>
    <w:rsid w:val="00D601EF"/>
    <w:rsid w:val="00D61533"/>
    <w:rsid w:val="00D6190D"/>
    <w:rsid w:val="00D63B2F"/>
    <w:rsid w:val="00D64CF3"/>
    <w:rsid w:val="00D70747"/>
    <w:rsid w:val="00D7261D"/>
    <w:rsid w:val="00D755FC"/>
    <w:rsid w:val="00D76B6D"/>
    <w:rsid w:val="00D84558"/>
    <w:rsid w:val="00D84D07"/>
    <w:rsid w:val="00D8526A"/>
    <w:rsid w:val="00D90E91"/>
    <w:rsid w:val="00D94E35"/>
    <w:rsid w:val="00DA6F25"/>
    <w:rsid w:val="00DB044B"/>
    <w:rsid w:val="00DB05C3"/>
    <w:rsid w:val="00DB122B"/>
    <w:rsid w:val="00DB60E1"/>
    <w:rsid w:val="00DB79F3"/>
    <w:rsid w:val="00DC0355"/>
    <w:rsid w:val="00DC1347"/>
    <w:rsid w:val="00DC39F1"/>
    <w:rsid w:val="00DC59BC"/>
    <w:rsid w:val="00DD4E23"/>
    <w:rsid w:val="00DD5640"/>
    <w:rsid w:val="00DD7095"/>
    <w:rsid w:val="00DE4B35"/>
    <w:rsid w:val="00DE50BA"/>
    <w:rsid w:val="00DE5A8C"/>
    <w:rsid w:val="00DE6B86"/>
    <w:rsid w:val="00DE7350"/>
    <w:rsid w:val="00DF182F"/>
    <w:rsid w:val="00DF19C1"/>
    <w:rsid w:val="00DF54CA"/>
    <w:rsid w:val="00DF56C9"/>
    <w:rsid w:val="00DF5B64"/>
    <w:rsid w:val="00DF6332"/>
    <w:rsid w:val="00E0244A"/>
    <w:rsid w:val="00E02794"/>
    <w:rsid w:val="00E043E3"/>
    <w:rsid w:val="00E0505B"/>
    <w:rsid w:val="00E063EB"/>
    <w:rsid w:val="00E07977"/>
    <w:rsid w:val="00E10FEA"/>
    <w:rsid w:val="00E11280"/>
    <w:rsid w:val="00E12359"/>
    <w:rsid w:val="00E152FF"/>
    <w:rsid w:val="00E2461B"/>
    <w:rsid w:val="00E24886"/>
    <w:rsid w:val="00E26E00"/>
    <w:rsid w:val="00E276FB"/>
    <w:rsid w:val="00E30425"/>
    <w:rsid w:val="00E32595"/>
    <w:rsid w:val="00E32DC6"/>
    <w:rsid w:val="00E334D3"/>
    <w:rsid w:val="00E33A74"/>
    <w:rsid w:val="00E4030B"/>
    <w:rsid w:val="00E4101C"/>
    <w:rsid w:val="00E41D56"/>
    <w:rsid w:val="00E457DF"/>
    <w:rsid w:val="00E46642"/>
    <w:rsid w:val="00E466A0"/>
    <w:rsid w:val="00E50BE4"/>
    <w:rsid w:val="00E5139A"/>
    <w:rsid w:val="00E51ECB"/>
    <w:rsid w:val="00E523B9"/>
    <w:rsid w:val="00E5413D"/>
    <w:rsid w:val="00E57977"/>
    <w:rsid w:val="00E635D7"/>
    <w:rsid w:val="00E63BFA"/>
    <w:rsid w:val="00E64E71"/>
    <w:rsid w:val="00E70048"/>
    <w:rsid w:val="00E70576"/>
    <w:rsid w:val="00E71DED"/>
    <w:rsid w:val="00E73699"/>
    <w:rsid w:val="00E831E5"/>
    <w:rsid w:val="00E83492"/>
    <w:rsid w:val="00E83954"/>
    <w:rsid w:val="00E855B5"/>
    <w:rsid w:val="00E86506"/>
    <w:rsid w:val="00E87296"/>
    <w:rsid w:val="00E91397"/>
    <w:rsid w:val="00E91730"/>
    <w:rsid w:val="00E921C6"/>
    <w:rsid w:val="00E932CD"/>
    <w:rsid w:val="00E9401D"/>
    <w:rsid w:val="00E94284"/>
    <w:rsid w:val="00E947F0"/>
    <w:rsid w:val="00E94D41"/>
    <w:rsid w:val="00E96F04"/>
    <w:rsid w:val="00E97914"/>
    <w:rsid w:val="00E97AEC"/>
    <w:rsid w:val="00EA20FE"/>
    <w:rsid w:val="00EA2876"/>
    <w:rsid w:val="00EB21A6"/>
    <w:rsid w:val="00EB491E"/>
    <w:rsid w:val="00EB681B"/>
    <w:rsid w:val="00EC033E"/>
    <w:rsid w:val="00EC14B8"/>
    <w:rsid w:val="00EC18B7"/>
    <w:rsid w:val="00EC4FAD"/>
    <w:rsid w:val="00EC7EF4"/>
    <w:rsid w:val="00EE3CFA"/>
    <w:rsid w:val="00EE69E4"/>
    <w:rsid w:val="00EF2A7F"/>
    <w:rsid w:val="00EF4232"/>
    <w:rsid w:val="00EF7E90"/>
    <w:rsid w:val="00F002B6"/>
    <w:rsid w:val="00F02119"/>
    <w:rsid w:val="00F10AFE"/>
    <w:rsid w:val="00F15C6C"/>
    <w:rsid w:val="00F17173"/>
    <w:rsid w:val="00F20987"/>
    <w:rsid w:val="00F22339"/>
    <w:rsid w:val="00F224DC"/>
    <w:rsid w:val="00F23F31"/>
    <w:rsid w:val="00F2687F"/>
    <w:rsid w:val="00F26A5E"/>
    <w:rsid w:val="00F26CDB"/>
    <w:rsid w:val="00F27F29"/>
    <w:rsid w:val="00F32D54"/>
    <w:rsid w:val="00F355F7"/>
    <w:rsid w:val="00F3667B"/>
    <w:rsid w:val="00F366E4"/>
    <w:rsid w:val="00F36C54"/>
    <w:rsid w:val="00F418EA"/>
    <w:rsid w:val="00F41A29"/>
    <w:rsid w:val="00F42C7E"/>
    <w:rsid w:val="00F44C1C"/>
    <w:rsid w:val="00F44C4C"/>
    <w:rsid w:val="00F518DF"/>
    <w:rsid w:val="00F521F8"/>
    <w:rsid w:val="00F544DB"/>
    <w:rsid w:val="00F648EA"/>
    <w:rsid w:val="00F6502E"/>
    <w:rsid w:val="00F65663"/>
    <w:rsid w:val="00F658E9"/>
    <w:rsid w:val="00F74DE5"/>
    <w:rsid w:val="00F75147"/>
    <w:rsid w:val="00F756C0"/>
    <w:rsid w:val="00F75A40"/>
    <w:rsid w:val="00F77637"/>
    <w:rsid w:val="00F77CEB"/>
    <w:rsid w:val="00F814C0"/>
    <w:rsid w:val="00F8435D"/>
    <w:rsid w:val="00F862E5"/>
    <w:rsid w:val="00F87DD0"/>
    <w:rsid w:val="00F9139C"/>
    <w:rsid w:val="00F93360"/>
    <w:rsid w:val="00F93FE4"/>
    <w:rsid w:val="00F97DBD"/>
    <w:rsid w:val="00F97E4E"/>
    <w:rsid w:val="00FA1A40"/>
    <w:rsid w:val="00FA217B"/>
    <w:rsid w:val="00FA41A0"/>
    <w:rsid w:val="00FA70DC"/>
    <w:rsid w:val="00FB0BC5"/>
    <w:rsid w:val="00FB0BCC"/>
    <w:rsid w:val="00FB0CDA"/>
    <w:rsid w:val="00FB1CF7"/>
    <w:rsid w:val="00FB2335"/>
    <w:rsid w:val="00FB3EA7"/>
    <w:rsid w:val="00FB510B"/>
    <w:rsid w:val="00FB5158"/>
    <w:rsid w:val="00FC04BB"/>
    <w:rsid w:val="00FC0FE5"/>
    <w:rsid w:val="00FD1ABC"/>
    <w:rsid w:val="00FD7DDF"/>
    <w:rsid w:val="00FE403F"/>
    <w:rsid w:val="00FE4C92"/>
    <w:rsid w:val="00FE7898"/>
    <w:rsid w:val="00FF0571"/>
    <w:rsid w:val="00FF0FAA"/>
    <w:rsid w:val="00FF3759"/>
    <w:rsid w:val="00FF4396"/>
    <w:rsid w:val="03385EDC"/>
    <w:rsid w:val="1F4E351C"/>
    <w:rsid w:val="21119CFB"/>
    <w:rsid w:val="2429470A"/>
    <w:rsid w:val="39D18F54"/>
    <w:rsid w:val="53330C0B"/>
    <w:rsid w:val="770C2F97"/>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B3BE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ro-RO"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21C6"/>
    <w:pPr>
      <w:spacing w:line="288" w:lineRule="auto"/>
      <w:jc w:val="both"/>
    </w:pPr>
    <w:rPr>
      <w:lang w:eastAsia="en-US" w:bidi="ar-SA"/>
    </w:rPr>
  </w:style>
  <w:style w:type="paragraph" w:styleId="Heading1">
    <w:name w:val="heading 1"/>
    <w:basedOn w:val="Normal"/>
    <w:next w:val="Normal"/>
    <w:link w:val="Heading1Char"/>
    <w:qFormat/>
    <w:rsid w:val="00E921C6"/>
    <w:pPr>
      <w:numPr>
        <w:numId w:val="1"/>
      </w:numPr>
      <w:ind w:left="567" w:hanging="567"/>
      <w:outlineLvl w:val="0"/>
    </w:pPr>
    <w:rPr>
      <w:kern w:val="28"/>
    </w:rPr>
  </w:style>
  <w:style w:type="paragraph" w:styleId="Heading2">
    <w:name w:val="heading 2"/>
    <w:basedOn w:val="Normal"/>
    <w:next w:val="Normal"/>
    <w:link w:val="Heading2Char"/>
    <w:qFormat/>
    <w:rsid w:val="00E921C6"/>
    <w:pPr>
      <w:numPr>
        <w:ilvl w:val="1"/>
        <w:numId w:val="1"/>
      </w:numPr>
      <w:ind w:left="567" w:hanging="567"/>
      <w:outlineLvl w:val="1"/>
    </w:pPr>
  </w:style>
  <w:style w:type="paragraph" w:styleId="Heading3">
    <w:name w:val="heading 3"/>
    <w:basedOn w:val="Normal"/>
    <w:next w:val="Normal"/>
    <w:link w:val="Heading3Char"/>
    <w:qFormat/>
    <w:rsid w:val="00E921C6"/>
    <w:pPr>
      <w:numPr>
        <w:ilvl w:val="2"/>
        <w:numId w:val="1"/>
      </w:numPr>
      <w:ind w:left="567" w:hanging="567"/>
      <w:outlineLvl w:val="2"/>
    </w:pPr>
  </w:style>
  <w:style w:type="paragraph" w:styleId="Heading4">
    <w:name w:val="heading 4"/>
    <w:basedOn w:val="Normal"/>
    <w:next w:val="Normal"/>
    <w:link w:val="Heading4Char"/>
    <w:qFormat/>
    <w:rsid w:val="00E921C6"/>
    <w:pPr>
      <w:numPr>
        <w:ilvl w:val="3"/>
        <w:numId w:val="1"/>
      </w:numPr>
      <w:ind w:left="567" w:hanging="567"/>
      <w:outlineLvl w:val="3"/>
    </w:pPr>
  </w:style>
  <w:style w:type="paragraph" w:styleId="Heading5">
    <w:name w:val="heading 5"/>
    <w:basedOn w:val="Normal"/>
    <w:next w:val="Normal"/>
    <w:link w:val="Heading5Char"/>
    <w:qFormat/>
    <w:rsid w:val="00E921C6"/>
    <w:pPr>
      <w:numPr>
        <w:ilvl w:val="4"/>
        <w:numId w:val="1"/>
      </w:numPr>
      <w:ind w:left="567" w:hanging="567"/>
      <w:outlineLvl w:val="4"/>
    </w:pPr>
  </w:style>
  <w:style w:type="paragraph" w:styleId="Heading6">
    <w:name w:val="heading 6"/>
    <w:basedOn w:val="Normal"/>
    <w:next w:val="Normal"/>
    <w:link w:val="Heading6Char"/>
    <w:qFormat/>
    <w:rsid w:val="00E921C6"/>
    <w:pPr>
      <w:numPr>
        <w:ilvl w:val="5"/>
        <w:numId w:val="1"/>
      </w:numPr>
      <w:ind w:left="567" w:hanging="567"/>
      <w:outlineLvl w:val="5"/>
    </w:pPr>
  </w:style>
  <w:style w:type="paragraph" w:styleId="Heading7">
    <w:name w:val="heading 7"/>
    <w:basedOn w:val="Normal"/>
    <w:next w:val="Normal"/>
    <w:link w:val="Heading7Char"/>
    <w:qFormat/>
    <w:rsid w:val="00E921C6"/>
    <w:pPr>
      <w:numPr>
        <w:ilvl w:val="6"/>
        <w:numId w:val="1"/>
      </w:numPr>
      <w:ind w:left="567" w:hanging="567"/>
      <w:outlineLvl w:val="6"/>
    </w:pPr>
  </w:style>
  <w:style w:type="paragraph" w:styleId="Heading8">
    <w:name w:val="heading 8"/>
    <w:basedOn w:val="Normal"/>
    <w:next w:val="Normal"/>
    <w:link w:val="Heading8Char"/>
    <w:qFormat/>
    <w:rsid w:val="00E921C6"/>
    <w:pPr>
      <w:numPr>
        <w:ilvl w:val="7"/>
        <w:numId w:val="1"/>
      </w:numPr>
      <w:ind w:left="567" w:hanging="567"/>
      <w:outlineLvl w:val="7"/>
    </w:pPr>
  </w:style>
  <w:style w:type="paragraph" w:styleId="Heading9">
    <w:name w:val="heading 9"/>
    <w:basedOn w:val="Normal"/>
    <w:next w:val="Normal"/>
    <w:link w:val="Heading9Char"/>
    <w:qFormat/>
    <w:rsid w:val="00E921C6"/>
    <w:pPr>
      <w:numPr>
        <w:ilvl w:val="8"/>
        <w:numId w:val="1"/>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ro-RO" w:eastAsia="en-US" w:bidi="ar-SA"/>
    </w:rPr>
  </w:style>
  <w:style w:type="character" w:customStyle="1" w:styleId="Heading2Char">
    <w:name w:val="Heading 2 Char"/>
    <w:basedOn w:val="DefaultParagraphFont"/>
    <w:link w:val="Heading2"/>
    <w:locked/>
    <w:rsid w:val="00367157"/>
    <w:rPr>
      <w:lang w:val="ro-RO" w:eastAsia="en-US" w:bidi="ar-SA"/>
    </w:rPr>
  </w:style>
  <w:style w:type="character" w:customStyle="1" w:styleId="Heading3Char">
    <w:name w:val="Heading 3 Char"/>
    <w:basedOn w:val="DefaultParagraphFont"/>
    <w:link w:val="Heading3"/>
    <w:rsid w:val="00367157"/>
    <w:rPr>
      <w:lang w:val="ro-RO" w:eastAsia="en-US" w:bidi="ar-SA"/>
    </w:rPr>
  </w:style>
  <w:style w:type="character" w:customStyle="1" w:styleId="Heading4Char">
    <w:name w:val="Heading 4 Char"/>
    <w:basedOn w:val="DefaultParagraphFont"/>
    <w:link w:val="Heading4"/>
    <w:locked/>
    <w:rsid w:val="00CB1536"/>
    <w:rPr>
      <w:lang w:val="ro-RO" w:eastAsia="en-US" w:bidi="ar-SA"/>
    </w:rPr>
  </w:style>
  <w:style w:type="character" w:customStyle="1" w:styleId="Heading5Char">
    <w:name w:val="Heading 5 Char"/>
    <w:basedOn w:val="DefaultParagraphFont"/>
    <w:link w:val="Heading5"/>
    <w:locked/>
    <w:rsid w:val="00CB1536"/>
    <w:rPr>
      <w:lang w:val="ro-RO" w:eastAsia="en-US" w:bidi="ar-SA"/>
    </w:rPr>
  </w:style>
  <w:style w:type="character" w:customStyle="1" w:styleId="Heading6Char">
    <w:name w:val="Heading 6 Char"/>
    <w:basedOn w:val="DefaultParagraphFont"/>
    <w:link w:val="Heading6"/>
    <w:locked/>
    <w:rsid w:val="00CB1536"/>
    <w:rPr>
      <w:lang w:val="ro-RO" w:eastAsia="en-US" w:bidi="ar-SA"/>
    </w:rPr>
  </w:style>
  <w:style w:type="character" w:customStyle="1" w:styleId="Heading7Char">
    <w:name w:val="Heading 7 Char"/>
    <w:basedOn w:val="DefaultParagraphFont"/>
    <w:link w:val="Heading7"/>
    <w:locked/>
    <w:rsid w:val="00CB1536"/>
    <w:rPr>
      <w:lang w:val="ro-RO" w:eastAsia="en-US" w:bidi="ar-SA"/>
    </w:rPr>
  </w:style>
  <w:style w:type="character" w:customStyle="1" w:styleId="Heading8Char">
    <w:name w:val="Heading 8 Char"/>
    <w:basedOn w:val="DefaultParagraphFont"/>
    <w:link w:val="Heading8"/>
    <w:locked/>
    <w:rsid w:val="00CB1536"/>
    <w:rPr>
      <w:lang w:val="ro-RO" w:eastAsia="en-US" w:bidi="ar-SA"/>
    </w:rPr>
  </w:style>
  <w:style w:type="character" w:customStyle="1" w:styleId="Heading9Char">
    <w:name w:val="Heading 9 Char"/>
    <w:basedOn w:val="DefaultParagraphFont"/>
    <w:link w:val="Heading9"/>
    <w:locked/>
    <w:rsid w:val="00CB1536"/>
    <w:rPr>
      <w:lang w:val="ro-RO" w:eastAsia="en-US" w:bidi="ar-SA"/>
    </w:rPr>
  </w:style>
  <w:style w:type="paragraph" w:styleId="Footer">
    <w:name w:val="footer"/>
    <w:basedOn w:val="Normal"/>
    <w:link w:val="FooterChar"/>
    <w:qFormat/>
    <w:rsid w:val="00E921C6"/>
  </w:style>
  <w:style w:type="character" w:customStyle="1" w:styleId="FooterChar">
    <w:name w:val="Footer Char"/>
    <w:basedOn w:val="DefaultParagraphFont"/>
    <w:link w:val="Footer"/>
    <w:locked/>
    <w:rsid w:val="00CB1536"/>
    <w:rPr>
      <w:lang w:val="ro-RO" w:eastAsia="en-US" w:bidi="ar-SA"/>
    </w:rPr>
  </w:style>
  <w:style w:type="paragraph" w:styleId="FootnoteText">
    <w:name w:val="footnote text"/>
    <w:basedOn w:val="Normal"/>
    <w:link w:val="FootnoteTextChar"/>
    <w:qFormat/>
    <w:rsid w:val="00E921C6"/>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ro-RO" w:eastAsia="en-US" w:bidi="ar-SA"/>
    </w:rPr>
  </w:style>
  <w:style w:type="paragraph" w:styleId="Header">
    <w:name w:val="header"/>
    <w:basedOn w:val="Normal"/>
    <w:link w:val="HeaderChar"/>
    <w:qFormat/>
    <w:rsid w:val="00E921C6"/>
  </w:style>
  <w:style w:type="character" w:customStyle="1" w:styleId="HeaderChar">
    <w:name w:val="Header Char"/>
    <w:basedOn w:val="DefaultParagraphFont"/>
    <w:link w:val="Header"/>
    <w:locked/>
    <w:rsid w:val="00CB1536"/>
    <w:rPr>
      <w:lang w:val="ro-RO"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E921C6"/>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E921C6"/>
    <w:pPr>
      <w:ind w:left="720"/>
    </w:pPr>
    <w:rPr>
      <w:i/>
    </w:rPr>
  </w:style>
  <w:style w:type="paragraph" w:styleId="EndnoteText">
    <w:name w:val="endnote text"/>
    <w:basedOn w:val="Normal"/>
    <w:link w:val="EndnoteTextChar"/>
    <w:uiPriority w:val="99"/>
    <w:semiHidden/>
    <w:unhideWhenUsed/>
    <w:rsid w:val="000C2DD3"/>
    <w:pPr>
      <w:spacing w:line="240" w:lineRule="auto"/>
    </w:pPr>
    <w:rPr>
      <w:sz w:val="20"/>
      <w:szCs w:val="20"/>
    </w:rPr>
  </w:style>
  <w:style w:type="character" w:customStyle="1" w:styleId="EndnoteTextChar">
    <w:name w:val="Endnote Text Char"/>
    <w:basedOn w:val="DefaultParagraphFont"/>
    <w:link w:val="EndnoteText"/>
    <w:uiPriority w:val="99"/>
    <w:semiHidden/>
    <w:rsid w:val="000C2DD3"/>
    <w:rPr>
      <w:sz w:val="20"/>
      <w:szCs w:val="20"/>
      <w:lang w:eastAsia="en-US" w:bidi="ar-SA"/>
    </w:rPr>
  </w:style>
  <w:style w:type="character" w:styleId="EndnoteReference">
    <w:name w:val="endnote reference"/>
    <w:basedOn w:val="DefaultParagraphFont"/>
    <w:uiPriority w:val="99"/>
    <w:semiHidden/>
    <w:unhideWhenUsed/>
    <w:rsid w:val="000C2DD3"/>
    <w:rPr>
      <w:vertAlign w:val="superscript"/>
    </w:rPr>
  </w:style>
  <w:style w:type="table" w:styleId="TableGrid">
    <w:name w:val="Table Grid"/>
    <w:basedOn w:val="TableNormal"/>
    <w:locked/>
    <w:rsid w:val="008630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618063">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1333803484">
      <w:bodyDiv w:val="1"/>
      <w:marLeft w:val="0"/>
      <w:marRight w:val="0"/>
      <w:marTop w:val="0"/>
      <w:marBottom w:val="0"/>
      <w:divBdr>
        <w:top w:val="none" w:sz="0" w:space="0" w:color="auto"/>
        <w:left w:val="none" w:sz="0" w:space="0" w:color="auto"/>
        <w:bottom w:val="none" w:sz="0" w:space="0" w:color="auto"/>
        <w:right w:val="none" w:sz="0" w:space="0" w:color="auto"/>
      </w:divBdr>
    </w:div>
    <w:div w:id="1523203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mailto:Katarina.Albrechtova@eesc.europa.eu"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notes.xml.rels><?xml version="1.0" encoding="UTF-8" standalone="yes"?>
<Relationships xmlns="http://schemas.openxmlformats.org/package/2006/relationships"><Relationship Id="rId8" Type="http://schemas.openxmlformats.org/officeDocument/2006/relationships/hyperlink" Target="https://www.pravda.com.ua/news/2025/05/21/7513302/" TargetMode="External"/><Relationship Id="rId3" Type="http://schemas.openxmlformats.org/officeDocument/2006/relationships/hyperlink" Target="https://eur-lex.europa.eu/legal-content/RO/TXT/?uri=CELEX%3A52025DC0649&amp;qid=1750843977659" TargetMode="External"/><Relationship Id="rId7" Type="http://schemas.openxmlformats.org/officeDocument/2006/relationships/hyperlink" Target="https://www.transparency.org/en/cpi/2024/" TargetMode="External"/><Relationship Id="rId2" Type="http://schemas.openxmlformats.org/officeDocument/2006/relationships/hyperlink" Target="https://eur-lex.europa.eu/legal-content/RO/TXT/?uri=CELEX%3A52025DC0649&amp;qid=1750843977659" TargetMode="External"/><Relationship Id="rId1" Type="http://schemas.openxmlformats.org/officeDocument/2006/relationships/hyperlink" Target="https://ec.europa.eu/eurostat/statistics-explained/index.php?title=Temporary_protection_for_persons_fleeing_Ukraine_-_monthly_statistics." TargetMode="External"/><Relationship Id="rId6" Type="http://schemas.openxmlformats.org/officeDocument/2006/relationships/hyperlink" Target="https://doi.org/10.1787/7dbe965b-en" TargetMode="External"/><Relationship Id="rId5" Type="http://schemas.openxmlformats.org/officeDocument/2006/relationships/hyperlink" Target="https://kiis.com.ua/?lang=ukr&amp;cat=reports&amp;id=1512&amp;page=1" TargetMode="External"/><Relationship Id="rId4" Type="http://schemas.openxmlformats.org/officeDocument/2006/relationships/hyperlink" Target="https://www.eurofound.europa.eu/ro/publications/all/support-ukraine-still-high-among-eu-citizens-some-fall-apparent-among" TargetMode="External"/><Relationship Id="rId9" Type="http://schemas.openxmlformats.org/officeDocument/2006/relationships/hyperlink" Target="https://home-affairs.ec.europa.eu/whats-new/publications/navigating-health-and-well-being-challenges-refugees-ukraine_en%20;%20https:/www.eurofound.europa.eu/sites/default/files/2024-03/wpef2403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A6WAAD5KZT2Q-235352946-8438</_dlc_DocId>
    <_dlc_DocIdUrl xmlns="1a33af13-4045-4f88-9d7b-618e30f79918">
      <Url>http://dm/eesc/2025/_layouts/15/DocIdRedir.aspx?ID=A6WAAD5KZT2Q-235352946-8438</Url>
      <Description>A6WAAD5KZT2Q-235352946-8438</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2025-11-14T12:00:00+00:00</ProductionDate>
    <DocumentNumber xmlns="a3e83899-37aa-47c6-ba54-4ea80e9c17cf">2613</DocumentNumber>
    <FicheYear xmlns="1a33af13-4045-4f88-9d7b-618e30f79918" xsi:nil="true"/>
    <DossierNumber xmlns="1a33af13-4045-4f88-9d7b-618e30f79918">608</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2</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RO</TermName>
          <TermId xmlns="http://schemas.microsoft.com/office/infopath/2007/PartnerControls">feb747a2-64cd-4299-af12-4833ddc30497</TermId>
        </TermInfo>
      </Terms>
    </DocumentLanguage_0>
    <Rapporteur xmlns="1a33af13-4045-4f88-9d7b-618e30f79918">SZYMAŃSKI &amp; BALON</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296495</FicheNumber>
    <OriginalSender xmlns="1a33af13-4045-4f88-9d7b-618e30f79918">
      <UserInfo>
        <DisplayName>Soldan Aureliana Cristiana</DisplayName>
        <AccountId>1535</AccountId>
        <AccountType/>
      </UserInfo>
    </OriginalSender>
    <DocumentPart xmlns="1a33af13-4045-4f88-9d7b-618e30f79918">0</DocumentPart>
    <AdoptionDate xmlns="1a33af13-4045-4f88-9d7b-618e30f79918" xsi:nil="true"/>
    <RequestingService xmlns="1a33af13-4045-4f88-9d7b-618e30f79918">Relations extérieures</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REX</TermName>
          <TermId xmlns="http://schemas.microsoft.com/office/infopath/2007/PartnerControls">6820eaf5-116e-436b-ad9c-156f8a94c2a1</TermId>
        </TermInfo>
      </Terms>
    </DossierName_0>
    <DocumentVersion xmlns="1a33af13-4045-4f88-9d7b-618e30f79918">1</DocumentVersion>
  </documentManagement>
</p:properties>
</file>

<file path=customXml/item4.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C1BB1A-851A-49D3-B0DB-688B62D6BFF6}">
  <ds:schemaRefs>
    <ds:schemaRef ds:uri="http://schemas.microsoft.com/sharepoint/events"/>
  </ds:schemaRefs>
</ds:datastoreItem>
</file>

<file path=customXml/itemProps2.xml><?xml version="1.0" encoding="utf-8"?>
<ds:datastoreItem xmlns:ds="http://schemas.openxmlformats.org/officeDocument/2006/customXml" ds:itemID="{45BC4D9D-62D8-4813-B7AB-614D4BC89E48}">
  <ds:schemaRefs>
    <ds:schemaRef ds:uri="http://schemas.microsoft.com/sharepoint/v3/contenttype/forms"/>
  </ds:schemaRefs>
</ds:datastoreItem>
</file>

<file path=customXml/itemProps3.xml><?xml version="1.0" encoding="utf-8"?>
<ds:datastoreItem xmlns:ds="http://schemas.openxmlformats.org/officeDocument/2006/customXml" ds:itemID="{7E0B65CC-C162-4425-A5F9-9B4AF04D26C4}">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4.xml><?xml version="1.0" encoding="utf-8"?>
<ds:datastoreItem xmlns:ds="http://schemas.openxmlformats.org/officeDocument/2006/customXml" ds:itemID="{11ABF83A-B856-426C-B754-84C0C551C6DE}"/>
</file>

<file path=docProps/app.xml><?xml version="1.0" encoding="utf-8"?>
<Properties xmlns="http://schemas.openxmlformats.org/officeDocument/2006/extended-properties" xmlns:vt="http://schemas.openxmlformats.org/officeDocument/2006/docPropsVTypes">
  <Template>Normal</Template>
  <TotalTime>0</TotalTime>
  <Pages>10</Pages>
  <Words>3716</Words>
  <Characters>21780</Characters>
  <Application>Microsoft Office Word</Application>
  <DocSecurity>0</DocSecurity>
  <Lines>181</Lines>
  <Paragraphs>50</Paragraphs>
  <ScaleCrop>false</ScaleCrop>
  <HeadingPairs>
    <vt:vector size="2" baseType="variant">
      <vt:variant>
        <vt:lpstr>Title</vt:lpstr>
      </vt:variant>
      <vt:variant>
        <vt:i4>1</vt:i4>
      </vt:variant>
    </vt:vector>
  </HeadingPairs>
  <TitlesOfParts>
    <vt:vector size="1" baseType="lpstr">
      <vt:lpstr>A predictable and common European way forward for Ukrainians in the EU</vt:lpstr>
    </vt:vector>
  </TitlesOfParts>
  <Manager/>
  <Company/>
  <LinksUpToDate>false</LinksUpToDate>
  <CharactersWithSpaces>25446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cale de urmat europeană previzibilă și comună pentru ucraineni în UE</dc:title>
  <dc:subject>Section opinion</dc:subject>
  <dc:creator/>
  <cp:keywords>EESC-2025-02613-00-00-AS-TRA-EN</cp:keywords>
  <dc:description>Rapporteur: - SZYMAŃSKI &amp; BALON Original language: - EN Date of document: - 12/11/2025 Date of meeting: - 03/12/2025 External documents: - COM(2025)649- final Administrator responsible: - MME ALBRECHTOVA Katarina</dc:description>
  <cp:lastModifiedBy/>
  <cp:revision>5</cp:revision>
  <cp:lastPrinted>2025-08-09T11:16:00Z</cp:lastPrinted>
  <dcterms:created xsi:type="dcterms:W3CDTF">2025-11-14T14:49:00Z</dcterms:created>
  <dcterms:modified xsi:type="dcterms:W3CDTF">2025-11-14T14:55:00Z</dcterms:modified>
  <cp:category>REX/608</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14/11/2025, 12/11/2025, 30/10/2025, 28/10/2025, 15/10/2025, 19/08/2025, 12/04/2024, 17/05/2022, 04/11/2015, 27/10/2015, 19/10/2015, 09/10/2015, 05/10/2015, 05/10/2015, 26/08/2015, 26/08/2015, 25/08/2015</vt:lpwstr>
  </property>
  <property fmtid="{D5CDD505-2E9C-101B-9397-08002B2CF9AE}" pid="4" name="Pref_Time">
    <vt:lpwstr>08:57:08, 16:38:55, 16:50:58, 16:32:26, 11:39:44, 16:19:10, 12:08:09, 12:59:17, 12:10:07, 14:44:02, 16:04:16, 14:09:30, 16:24:55, 16:04:02, 08:56:14, 07:27:56, 17:31:53</vt:lpwstr>
  </property>
  <property fmtid="{D5CDD505-2E9C-101B-9397-08002B2CF9AE}" pid="5" name="Pref_User">
    <vt:lpwstr>pacup, amett, amett, pacup, amett, amett, enied, enied, ssex, enied, amett, tvoc, mreg, mreg, amett, enied, ssex</vt:lpwstr>
  </property>
  <property fmtid="{D5CDD505-2E9C-101B-9397-08002B2CF9AE}" pid="6" name="Pref_FileName">
    <vt:lpwstr>EESC-2025-02613-00-01-AS-ORI.docx, EESC-2025-02613-00-00-AS-TRA-EN-CRR.docx, EESC-2025-02613-00-01-PA-TRA-EN-CRR.docx, EESC-2025-02613-00-00-PA-TRA-EN-CRR.docx, EESC-2025-02613-00-00-APA-ORI.docx, EESC-2025-02613-00-00-DT-ORI.docx, COR-EESC-2024-01326-00-</vt:lpwstr>
  </property>
  <property fmtid="{D5CDD505-2E9C-101B-9397-08002B2CF9AE}" pid="7" name="ContentTypeId">
    <vt:lpwstr>0x010100EA97B91038054C99906057A708A1480A004B94E0CD93B68F4F96D67EEBEC8A7176</vt:lpwstr>
  </property>
  <property fmtid="{D5CDD505-2E9C-101B-9397-08002B2CF9AE}" pid="8" name="_dlc_DocIdItemGuid">
    <vt:lpwstr>7f4a4c0a-2c69-40a8-bcfa-0b8e22902ee4</vt:lpwstr>
  </property>
  <property fmtid="{D5CDD505-2E9C-101B-9397-08002B2CF9AE}" pid="9" name="AvailableTranslations">
    <vt:lpwstr>50;#HR|2f555653-ed1a-4fe6-8362-9082d95989e5;#36;#RO|feb747a2-64cd-4299-af12-4833ddc30497;#12;#FR|d2afafd3-4c81-4f60-8f52-ee33f2f54ff3;#23;#DE|f6b31e5a-26fa-4935-b661-318e46daf27e;#39;#LV|46f7e311-5d9f-4663-b433-18aeccb7ace7;#31;#SL|98a412ae-eb01-49e9-ae3d-585a81724cfc;#5;#EN|f2175f21-25d7-44a3-96da-d6a61b075e1b;#16;#ES|e7a6b05b-ae16-40c8-add9-68b64b03aeba;#29;#CS|72f9705b-0217-4fd3-bea2-cbc7ed80e26e;#28;#SV|c2ed69e7-a339-43d7-8f22-d93680a92aa0;#42;#EL|6d4f4d51-af9b-4650-94b4-4276bee85c91;#30;#LT|a7ff5ce7-6123-4f68-865a-a57c31810414;#35;#FI|87606a43-d45f-42d6-b8c9-e1a3457db5b7;#33;#PT|50ccc04a-eadd-42ae-a0cb-acaf45f812ba;#41;#ET|ff6c3f4c-b02c-4c3c-ab07-2c37995a7a0a;#43;#GA|762d2456-c427-4ecb-b312-af3dad8e258c;#27;#NL|55c6556c-b4f4-441d-9acf-c498d4f838bd;#40;#DA|5d49c027-8956-412b-aa16-e85a0f96ad0e;#47;#BG|1a1b3951-7821-4e6a-85f5-5673fc08bd2c;#34;#IT|0774613c-01ed-4e5d-a25d-11d2388de825;#32;#MT|7df99101-6854-4a26-b53a-b88c0da02c26;#24;#PL|1e03da61-4678-4e07-b136-b5024ca9197b;#37;#HU|6b229040-c589-4408-b4c1-4285663d20a8;#46;#SK|46d9fce0-ef79-4f71-b89b-cd6aa82426b8</vt:lpwstr>
  </property>
  <property fmtid="{D5CDD505-2E9C-101B-9397-08002B2CF9AE}" pid="10" name="DocumentType_0">
    <vt:lpwstr>AS|c7a748eb-f6f2-4d9d-8b5a-af0cafebc224</vt:lpwstr>
  </property>
  <property fmtid="{D5CDD505-2E9C-101B-9397-08002B2CF9AE}" pid="11" name="MeetingNumber">
    <vt:i4>601</vt:i4>
  </property>
  <property fmtid="{D5CDD505-2E9C-101B-9397-08002B2CF9AE}" pid="12" name="DossierName_0">
    <vt:lpwstr>REX|6820eaf5-116e-436b-ad9c-156f8a94c2a1</vt:lpwstr>
  </property>
  <property fmtid="{D5CDD505-2E9C-101B-9397-08002B2CF9AE}" pid="13" name="DocumentSource_0">
    <vt:lpwstr>EESC|422833ec-8d7e-4e65-8e4e-8bed07ffb729</vt:lpwstr>
  </property>
  <property fmtid="{D5CDD505-2E9C-101B-9397-08002B2CF9AE}" pid="14" name="DocumentNumber">
    <vt:i4>2613</vt:i4>
  </property>
  <property fmtid="{D5CDD505-2E9C-101B-9397-08002B2CF9AE}" pid="15" name="FicheYear">
    <vt:i4>2025</vt:i4>
  </property>
  <property fmtid="{D5CDD505-2E9C-101B-9397-08002B2CF9AE}" pid="16" name="DocumentVersion">
    <vt:i4>1</vt:i4>
  </property>
  <property fmtid="{D5CDD505-2E9C-101B-9397-08002B2CF9AE}" pid="17" name="DossierNumber">
    <vt:i4>608</vt:i4>
  </property>
  <property fmtid="{D5CDD505-2E9C-101B-9397-08002B2CF9AE}" pid="18" name="DocumentStatus">
    <vt:lpwstr>13;#TRA|150d2a88-1431-44e6-a8ca-0bb753ab8672</vt:lpwstr>
  </property>
  <property fmtid="{D5CDD505-2E9C-101B-9397-08002B2CF9AE}" pid="19" name="DossierName">
    <vt:lpwstr>2;#REX|6820eaf5-116e-436b-ad9c-156f8a94c2a1</vt:lpwstr>
  </property>
  <property fmtid="{D5CDD505-2E9C-101B-9397-08002B2CF9AE}" pid="20" name="RequestingService">
    <vt:lpwstr>Relations extérieures</vt:lpwstr>
  </property>
  <property fmtid="{D5CDD505-2E9C-101B-9397-08002B2CF9AE}" pid="21" name="Confidentiality">
    <vt:lpwstr>15;#Unrestricted|826e22d7-d029-4ec0-a450-0c28ff673572</vt:lpwstr>
  </property>
  <property fmtid="{D5CDD505-2E9C-101B-9397-08002B2CF9AE}" pid="22" name="MeetingName_0">
    <vt:lpwstr>SPL-CES|32d8cb1f-c9ec-4365-95c7-8385a18618ac</vt:lpwstr>
  </property>
  <property fmtid="{D5CDD505-2E9C-101B-9397-08002B2CF9AE}" pid="23" name="Confidentiality_0">
    <vt:lpwstr>Unrestricted|826e22d7-d029-4ec0-a450-0c28ff673572</vt:lpwstr>
  </property>
  <property fmtid="{D5CDD505-2E9C-101B-9397-08002B2CF9AE}" pid="24" name="OriginalLanguage">
    <vt:lpwstr>5;#EN|f2175f21-25d7-44a3-96da-d6a61b075e1b</vt:lpwstr>
  </property>
  <property fmtid="{D5CDD505-2E9C-101B-9397-08002B2CF9AE}" pid="25" name="MeetingName">
    <vt:lpwstr>67;#SPL-CES|32d8cb1f-c9ec-4365-95c7-8385a18618ac</vt:lpwstr>
  </property>
  <property fmtid="{D5CDD505-2E9C-101B-9397-08002B2CF9AE}" pid="26" name="MeetingDate">
    <vt:filetime>2025-12-03T12:00:00Z</vt:filetime>
  </property>
  <property fmtid="{D5CDD505-2E9C-101B-9397-08002B2CF9AE}" pid="27" name="AvailableTranslations_0">
    <vt:lpwstr>HR|2f555653-ed1a-4fe6-8362-9082d95989e5;FR|d2afafd3-4c81-4f60-8f52-ee33f2f54ff3;DE|f6b31e5a-26fa-4935-b661-318e46daf27e;LV|46f7e311-5d9f-4663-b433-18aeccb7ace7;SL|98a412ae-eb01-49e9-ae3d-585a81724cfc;EN|f2175f21-25d7-44a3-96da-d6a61b075e1b;ES|e7a6b05b-ae16-40c8-add9-68b64b03aeba;CS|72f9705b-0217-4fd3-bea2-cbc7ed80e26e;SV|c2ed69e7-a339-43d7-8f22-d93680a92aa0;LT|a7ff5ce7-6123-4f68-865a-a57c31810414;FI|87606a43-d45f-42d6-b8c9-e1a3457db5b7;PT|50ccc04a-eadd-42ae-a0cb-acaf45f812ba;ET|ff6c3f4c-b02c-4c3c-ab07-2c37995a7a0a;GA|762d2456-c427-4ecb-b312-af3dad8e258c;NL|55c6556c-b4f4-441d-9acf-c498d4f838bd;DA|5d49c027-8956-412b-aa16-e85a0f96ad0e;BG|1a1b3951-7821-4e6a-85f5-5673fc08bd2c;IT|0774613c-01ed-4e5d-a25d-11d2388de825;MT|7df99101-6854-4a26-b53a-b88c0da02c26;PL|1e03da61-4678-4e07-b136-b5024ca9197b;HU|6b229040-c589-4408-b4c1-4285663d20a8;SK|46d9fce0-ef79-4f71-b89b-cd6aa82426b8</vt:lpwstr>
  </property>
  <property fmtid="{D5CDD505-2E9C-101B-9397-08002B2CF9AE}" pid="28" name="DocumentStatus_0">
    <vt:lpwstr>TRA|150d2a88-1431-44e6-a8ca-0bb753ab8672</vt:lpwstr>
  </property>
  <property fmtid="{D5CDD505-2E9C-101B-9397-08002B2CF9AE}" pid="29" name="OriginalLanguage_0">
    <vt:lpwstr>EN|f2175f21-25d7-44a3-96da-d6a61b075e1b</vt:lpwstr>
  </property>
  <property fmtid="{D5CDD505-2E9C-101B-9397-08002B2CF9AE}" pid="30" name="TaxCatchAll">
    <vt:lpwstr>37;#HU|6b229040-c589-4408-b4c1-4285663d20a8;#67;#SPL-CES|32d8cb1f-c9ec-4365-95c7-8385a18618ac;#50;#HR|2f555653-ed1a-4fe6-8362-9082d95989e5;#47;#BG|1a1b3951-7821-4e6a-85f5-5673fc08bd2c;#46;#SK|46d9fce0-ef79-4f71-b89b-cd6aa82426b8;#43;#GA|762d2456-c427-4ecb-b312-af3dad8e258c;#41;#ET|ff6c3f4c-b02c-4c3c-ab07-2c37995a7a0a;#40;#DA|5d49c027-8956-412b-aa16-e85a0f96ad0e;#39;#LV|46f7e311-5d9f-4663-b433-18aeccb7ace7;#126;#AS|c7a748eb-f6f2-4d9d-8b5a-af0cafebc224;#35;#FI|87606a43-d45f-42d6-b8c9-e1a3457db5b7;#34;#IT|0774613c-01ed-4e5d-a25d-11d2388de825;#33;#PT|50ccc04a-eadd-42ae-a0cb-acaf45f812ba;#32;#MT|7df99101-6854-4a26-b53a-b88c0da02c26;#31;#SL|98a412ae-eb01-49e9-ae3d-585a81724cfc;#30;#LT|a7ff5ce7-6123-4f68-865a-a57c31810414;#29;#CS|72f9705b-0217-4fd3-bea2-cbc7ed80e26e;#28;#SV|c2ed69e7-a339-43d7-8f22-d93680a92aa0;#27;#NL|55c6556c-b4f4-441d-9acf-c498d4f838bd;#24;#PL|1e03da61-4678-4e07-b136-b5024ca9197b;#23;#DE|f6b31e5a-26fa-4935-b661-318e46daf27e;#16;#ES|e7a6b05b-ae16-40c8-add9-68b64b03aeba;#15;#Unrestricted|826e22d7-d029-4ec0-a450-0c28ff673572;#13;#TRA|150d2a88-1431-44e6-a8ca-0bb753ab8672;#12;#FR|d2afafd3-4c81-4f60-8f52-ee33f2f54ff3;#8;#Final|ea5e6674-7b27-4bac-b091-73adbb394efe;#5;#EN|f2175f21-25d7-44a3-96da-d6a61b075e1b;#2;#REX|6820eaf5-116e-436b-ad9c-156f8a94c2a1;#1;#EESC|422833ec-8d7e-4e65-8e4e-8bed07ffb729</vt:lpwstr>
  </property>
  <property fmtid="{D5CDD505-2E9C-101B-9397-08002B2CF9AE}" pid="31" name="Rapporteur">
    <vt:lpwstr>SZYMAŃSKI &amp; BALON</vt:lpwstr>
  </property>
  <property fmtid="{D5CDD505-2E9C-101B-9397-08002B2CF9AE}" pid="32" name="VersionStatus_0">
    <vt:lpwstr>Final|ea5e6674-7b27-4bac-b091-73adbb394efe</vt:lpwstr>
  </property>
  <property fmtid="{D5CDD505-2E9C-101B-9397-08002B2CF9AE}" pid="33" name="VersionStatus">
    <vt:lpwstr>8;#Final|ea5e6674-7b27-4bac-b091-73adbb394efe</vt:lpwstr>
  </property>
  <property fmtid="{D5CDD505-2E9C-101B-9397-08002B2CF9AE}" pid="34" name="DocumentYear">
    <vt:i4>2025</vt:i4>
  </property>
  <property fmtid="{D5CDD505-2E9C-101B-9397-08002B2CF9AE}" pid="35" name="FicheNumber">
    <vt:i4>296495</vt:i4>
  </property>
  <property fmtid="{D5CDD505-2E9C-101B-9397-08002B2CF9AE}" pid="36" name="DocumentPart">
    <vt:i4>0</vt:i4>
  </property>
  <property fmtid="{D5CDD505-2E9C-101B-9397-08002B2CF9AE}" pid="37" name="DocumentSource">
    <vt:lpwstr>1;#EESC|422833ec-8d7e-4e65-8e4e-8bed07ffb729</vt:lpwstr>
  </property>
  <property fmtid="{D5CDD505-2E9C-101B-9397-08002B2CF9AE}" pid="38" name="DocumentType">
    <vt:lpwstr>126;#AS|c7a748eb-f6f2-4d9d-8b5a-af0cafebc224</vt:lpwstr>
  </property>
  <property fmtid="{D5CDD505-2E9C-101B-9397-08002B2CF9AE}" pid="39" name="DocumentLanguage">
    <vt:lpwstr>36;#RO|feb747a2-64cd-4299-af12-4833ddc30497</vt:lpwstr>
  </property>
  <property fmtid="{D5CDD505-2E9C-101B-9397-08002B2CF9AE}" pid="40" name="_docset_NoMedatataSyncRequired">
    <vt:lpwstr>False</vt:lpwstr>
  </property>
  <property fmtid="{D5CDD505-2E9C-101B-9397-08002B2CF9AE}" pid="41" name="DocumentLanguage_0">
    <vt:lpwstr>EN|f2175f21-25d7-44a3-96da-d6a61b075e1b</vt:lpwstr>
  </property>
</Properties>
</file>