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BE56A" w14:textId="74BC50F5" w:rsidR="00747364" w:rsidRDefault="00B96FD1">
      <w:pPr>
        <w:jc w:val="center"/>
      </w:pPr>
      <w:r>
        <w:rPr>
          <w:noProof/>
        </w:rPr>
        <w:drawing>
          <wp:inline distT="0" distB="0" distL="0" distR="0" wp14:anchorId="26D85082" wp14:editId="22E2E01C">
            <wp:extent cx="1792605" cy="1239520"/>
            <wp:effectExtent l="0" t="0" r="0" b="0"/>
            <wp:docPr id="2" name="Picture 2" title="EESCLogo_DE"/>
            <wp:cNvGraphicFramePr/>
            <a:graphic xmlns:a="http://schemas.openxmlformats.org/drawingml/2006/main">
              <a:graphicData uri="http://schemas.openxmlformats.org/drawingml/2006/picture">
                <pic:pic xmlns:pic="http://schemas.openxmlformats.org/drawingml/2006/picture">
                  <pic:nvPicPr>
                    <pic:cNvPr id="2" name="Picture 2" title="EESCLogo_DE"/>
                    <pic:cNvPicPr/>
                  </pic:nvPicPr>
                  <pic:blipFill>
                    <a:blip r:embed="rId11"/>
                    <a:stretch>
                      <a:fillRect/>
                    </a:stretch>
                  </pic:blipFill>
                  <pic:spPr>
                    <a:xfrm>
                      <a:off x="0" y="0"/>
                      <a:ext cx="1792605" cy="1239520"/>
                    </a:xfrm>
                    <a:prstGeom prst="rect">
                      <a:avLst/>
                    </a:prstGeom>
                  </pic:spPr>
                </pic:pic>
              </a:graphicData>
            </a:graphic>
          </wp:inline>
        </w:drawing>
      </w:r>
      <w:r w:rsidR="00844F27">
        <w:rPr>
          <w:noProof/>
          <w:sz w:val="20"/>
        </w:rPr>
        <mc:AlternateContent>
          <mc:Choice Requires="wps">
            <w:drawing>
              <wp:anchor distT="0" distB="0" distL="114300" distR="114300" simplePos="0" relativeHeight="251659264" behindDoc="1" locked="0" layoutInCell="0" allowOverlap="1" wp14:anchorId="131133D6" wp14:editId="777ACF72">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 xmlns:pic="http://schemas.openxmlformats.org/drawingml/2006/pictur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w16sdtfl="http://schemas.microsoft.com/office/word/2024/wordml/sdtformatlock" xmlns:w16du="http://schemas.microsoft.com/office/word/2023/wordml/word16du" xmlns:oel="http://schemas.microsoft.com/office/2019/extlst">
                              <a:solidFill>
                                <a:srgbClr val="FFFFFF"/>
                              </a:solidFill>
                            </a14:hiddenFill>
                          </a:ext>
                          <a:ext uri="{91240B29-F687-4f45-9708-019B960494DF}">
                            <a14:hiddenLine xmlns="" xmlns:pic="http://schemas.openxmlformats.org/drawingml/2006/pictur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w16sdtfl="http://schemas.microsoft.com/office/word/2024/wordml/sdtformatlock" xmlns:w16du="http://schemas.microsoft.com/office/word/2023/wordml/word16du" xmlns:oel="http://schemas.microsoft.com/office/2019/extlst" w="9525">
                              <a:solidFill>
                                <a:srgbClr val="000000"/>
                              </a:solidFill>
                              <a:miter lim="800000"/>
                              <a:headEnd/>
                              <a:tailEnd/>
                            </a14:hiddenLine>
                          </a:ext>
                        </a:extLst>
                      </wps:spPr>
                      <wps:txbx>
                        <w:txbxContent>
                          <w:p w14:paraId="45060660" w14:textId="77777777" w:rsidR="00747364" w:rsidRDefault="00844F27">
                            <w:pPr>
                              <w:jc w:val="center"/>
                              <w:rPr>
                                <w:rFonts w:ascii="Arial" w:hAnsi="Arial" w:cs="Arial"/>
                                <w:b/>
                                <w:bCs/>
                                <w:sz w:val="48"/>
                              </w:rPr>
                            </w:pPr>
                            <w:r>
                              <w:rPr>
                                <w:rFonts w:ascii="Arial" w:hAnsi="Arial"/>
                                <w:b/>
                                <w:sz w:val="48"/>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1133D6"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45060660" w14:textId="77777777" w:rsidR="00747364" w:rsidRDefault="00844F27">
                      <w:pPr>
                        <w:jc w:val="center"/>
                        <w:rPr>
                          <w:rFonts w:ascii="Arial" w:hAnsi="Arial" w:cs="Arial"/>
                          <w:b/>
                          <w:bCs/>
                          <w:sz w:val="48"/>
                        </w:rPr>
                      </w:pPr>
                      <w:r>
                        <w:rPr>
                          <w:rFonts w:ascii="Arial" w:hAnsi="Arial"/>
                          <w:b/>
                          <w:sz w:val="48"/>
                        </w:rPr>
                        <w:t>DE</w:t>
                      </w:r>
                    </w:p>
                  </w:txbxContent>
                </v:textbox>
                <w10:wrap anchorx="page" anchory="page"/>
              </v:shape>
            </w:pict>
          </mc:Fallback>
        </mc:AlternateContent>
      </w:r>
    </w:p>
    <w:p w14:paraId="5E7A16AD" w14:textId="77777777" w:rsidR="00747364" w:rsidRDefault="00747364"/>
    <w:p w14:paraId="5B3BE56B" w14:textId="1A860352" w:rsidR="00747364" w:rsidRDefault="00844F27">
      <w:pPr>
        <w:jc w:val="right"/>
        <w:rPr>
          <w:b/>
          <w:bCs/>
        </w:rPr>
      </w:pPr>
      <w:r>
        <w:rPr>
          <w:b/>
        </w:rPr>
        <w:t>REX/608</w:t>
      </w:r>
    </w:p>
    <w:p w14:paraId="31C9F9CA" w14:textId="41CEDD14" w:rsidR="00747364" w:rsidRDefault="00844F27">
      <w:pPr>
        <w:jc w:val="right"/>
      </w:pPr>
      <w:r>
        <w:rPr>
          <w:b/>
        </w:rPr>
        <w:t>Ein vorhersehbarer und gemeinsamer europäischer Weg in die Zukunft für die Ukrainerinnen und Ukrainer in der EU</w:t>
      </w:r>
    </w:p>
    <w:p w14:paraId="5B3BE56D" w14:textId="77777777" w:rsidR="00747364" w:rsidRDefault="00747364"/>
    <w:p w14:paraId="5B3BE56E" w14:textId="77777777" w:rsidR="00747364" w:rsidRDefault="00747364"/>
    <w:p w14:paraId="3C09B2EE" w14:textId="41A78690" w:rsidR="00747364" w:rsidRDefault="00844F27">
      <w:pPr>
        <w:jc w:val="center"/>
        <w:rPr>
          <w:b/>
          <w:bCs/>
          <w:sz w:val="28"/>
          <w:szCs w:val="28"/>
        </w:rPr>
      </w:pPr>
      <w:r>
        <w:rPr>
          <w:b/>
          <w:sz w:val="28"/>
        </w:rPr>
        <w:t>STELLUNGNAHME</w:t>
      </w:r>
    </w:p>
    <w:p w14:paraId="34368F6A" w14:textId="77777777" w:rsidR="00747364" w:rsidRDefault="00747364">
      <w:pPr>
        <w:jc w:val="center"/>
      </w:pPr>
    </w:p>
    <w:p w14:paraId="7D40B1DD" w14:textId="1DAE7C71" w:rsidR="00747364" w:rsidRDefault="00844F27">
      <w:pPr>
        <w:jc w:val="center"/>
      </w:pPr>
      <w:r>
        <w:t>Fachgruppe Außenbeziehungen</w:t>
      </w:r>
    </w:p>
    <w:p w14:paraId="046C48E8" w14:textId="77777777" w:rsidR="00747364" w:rsidRDefault="00747364">
      <w:pPr>
        <w:jc w:val="center"/>
      </w:pPr>
    </w:p>
    <w:p w14:paraId="688420E6" w14:textId="0E67E6FA" w:rsidR="00747364" w:rsidRDefault="00844F27">
      <w:pPr>
        <w:jc w:val="center"/>
        <w:rPr>
          <w:b/>
        </w:rPr>
      </w:pPr>
      <w:r>
        <w:rPr>
          <w:b/>
        </w:rPr>
        <w:t>Mitteilung der Kommission an das Europäische Parlament, den Rat, den Europäischen Wirtschafts- und Sozialausschuss und den Ausschuss der Regionen</w:t>
      </w:r>
    </w:p>
    <w:p w14:paraId="35D044C0" w14:textId="77777777" w:rsidR="00747364" w:rsidRDefault="00747364">
      <w:pPr>
        <w:jc w:val="center"/>
        <w:rPr>
          <w:b/>
        </w:rPr>
      </w:pPr>
    </w:p>
    <w:p w14:paraId="69DFD613" w14:textId="27E275DC" w:rsidR="00747364" w:rsidRDefault="00844F27">
      <w:pPr>
        <w:jc w:val="center"/>
        <w:rPr>
          <w:b/>
          <w:bCs/>
        </w:rPr>
      </w:pPr>
      <w:r>
        <w:rPr>
          <w:b/>
        </w:rPr>
        <w:t>Ein vorhersehbarer und gemeinsamer europäischer Weg in die Zukunft für die Ukrainerinnen und Ukrainer in der EU</w:t>
      </w:r>
    </w:p>
    <w:p w14:paraId="37AB4FE9" w14:textId="7FBCF199" w:rsidR="00747364" w:rsidRDefault="00844F27">
      <w:pPr>
        <w:jc w:val="center"/>
        <w:rPr>
          <w:bCs/>
        </w:rPr>
      </w:pPr>
      <w:r>
        <w:t>(COM(2025) 649 final)</w:t>
      </w:r>
    </w:p>
    <w:p w14:paraId="5B3BE570" w14:textId="77777777" w:rsidR="00747364" w:rsidRDefault="00747364">
      <w:pPr>
        <w:jc w:val="center"/>
      </w:pPr>
    </w:p>
    <w:tbl>
      <w:tblPr>
        <w:tblpPr w:leftFromText="181" w:rightFromText="181" w:tblpYSpec="bottom"/>
        <w:tblOverlap w:val="never"/>
        <w:tblW w:w="0" w:type="auto"/>
        <w:tblLayout w:type="fixed"/>
        <w:tblLook w:val="04A0" w:firstRow="1" w:lastRow="0" w:firstColumn="1" w:lastColumn="0" w:noHBand="0" w:noVBand="1"/>
      </w:tblPr>
      <w:tblGrid>
        <w:gridCol w:w="3085"/>
        <w:gridCol w:w="6204"/>
      </w:tblGrid>
      <w:tr w:rsidR="00747364" w14:paraId="7CB03C7E" w14:textId="77777777">
        <w:tc>
          <w:tcPr>
            <w:tcW w:w="3085" w:type="dxa"/>
          </w:tcPr>
          <w:p w14:paraId="34C60166" w14:textId="5FA9584A" w:rsidR="00747364" w:rsidRDefault="00844F27">
            <w:pPr>
              <w:jc w:val="left"/>
              <w:rPr>
                <w:b/>
                <w:bCs/>
              </w:rPr>
            </w:pPr>
            <w:r>
              <w:t>Kontakt</w:t>
            </w:r>
          </w:p>
        </w:tc>
        <w:tc>
          <w:tcPr>
            <w:tcW w:w="6204" w:type="dxa"/>
          </w:tcPr>
          <w:p w14:paraId="2B3072C8" w14:textId="0F44B688" w:rsidR="00747364" w:rsidRDefault="0037414D">
            <w:pPr>
              <w:jc w:val="left"/>
              <w:rPr>
                <w:b/>
                <w:bCs/>
              </w:rPr>
            </w:pPr>
            <w:hyperlink r:id="rId12" w:history="1">
              <w:r w:rsidR="00B96FD1">
                <w:rPr>
                  <w:rStyle w:val="Hyperlink"/>
                </w:rPr>
                <w:t>Katarina.Albrechtova@eesc.europa.eu</w:t>
              </w:r>
            </w:hyperlink>
          </w:p>
        </w:tc>
      </w:tr>
      <w:tr w:rsidR="00747364" w14:paraId="5B3BE57D" w14:textId="77777777">
        <w:tc>
          <w:tcPr>
            <w:tcW w:w="3085" w:type="dxa"/>
          </w:tcPr>
          <w:p w14:paraId="5B3BE57B" w14:textId="77777777" w:rsidR="00747364" w:rsidRDefault="00844F27">
            <w:pPr>
              <w:jc w:val="left"/>
            </w:pPr>
            <w:r>
              <w:t>Verwaltungsrätin</w:t>
            </w:r>
          </w:p>
        </w:tc>
        <w:tc>
          <w:tcPr>
            <w:tcW w:w="6204" w:type="dxa"/>
          </w:tcPr>
          <w:p w14:paraId="5B3BE57C" w14:textId="3D3E25A8" w:rsidR="00747364" w:rsidRDefault="00844F27">
            <w:pPr>
              <w:jc w:val="left"/>
            </w:pPr>
            <w:r>
              <w:t xml:space="preserve">Katarina </w:t>
            </w:r>
            <w:proofErr w:type="spellStart"/>
            <w:r>
              <w:t>Albrechtova</w:t>
            </w:r>
            <w:proofErr w:type="spellEnd"/>
          </w:p>
        </w:tc>
      </w:tr>
      <w:tr w:rsidR="00747364" w14:paraId="5B3BE580" w14:textId="77777777">
        <w:tc>
          <w:tcPr>
            <w:tcW w:w="3085" w:type="dxa"/>
          </w:tcPr>
          <w:p w14:paraId="5B3BE57E" w14:textId="77777777" w:rsidR="00747364" w:rsidRDefault="00844F27">
            <w:pPr>
              <w:jc w:val="left"/>
            </w:pPr>
            <w:r>
              <w:t>Datum des Dokuments</w:t>
            </w:r>
          </w:p>
        </w:tc>
        <w:tc>
          <w:tcPr>
            <w:tcW w:w="6204" w:type="dxa"/>
          </w:tcPr>
          <w:p w14:paraId="5B3BE57F" w14:textId="48C345CE" w:rsidR="00747364" w:rsidRDefault="00844F27">
            <w:pPr>
              <w:jc w:val="left"/>
            </w:pPr>
            <w:r>
              <w:t>14/11/2025</w:t>
            </w:r>
          </w:p>
        </w:tc>
      </w:tr>
    </w:tbl>
    <w:p w14:paraId="10FEC417" w14:textId="5C507DA9" w:rsidR="00747364" w:rsidRDefault="00844F27">
      <w:pPr>
        <w:jc w:val="center"/>
        <w:rPr>
          <w:b/>
          <w:bCs/>
        </w:rPr>
      </w:pPr>
      <w:r>
        <w:t xml:space="preserve">Berichterstatter: </w:t>
      </w:r>
      <w:r>
        <w:rPr>
          <w:b/>
        </w:rPr>
        <w:t>Mateusz SZYMAŃSKI</w:t>
      </w:r>
    </w:p>
    <w:p w14:paraId="7C3291A5" w14:textId="6BF8749E" w:rsidR="00747364" w:rsidRDefault="00844F27">
      <w:pPr>
        <w:jc w:val="center"/>
        <w:rPr>
          <w:bCs/>
        </w:rPr>
      </w:pPr>
      <w:r>
        <w:t xml:space="preserve">Ko-Berichterstatter: </w:t>
      </w:r>
      <w:r>
        <w:rPr>
          <w:b/>
        </w:rPr>
        <w:t>Krzysztof BALON</w:t>
      </w:r>
    </w:p>
    <w:p w14:paraId="5B3BE582" w14:textId="6F8F6800" w:rsidR="00747364" w:rsidRDefault="00747364"/>
    <w:p w14:paraId="5B3BE583" w14:textId="77777777" w:rsidR="00747364" w:rsidRDefault="00747364"/>
    <w:p w14:paraId="5B3BE584" w14:textId="77777777" w:rsidR="00747364" w:rsidRDefault="00747364">
      <w:pPr>
        <w:sectPr w:rsidR="00747364" w:rsidSect="00844F27">
          <w:headerReference w:type="even" r:id="rId13"/>
          <w:headerReference w:type="default" r:id="rId14"/>
          <w:footerReference w:type="even" r:id="rId15"/>
          <w:footerReference w:type="default" r:id="rId16"/>
          <w:headerReference w:type="first" r:id="rId17"/>
          <w:footerReference w:type="first" r:id="rId18"/>
          <w:pgSz w:w="11907" w:h="16839" w:code="9"/>
          <w:pgMar w:top="1417" w:right="1417" w:bottom="1417" w:left="1417" w:header="709" w:footer="709" w:gutter="0"/>
          <w:pgNumType w:start="1"/>
          <w:cols w:space="720"/>
          <w:docGrid w:linePitch="299"/>
        </w:sectPr>
      </w:pPr>
    </w:p>
    <w:p w14:paraId="5B3BE5A3" w14:textId="77777777" w:rsidR="00747364" w:rsidRDefault="00747364"/>
    <w:tbl>
      <w:tblPr>
        <w:tblW w:w="0" w:type="auto"/>
        <w:tblLook w:val="04A0" w:firstRow="1" w:lastRow="0" w:firstColumn="1" w:lastColumn="0" w:noHBand="0" w:noVBand="1"/>
      </w:tblPr>
      <w:tblGrid>
        <w:gridCol w:w="4077"/>
        <w:gridCol w:w="4996"/>
      </w:tblGrid>
      <w:tr w:rsidR="00747364" w14:paraId="24249E85" w14:textId="77777777" w:rsidTr="004303B1">
        <w:trPr>
          <w:trHeight w:val="251"/>
        </w:trPr>
        <w:tc>
          <w:tcPr>
            <w:tcW w:w="4077" w:type="dxa"/>
          </w:tcPr>
          <w:p w14:paraId="1225BDD1" w14:textId="00300DC2" w:rsidR="00747364" w:rsidRDefault="00844F27">
            <w:pPr>
              <w:jc w:val="left"/>
            </w:pPr>
            <w:r>
              <w:t>Beraterin</w:t>
            </w:r>
          </w:p>
        </w:tc>
        <w:tc>
          <w:tcPr>
            <w:tcW w:w="4996" w:type="dxa"/>
          </w:tcPr>
          <w:p w14:paraId="4CEFBCA3" w14:textId="6B1DE713" w:rsidR="00747364" w:rsidRDefault="00844F27">
            <w:pPr>
              <w:jc w:val="left"/>
            </w:pPr>
            <w:r>
              <w:t>Tetyana LEWIŃSKA (für den Ko-Berichterstatter, Gruppe III)</w:t>
            </w:r>
          </w:p>
        </w:tc>
      </w:tr>
      <w:tr w:rsidR="00747364" w14:paraId="35E60D09" w14:textId="77777777" w:rsidTr="004303B1">
        <w:trPr>
          <w:trHeight w:val="251"/>
        </w:trPr>
        <w:tc>
          <w:tcPr>
            <w:tcW w:w="4077" w:type="dxa"/>
          </w:tcPr>
          <w:p w14:paraId="2CCD6979" w14:textId="77777777" w:rsidR="00747364" w:rsidRDefault="00747364">
            <w:pPr>
              <w:jc w:val="left"/>
            </w:pPr>
          </w:p>
        </w:tc>
        <w:tc>
          <w:tcPr>
            <w:tcW w:w="4996" w:type="dxa"/>
          </w:tcPr>
          <w:p w14:paraId="5F5408E4" w14:textId="77777777" w:rsidR="00747364" w:rsidRDefault="00747364">
            <w:pPr>
              <w:jc w:val="left"/>
            </w:pPr>
          </w:p>
        </w:tc>
      </w:tr>
      <w:tr w:rsidR="00747364" w14:paraId="5B3BE5AF" w14:textId="77777777" w:rsidTr="004303B1">
        <w:tc>
          <w:tcPr>
            <w:tcW w:w="4077" w:type="dxa"/>
          </w:tcPr>
          <w:p w14:paraId="5B3BE5AD" w14:textId="4D178B35" w:rsidR="00747364" w:rsidRDefault="00844F27">
            <w:pPr>
              <w:jc w:val="left"/>
            </w:pPr>
            <w:r>
              <w:t>Rechtsgrundlage</w:t>
            </w:r>
          </w:p>
        </w:tc>
        <w:tc>
          <w:tcPr>
            <w:tcW w:w="4996" w:type="dxa"/>
          </w:tcPr>
          <w:p w14:paraId="5B3BE5AE" w14:textId="258DAFE2" w:rsidR="00747364" w:rsidRDefault="00844F27">
            <w:pPr>
              <w:jc w:val="left"/>
            </w:pPr>
            <w:r>
              <w:t>Artikel 304 des Vertrags über die Arbeitsweise der Europäischen Union</w:t>
            </w:r>
          </w:p>
        </w:tc>
      </w:tr>
      <w:tr w:rsidR="00747364" w14:paraId="0907C2C7" w14:textId="77777777" w:rsidTr="004303B1">
        <w:tc>
          <w:tcPr>
            <w:tcW w:w="4077" w:type="dxa"/>
          </w:tcPr>
          <w:p w14:paraId="07EB1592" w14:textId="3BD5D712" w:rsidR="00747364" w:rsidRDefault="00844F27">
            <w:pPr>
              <w:jc w:val="left"/>
            </w:pPr>
            <w:r>
              <w:t>Befassung</w:t>
            </w:r>
          </w:p>
        </w:tc>
        <w:tc>
          <w:tcPr>
            <w:tcW w:w="4996" w:type="dxa"/>
          </w:tcPr>
          <w:p w14:paraId="60A730CB" w14:textId="7179EEF0" w:rsidR="00747364" w:rsidRDefault="00844F27">
            <w:pPr>
              <w:jc w:val="left"/>
            </w:pPr>
            <w:r>
              <w:t>Europäische Kommission, 4/6/2025</w:t>
            </w:r>
          </w:p>
        </w:tc>
      </w:tr>
      <w:tr w:rsidR="00747364" w14:paraId="5B3BE5C4" w14:textId="77777777" w:rsidTr="004303B1">
        <w:tc>
          <w:tcPr>
            <w:tcW w:w="4077" w:type="dxa"/>
          </w:tcPr>
          <w:p w14:paraId="5B3BE5C2" w14:textId="77777777" w:rsidR="00747364" w:rsidRDefault="00844F27">
            <w:pPr>
              <w:jc w:val="left"/>
            </w:pPr>
            <w:r>
              <w:t>Zuständiges Arbeitsorgan</w:t>
            </w:r>
          </w:p>
        </w:tc>
        <w:tc>
          <w:tcPr>
            <w:tcW w:w="4996" w:type="dxa"/>
          </w:tcPr>
          <w:p w14:paraId="5B3BE5C3" w14:textId="71EB9A74" w:rsidR="00747364" w:rsidRDefault="00844F27">
            <w:pPr>
              <w:jc w:val="left"/>
            </w:pPr>
            <w:r>
              <w:t>Fachgruppe Außenbeziehungen</w:t>
            </w:r>
          </w:p>
        </w:tc>
      </w:tr>
      <w:tr w:rsidR="00747364" w14:paraId="5B3BE5C7" w14:textId="77777777" w:rsidTr="004303B1">
        <w:tc>
          <w:tcPr>
            <w:tcW w:w="4077" w:type="dxa"/>
          </w:tcPr>
          <w:p w14:paraId="5B3BE5C5" w14:textId="6F862EC0" w:rsidR="00747364" w:rsidRDefault="00844F27">
            <w:pPr>
              <w:jc w:val="left"/>
            </w:pPr>
            <w:r>
              <w:t>Annahme im Arbeitsorgan</w:t>
            </w:r>
          </w:p>
        </w:tc>
        <w:tc>
          <w:tcPr>
            <w:tcW w:w="4996" w:type="dxa"/>
          </w:tcPr>
          <w:p w14:paraId="5B3BE5C6" w14:textId="38EDBD54" w:rsidR="00747364" w:rsidRDefault="00844F27">
            <w:pPr>
              <w:jc w:val="left"/>
            </w:pPr>
            <w:r>
              <w:t>7/11/2025</w:t>
            </w:r>
          </w:p>
        </w:tc>
      </w:tr>
      <w:tr w:rsidR="00747364" w14:paraId="76673220" w14:textId="77777777" w:rsidTr="004303B1">
        <w:tc>
          <w:tcPr>
            <w:tcW w:w="4077" w:type="dxa"/>
          </w:tcPr>
          <w:p w14:paraId="3C0899C8" w14:textId="0995A3EA" w:rsidR="00747364" w:rsidRDefault="00844F27">
            <w:pPr>
              <w:jc w:val="left"/>
            </w:pPr>
            <w:r>
              <w:t>Ergebnis der Abstimmung</w:t>
            </w:r>
            <w:r>
              <w:br/>
              <w:t>(Ja-Stimmen/Nein-Stimmen/Enthaltungen)</w:t>
            </w:r>
          </w:p>
        </w:tc>
        <w:tc>
          <w:tcPr>
            <w:tcW w:w="4996" w:type="dxa"/>
            <w:vAlign w:val="bottom"/>
          </w:tcPr>
          <w:p w14:paraId="31005FC7" w14:textId="22C06C74" w:rsidR="00747364" w:rsidRDefault="00844F27">
            <w:pPr>
              <w:jc w:val="left"/>
            </w:pPr>
            <w:r>
              <w:t>73/1/5</w:t>
            </w:r>
          </w:p>
        </w:tc>
      </w:tr>
      <w:tr w:rsidR="00747364" w14:paraId="5B3BE5CA" w14:textId="77777777" w:rsidTr="004303B1">
        <w:tc>
          <w:tcPr>
            <w:tcW w:w="4077" w:type="dxa"/>
          </w:tcPr>
          <w:p w14:paraId="5B3BE5C8" w14:textId="261924E9" w:rsidR="00747364" w:rsidRDefault="00844F27">
            <w:pPr>
              <w:jc w:val="left"/>
            </w:pPr>
            <w:r>
              <w:t>Verabschiedung im Plenum</w:t>
            </w:r>
          </w:p>
        </w:tc>
        <w:tc>
          <w:tcPr>
            <w:tcW w:w="4996" w:type="dxa"/>
          </w:tcPr>
          <w:p w14:paraId="5B3BE5C9" w14:textId="5FDDD67E" w:rsidR="00747364" w:rsidRDefault="00844F27">
            <w:pPr>
              <w:jc w:val="left"/>
            </w:pPr>
            <w:r>
              <w:t>D/M/YYYY</w:t>
            </w:r>
          </w:p>
        </w:tc>
      </w:tr>
      <w:tr w:rsidR="00747364" w14:paraId="5B3BE5CD" w14:textId="77777777" w:rsidTr="004303B1">
        <w:tc>
          <w:tcPr>
            <w:tcW w:w="4077" w:type="dxa"/>
          </w:tcPr>
          <w:p w14:paraId="5B3BE5CB" w14:textId="77777777" w:rsidR="00747364" w:rsidRDefault="00844F27">
            <w:pPr>
              <w:jc w:val="left"/>
            </w:pPr>
            <w:r>
              <w:t>Plenartagung Nr.</w:t>
            </w:r>
          </w:p>
        </w:tc>
        <w:tc>
          <w:tcPr>
            <w:tcW w:w="4996" w:type="dxa"/>
          </w:tcPr>
          <w:p w14:paraId="5B3BE5CC" w14:textId="77777777" w:rsidR="00747364" w:rsidRDefault="00844F27">
            <w:pPr>
              <w:jc w:val="left"/>
            </w:pPr>
            <w:r>
              <w:t>…</w:t>
            </w:r>
          </w:p>
        </w:tc>
      </w:tr>
      <w:tr w:rsidR="00747364" w14:paraId="5B3BE5D0" w14:textId="77777777" w:rsidTr="004303B1">
        <w:tc>
          <w:tcPr>
            <w:tcW w:w="4077" w:type="dxa"/>
          </w:tcPr>
          <w:p w14:paraId="5B3BE5CE" w14:textId="0ED6183D" w:rsidR="00747364" w:rsidRDefault="00844F27">
            <w:pPr>
              <w:jc w:val="left"/>
            </w:pPr>
            <w:r>
              <w:t>Ergebnis der Abstimmung</w:t>
            </w:r>
            <w:r>
              <w:br/>
              <w:t>(Ja-Stimmen/Nein-Stimmen/Enthaltungen)</w:t>
            </w:r>
          </w:p>
        </w:tc>
        <w:tc>
          <w:tcPr>
            <w:tcW w:w="4996" w:type="dxa"/>
            <w:vAlign w:val="bottom"/>
          </w:tcPr>
          <w:p w14:paraId="5B3BE5CF" w14:textId="77777777" w:rsidR="00747364" w:rsidRDefault="00844F27">
            <w:pPr>
              <w:jc w:val="left"/>
            </w:pPr>
            <w:r>
              <w:t>…/…/…</w:t>
            </w:r>
          </w:p>
        </w:tc>
      </w:tr>
    </w:tbl>
    <w:p w14:paraId="2476738B" w14:textId="77777777" w:rsidR="00747364" w:rsidRDefault="00747364"/>
    <w:p w14:paraId="5B3BE5D2" w14:textId="5D3DBC87" w:rsidR="00747364" w:rsidRDefault="00844F27">
      <w:r>
        <w:br w:type="page"/>
      </w:r>
    </w:p>
    <w:p w14:paraId="5B3BE5D3" w14:textId="1B1DA058" w:rsidR="00747364" w:rsidRDefault="00844F27">
      <w:pPr>
        <w:pStyle w:val="Heading1"/>
        <w:rPr>
          <w:b/>
          <w:bCs/>
        </w:rPr>
      </w:pPr>
      <w:r>
        <w:rPr>
          <w:b/>
        </w:rPr>
        <w:lastRenderedPageBreak/>
        <w:t>Schlussfolgerungen und Empfehlungen</w:t>
      </w:r>
    </w:p>
    <w:p w14:paraId="5B3BE5D4" w14:textId="77777777" w:rsidR="00747364" w:rsidRDefault="00747364"/>
    <w:p w14:paraId="589D17CD" w14:textId="18A67F6D" w:rsidR="00747364" w:rsidRDefault="00844F27">
      <w:pPr>
        <w:pStyle w:val="Heading2"/>
      </w:pPr>
      <w:r>
        <w:t>Der Europäische Wirtschafts- und Sozialausschuss (EWSA) verurteilt abermals den ungerechtfertigten und rechtswidrigen Angriffskrieg Russlands gegen die Ukraine. Der EWSA ist nach wie vor fest entschlossen, dem ukrainischen Volk solidarisch zur Seite zu stehen und die Ukrainerinnen und Ukrainer in jeder Hinsicht zu unterstützen. Daher müssen alle Entscheidungen über den künftigen Status der Ukrainerinnen und Ukrainer in der EU unter Berücksichtigung der Fortschritte auf dem Weg zur EU-Mitgliedschaft der Ukraine sowie in enger Partnerschaft mit der ukrainischen Regierung getroffen werden.</w:t>
      </w:r>
    </w:p>
    <w:p w14:paraId="1DA705AA" w14:textId="77777777" w:rsidR="00747364" w:rsidRDefault="00747364">
      <w:pPr>
        <w:pStyle w:val="Heading2"/>
        <w:numPr>
          <w:ilvl w:val="0"/>
          <w:numId w:val="0"/>
        </w:numPr>
        <w:ind w:left="567" w:hanging="567"/>
      </w:pPr>
    </w:p>
    <w:p w14:paraId="2B911DB4" w14:textId="62452BC6" w:rsidR="00747364" w:rsidRDefault="00844F27">
      <w:pPr>
        <w:pStyle w:val="Heading2"/>
      </w:pPr>
      <w:r>
        <w:t>Der russische Angriffskrieg gegen die Ukraine veranlasste im Jahr 2022 Millionen Ukrainerinnen und Ukrainer zur Flucht vor der Gefahr. Seinerzeit fasste die Europäische Union (EU) u. a. den Beschluss, den vorübergehenden Schutz zu aktivieren. Damit wurde zum allerersten Mal auf diesen Mechanismus zurückgegriffen.</w:t>
      </w:r>
    </w:p>
    <w:p w14:paraId="765DFD65" w14:textId="0ECF00BC" w:rsidR="00747364" w:rsidRDefault="00747364"/>
    <w:p w14:paraId="365BD549" w14:textId="690863D8" w:rsidR="00747364" w:rsidRDefault="00844F27">
      <w:pPr>
        <w:pStyle w:val="Heading3"/>
      </w:pPr>
      <w:r>
        <w:t xml:space="preserve">Der EWSA weist ferner darauf hin, dass die Organisationen der Zivilgesellschaft Wesentliches geleistet haben, als der Zustrom aus der Ukraine am größten war. Die Unionsbürgerinnen und </w:t>
      </w:r>
      <w:r w:rsidR="004D7603">
        <w:noBreakHyphen/>
      </w:r>
      <w:proofErr w:type="spellStart"/>
      <w:r>
        <w:t>bürger</w:t>
      </w:r>
      <w:proofErr w:type="spellEnd"/>
      <w:r>
        <w:t xml:space="preserve"> sowie die Organisationen in der EU verdienen größte Anerkennung für ihre Solidarität und Gastfreundschaft, mit denen sie einen wertvollen Beitrag zur Zukunft der EU geleistet haben.</w:t>
      </w:r>
    </w:p>
    <w:p w14:paraId="792D5F26" w14:textId="77777777" w:rsidR="00747364" w:rsidRDefault="00747364">
      <w:pPr>
        <w:pStyle w:val="Heading2"/>
        <w:numPr>
          <w:ilvl w:val="0"/>
          <w:numId w:val="0"/>
        </w:numPr>
        <w:ind w:left="567" w:hanging="567"/>
      </w:pPr>
    </w:p>
    <w:p w14:paraId="5CA8300F" w14:textId="6B1D6E96" w:rsidR="00747364" w:rsidRDefault="00844F27">
      <w:pPr>
        <w:pStyle w:val="Heading2"/>
      </w:pPr>
      <w:r>
        <w:t>Ukrainerinnen und Ukrainer mit Wohnsitz in der EU genießen eine Reihe von Freiheiten, darunter vor allem Freizügigkeit innerhalb der EU sowie Zugang zum EU-Arbeitsmarkt und zu öffentlichen Dienstleistungen. Der vorübergehende Schutz erweist sich als positive Lösung für diese Menschen. Unterdessen sind die Voraussetzungen für eine Rückkehr in die Ukraine aufgrund der anhaltenden Aggression Russlands noch nicht gegeben.</w:t>
      </w:r>
    </w:p>
    <w:p w14:paraId="3B48A802" w14:textId="77777777" w:rsidR="00747364" w:rsidRDefault="00747364">
      <w:pPr>
        <w:pStyle w:val="Heading2"/>
        <w:numPr>
          <w:ilvl w:val="0"/>
          <w:numId w:val="0"/>
        </w:numPr>
        <w:ind w:left="567" w:hanging="567"/>
      </w:pPr>
    </w:p>
    <w:p w14:paraId="6D623887" w14:textId="77777777" w:rsidR="00747364" w:rsidRDefault="00844F27">
      <w:pPr>
        <w:pStyle w:val="Heading2"/>
      </w:pPr>
      <w:r>
        <w:t>Angesichts der derzeitigen Lage und des Verwaltungsaufwands, den eine Änderung der Bedingungen für den rechtmäßigen Aufenthalt einer so großen Zahl von Personen mit sich bringen würde, begrüßt der EWSA daher den Beschluss zur weiteren Verlängerung des vorübergehenden Schutzes.</w:t>
      </w:r>
    </w:p>
    <w:p w14:paraId="6C1F9125" w14:textId="77777777" w:rsidR="00747364" w:rsidRDefault="00747364">
      <w:pPr>
        <w:pStyle w:val="Heading2"/>
        <w:numPr>
          <w:ilvl w:val="0"/>
          <w:numId w:val="0"/>
        </w:numPr>
        <w:ind w:left="567" w:hanging="567"/>
      </w:pPr>
    </w:p>
    <w:p w14:paraId="12102D42" w14:textId="4DFE4DDF" w:rsidR="00747364" w:rsidRDefault="00844F27">
      <w:pPr>
        <w:pStyle w:val="Heading2"/>
      </w:pPr>
      <w:r>
        <w:t>In Anbetracht der wirtschaftlichen und sozialen Herausforderungen und der Notwendigkeit, vorhersehbarere Aufenthaltsbedingungen für die Ukrainerinnen und Ukrainer in der EU zu schaffen, appelliert der EWSA an die Europäische Kommission und die Mitgliedstaaten, auf einen einfachen Übergang zu einer dauerhafteren Aufenthaltsgrundlage und eine schrittweise Beendigung des vorübergehenden Schutzes hinzuwirken. Hier muss es eine langfristige Perspektive geben. Nun gilt es, einen europäischen Aktionsplan bzw. nationale Aktionspläne und Möglichkeiten zur Legalisierung des Aufenthalts nach Beendigung des vorübergehenden Schutzes zu entwickeln.</w:t>
      </w:r>
    </w:p>
    <w:p w14:paraId="1293FDC4" w14:textId="527AFE60" w:rsidR="00747364" w:rsidRPr="004E5C34" w:rsidRDefault="00747364">
      <w:pPr>
        <w:rPr>
          <w:lang w:val="en-GB"/>
        </w:rPr>
      </w:pPr>
    </w:p>
    <w:p w14:paraId="2755D62E" w14:textId="46733A89" w:rsidR="00747364" w:rsidRDefault="00844F27">
      <w:pPr>
        <w:pStyle w:val="Heading2"/>
      </w:pPr>
      <w:r>
        <w:t>Durch die Ankunft der Ukrainerinnen und Ukrainer in der EU erhöhte sich der Druck auf die öffentlichen Dienste der Mitgliedstaaten. Der EWSA spricht sich deshalb nachdrücklich für mehr Investitionen in hochwertige Dienstleistungen von allgemeinem Interesse und Wohnraum aus, die allen Menschen mit rechtmäßigem Aufenthalt in der EU gleichberechtigt zur Verfügung stehen sollten.</w:t>
      </w:r>
    </w:p>
    <w:p w14:paraId="11A4F759" w14:textId="77777777" w:rsidR="00747364" w:rsidRDefault="00747364"/>
    <w:p w14:paraId="00B1D7EB" w14:textId="49E21DAE" w:rsidR="00747364" w:rsidRDefault="00844F27">
      <w:pPr>
        <w:pStyle w:val="Heading2"/>
      </w:pPr>
      <w:r>
        <w:t>Gleichzeitig sollte eine erfolgreiche Integration der Ukrainerinnen und Ukrainer in die EU angestrebt werden. Dies kann erreicht werden, indem das Erlernen der Sprachen der Aufnahmeländer und Initiativen der lokalen Gemeinschaften unterstützt, ukrainische Kinder in die gemeinsamen Bildungssysteme der Mitgliedstaaten aufgenommen sowie Desinformation und Aktivitäten russischer Geheimdienste bekämpft werden.</w:t>
      </w:r>
    </w:p>
    <w:p w14:paraId="41B509E5" w14:textId="77777777" w:rsidR="00747364" w:rsidRDefault="00747364">
      <w:pPr>
        <w:pStyle w:val="Heading2"/>
        <w:numPr>
          <w:ilvl w:val="0"/>
          <w:numId w:val="0"/>
        </w:numPr>
        <w:ind w:left="567" w:hanging="567"/>
      </w:pPr>
    </w:p>
    <w:p w14:paraId="5ADF76D5" w14:textId="693E5100" w:rsidR="00747364" w:rsidRDefault="00844F27">
      <w:pPr>
        <w:pStyle w:val="Heading2"/>
      </w:pPr>
      <w:r>
        <w:t>Ebenso wichtig ist die Entwicklung fester sozialer Bindungen auf der Grundlage von Vertrauen. Dabei kommt der Zivilgesellschaft eine maßgebliche Rolle zu. Es ist wichtig, dass ukrainische Bürgerinnen und Bürger sich in vor Ort tätigen Organisationen einbringen.</w:t>
      </w:r>
    </w:p>
    <w:p w14:paraId="6F08BACF" w14:textId="77777777" w:rsidR="00747364" w:rsidRDefault="00747364">
      <w:pPr>
        <w:pStyle w:val="Heading2"/>
        <w:numPr>
          <w:ilvl w:val="0"/>
          <w:numId w:val="0"/>
        </w:numPr>
        <w:ind w:left="567" w:hanging="567"/>
      </w:pPr>
    </w:p>
    <w:p w14:paraId="3CF39800" w14:textId="4D996D9D" w:rsidR="00747364" w:rsidRDefault="00844F27">
      <w:pPr>
        <w:pStyle w:val="Heading2"/>
      </w:pPr>
      <w:r>
        <w:t>Des Weiteren müssen gerechte Arbeitsbedingungen für Ukrainerinnen und Ukrainer geschaffen werden, und zwar sowohl in der EU als auch in der Ukraine. Von den Mitgliedstaaten wird erwartet, gegen Ausbeutung und Ungleichbehandlung von Ukrainern in der Arbeitswelt vorzugehen, während von der ukrainischen Regierung erwartet wird, im Dialog mit den Sozialpartnern wieder günstige Bedingungen für Arbeitnehmer und gewerkschaftliche Aktivitäten zu schaffen.</w:t>
      </w:r>
    </w:p>
    <w:p w14:paraId="33A18981" w14:textId="5724E457" w:rsidR="00747364" w:rsidRDefault="00747364"/>
    <w:p w14:paraId="11B66F1A" w14:textId="6DFC4C23" w:rsidR="00747364" w:rsidRDefault="00844F27">
      <w:pPr>
        <w:pStyle w:val="Heading2"/>
      </w:pPr>
      <w:r>
        <w:t>Es ist wichtig, dass die Ukrainerinnen und Ukrainer am Erwerbsleben teilnehmen. Der EWSA spricht sich daher für Maßnahmen aus, die die Menschen in Arbeit bringen, insbesondere durch den Abbau administrativer Hindernisse, wobei der Schutz besonders schutzbedürftiger Personen, die aus Gründen, auf die sie keinen Einfluss haben, keine Beschäftigung aufnehmen können, gewährleistet sein muss.</w:t>
      </w:r>
    </w:p>
    <w:p w14:paraId="5B3BE5DA" w14:textId="678AED29" w:rsidR="00747364" w:rsidRDefault="00747364"/>
    <w:p w14:paraId="4CBB748D" w14:textId="33B6889A" w:rsidR="00747364" w:rsidRDefault="00844F27">
      <w:pPr>
        <w:pStyle w:val="Heading1"/>
        <w:keepNext/>
        <w:keepLines/>
        <w:rPr>
          <w:b/>
          <w:bCs/>
        </w:rPr>
      </w:pPr>
      <w:r>
        <w:rPr>
          <w:b/>
        </w:rPr>
        <w:t>Hintergrund der Stellungnahme und der erörterten Kommissionsmitteilung</w:t>
      </w:r>
    </w:p>
    <w:p w14:paraId="6AE9A1BF" w14:textId="7DC0601C" w:rsidR="00747364" w:rsidRDefault="00747364">
      <w:pPr>
        <w:keepNext/>
        <w:keepLines/>
      </w:pPr>
    </w:p>
    <w:p w14:paraId="4D955813" w14:textId="58633267" w:rsidR="00747364" w:rsidRDefault="00844F27">
      <w:pPr>
        <w:pStyle w:val="Heading2"/>
      </w:pPr>
      <w:r>
        <w:t>Die ungerechtfertigte und rechtswidrige groß angelegte militärische Aggression Russlands gegen die Ukraine im Jahr 2022 hat zu einem beispiellosen Zustrom von Menschen aus der Ukraine in die EU geführt. Der EWSA hat diesen Angriffskrieg von Anfang an entschieden verurteilt und fordert Russland weiter auf, sich aus der Ukraine zurückzuziehen und die territoriale Integrität des Landes anzuerkennen.</w:t>
      </w:r>
    </w:p>
    <w:p w14:paraId="7560B2FB" w14:textId="77777777" w:rsidR="00747364" w:rsidRDefault="00747364"/>
    <w:p w14:paraId="19BF3E79" w14:textId="4E50060E" w:rsidR="00747364" w:rsidRDefault="00844F27">
      <w:pPr>
        <w:pStyle w:val="Heading2"/>
      </w:pPr>
      <w:r>
        <w:t>Zunächst suchten die meisten vor der russischen Aggression fliehenden Menschen in Nachbarländern Schutz. Am 31. Mai 2025 hatten 4,28 Millionen Menschen, die aufgrund des russischen Angriffs aus der Ukraine geflohen waren, in der EU Zuflucht gefunden, und zwar hauptsächlich in Deutschland und Polen.</w:t>
      </w:r>
      <w:r>
        <w:rPr>
          <w:rStyle w:val="FootnoteReference"/>
        </w:rPr>
        <w:footnoteReference w:id="1"/>
      </w:r>
    </w:p>
    <w:p w14:paraId="38CEB068" w14:textId="77777777" w:rsidR="00747364" w:rsidRDefault="00747364"/>
    <w:p w14:paraId="6C524E9C" w14:textId="0FC43F6B" w:rsidR="00747364" w:rsidRDefault="00844F27">
      <w:pPr>
        <w:pStyle w:val="Heading2"/>
      </w:pPr>
      <w:r>
        <w:t>Erstmalig wurde der Mechanismus des vorübergehenden Schutzes ausgelöst, mit dem die Legalisierung des Aufenthalts ukrainischer Bürger in der EU erheblich vereinfacht werden konnte. Diese Maßnahme wurde vom EWSA begrüßt.</w:t>
      </w:r>
      <w:r>
        <w:rPr>
          <w:rStyle w:val="FootnoteReference"/>
        </w:rPr>
        <w:footnoteReference w:id="2"/>
      </w:r>
    </w:p>
    <w:p w14:paraId="2C9EA5CB" w14:textId="77777777" w:rsidR="00747364" w:rsidRDefault="00747364"/>
    <w:p w14:paraId="5D4B1E9B" w14:textId="40BA8F36" w:rsidR="00747364" w:rsidRDefault="00844F27">
      <w:pPr>
        <w:pStyle w:val="Heading2"/>
      </w:pPr>
      <w:r>
        <w:lastRenderedPageBreak/>
        <w:t>Der Mechanismus für vorübergehenden Schutz ist ein EU-Instrument, mit dem Vertriebenen, die nicht in ihr Herkunftsland zurückkehren können, sofortiger und kollektiver Schutz gewährt werden soll (d. h. ohne dass individuelle Anträge bearbeitet werden müssen). Mit diesem Mechanismus sollen ihnen EU-weit einheitliche Rechte gewährt werden. Neben Unterbringung, Gesundheitsversorgung und Sozialfürsorge stehen Beschäftigung und Bildung im Mittelpunkt der Rechte, die Vertriebene aus der Ukraine in der EU genießen.</w:t>
      </w:r>
      <w:r>
        <w:rPr>
          <w:rStyle w:val="FootnoteReference"/>
        </w:rPr>
        <w:footnoteReference w:id="3"/>
      </w:r>
    </w:p>
    <w:p w14:paraId="25E2138D" w14:textId="77777777" w:rsidR="00747364" w:rsidRDefault="00747364"/>
    <w:p w14:paraId="008E81F0" w14:textId="4F18DFF4" w:rsidR="00747364" w:rsidRDefault="00844F27">
      <w:pPr>
        <w:pStyle w:val="Heading2"/>
      </w:pPr>
      <w:r>
        <w:t>Der EWSA teilt die Auffassung der Kommission, dass die EU kontinuierlich ein gemeinsames Konzept verfolgen muss, damit die Aufteilung von Last und Verantwortung zwischen den Mitgliedstaaten ausgewogen und koordiniert bleibt. In ihrer Mitteilung kommt die Kommission zu dem Schluss, dass es notwendig ist, den vorübergehenden Schutz um ein weiteres Jahr zu verlängern und gleichzeitig Personen, die vorübergehenden Schutz genießen, eine stabilere und dauerhafte Perspektive zu bieten, auch durch Unterstützung der sicheren, freiwilligen und würdevollen Rückkehr in die Ukraine.</w:t>
      </w:r>
      <w:r>
        <w:rPr>
          <w:rStyle w:val="FootnoteReference"/>
        </w:rPr>
        <w:footnoteReference w:id="4"/>
      </w:r>
      <w:r>
        <w:t xml:space="preserve"> Der EWSA begrüßt diese Entscheidung.</w:t>
      </w:r>
    </w:p>
    <w:p w14:paraId="327B7BC7" w14:textId="77777777" w:rsidR="00747364" w:rsidRDefault="00747364"/>
    <w:p w14:paraId="399D1E76" w14:textId="47ED4ABD" w:rsidR="00747364" w:rsidRDefault="00844F27">
      <w:pPr>
        <w:pStyle w:val="Heading2"/>
      </w:pPr>
      <w:r>
        <w:t>Der EWSA möchte ferner darauf hinweisen, dass die Organisationen der Zivilgesellschaft und er selbst eine wichtige Rolle gespielt haben, als der Zustrom aus der Ukraine am größten war, ebenso wie später, als Maßnahmen zur Integration der Ukrainerinnen und Ukrainer umgesetzt werden mussten. Die Unionsbürgerinnen und -bürger sowie die Organisationen in der EU verdienen größte Anerkennung für ihre Solidarität und Gastfreundschaft, mit denen sie einen wertvollen Beitrag zur Zukunft der EU und zur gemeinsamen Zukunft der Ukraine in der EU geleistet haben.</w:t>
      </w:r>
    </w:p>
    <w:p w14:paraId="4D8EF593" w14:textId="77777777" w:rsidR="00747364" w:rsidRDefault="00747364"/>
    <w:p w14:paraId="6CD99579" w14:textId="38CD20FD" w:rsidR="00747364" w:rsidRDefault="00844F27">
      <w:pPr>
        <w:pStyle w:val="Heading2"/>
      </w:pPr>
      <w:r>
        <w:t>Weitere Anstrengungen zur Unterstützung der Ukraine und ihrer Bürgerinnen und Bürger müssen im Rahmen einer solidarischen Zusammenarbeit und Koordinierung zwischen allen EU</w:t>
      </w:r>
      <w:r w:rsidR="004D7603">
        <w:noBreakHyphen/>
      </w:r>
      <w:r>
        <w:t>Mitgliedstaaten und ihren Institutionen unternommen werden. Dies ist eine Aufgabe, die nicht nur den östlichen Teil der EU betrifft.</w:t>
      </w:r>
    </w:p>
    <w:p w14:paraId="247E717C" w14:textId="77777777" w:rsidR="00747364" w:rsidRDefault="00747364"/>
    <w:p w14:paraId="0DC3E738" w14:textId="0CF01365" w:rsidR="00747364" w:rsidRDefault="00844F27">
      <w:pPr>
        <w:pStyle w:val="Heading1"/>
        <w:keepNext/>
        <w:keepLines/>
        <w:rPr>
          <w:b/>
        </w:rPr>
      </w:pPr>
      <w:r>
        <w:rPr>
          <w:b/>
        </w:rPr>
        <w:t>Allgemeine Bemerkungen</w:t>
      </w:r>
    </w:p>
    <w:p w14:paraId="7124B632" w14:textId="161BA7CF" w:rsidR="00747364" w:rsidRDefault="00747364">
      <w:pPr>
        <w:keepNext/>
        <w:keepLines/>
      </w:pPr>
    </w:p>
    <w:p w14:paraId="5737FBB7" w14:textId="3E5914C1" w:rsidR="00747364" w:rsidRDefault="00844F27">
      <w:pPr>
        <w:keepNext/>
        <w:keepLines/>
        <w:rPr>
          <w:b/>
          <w:bCs/>
        </w:rPr>
      </w:pPr>
      <w:r>
        <w:rPr>
          <w:b/>
        </w:rPr>
        <w:t>Vorübergehender Schutz und langfristige Vision für den Aufenthalt in der EU</w:t>
      </w:r>
    </w:p>
    <w:p w14:paraId="5B3BE5DC" w14:textId="77777777" w:rsidR="00747364" w:rsidRDefault="00747364">
      <w:pPr>
        <w:keepNext/>
        <w:keepLines/>
      </w:pPr>
    </w:p>
    <w:p w14:paraId="5B75AC27" w14:textId="120F03B1" w:rsidR="00747364" w:rsidRDefault="00844F27">
      <w:pPr>
        <w:pStyle w:val="Heading2"/>
      </w:pPr>
      <w:r>
        <w:t>Die meisten Ukrainerinnen und Ukrainer, die sich in der EU aufhalten, verlängern ihren Status im Rahmen des Mechanismus für vorübergehenden Schutz. In den nationalen Systemen konnten keine nennenswerten Bewegungen festgestellt werden. Das bedeutet, dass der Mechanismus des vorübergehenden Schutzes den legitimen Bedürfnissen nach wie vor angemessen entspricht. Gleichzeitig bedeutet dies allerdings auch, dass die Voraussetzungen für eine Rückkehr der ukrainischen Bevölkerung in ihre Heimat noch nicht gegeben sind. Die Hauptprobleme sind das Bedrohungsgefühl und die infolge des russischen Angriffs fehlende wirtschaftliche und soziale Infrastruktur. Die jüngsten russischen Angriffe könnten dazu führen, dass noch mehr Ukrainerinnen und Ukrainer vorübergehenden Schutz in der EU beantragen.</w:t>
      </w:r>
    </w:p>
    <w:p w14:paraId="42F3E6EA" w14:textId="77777777" w:rsidR="00747364" w:rsidRDefault="00747364"/>
    <w:p w14:paraId="5682B39E" w14:textId="2D4F2994" w:rsidR="00747364" w:rsidRDefault="00844F27">
      <w:pPr>
        <w:pStyle w:val="Heading2"/>
      </w:pPr>
      <w:r>
        <w:lastRenderedPageBreak/>
        <w:t>Der Mechanismus ist jedoch befristet und muss alljährlich verlängert werden. Dies führt zweifelsohne zu Unsicherheit bei den unter diesen Status fallenden Menschen und stellt gleichzeitig den Grundgedanken des Instruments als Mechanismus für einen begrenzten und kurzfristigen Ausnahmezustand in Frage. Das Fehlen einer klaren langfristigen Perspektive bzw. der Möglichkeit, ein Daueraufenthaltsrecht zu erhalten, kann sowohl bezüglich des Berufs- als auch des Privatlebens sowie im Hinblick auf die Integration oder eine Rückkehrentscheidung paralysierend wirken. Vorhersehbarkeit in Bezug auf den künftigen Status bewirkt das Gegenteil. Darüber hinaus kann ein von Land zu Land unterschiedlicher Umfang an Unterstützung stärkere Anreize für Sekundärmigration schaffen. Vor diesem Hintergrund begrüßt der EWSA die Empfehlung, dass die Mitgliedstaaten vermeiden sollten, ein und derselben Person vorübergehenden Schutz in verschiedenen Mitgliedstaaten zu gewähren.</w:t>
      </w:r>
    </w:p>
    <w:p w14:paraId="6A2C805D" w14:textId="77777777" w:rsidR="00747364" w:rsidRDefault="00747364"/>
    <w:p w14:paraId="3D5FD45D" w14:textId="73681728" w:rsidR="00747364" w:rsidRDefault="00844F27">
      <w:pPr>
        <w:pStyle w:val="Heading2"/>
      </w:pPr>
      <w:r>
        <w:t>Nun gilt es, einen europäischen Aktionsplan bzw. nationale Aktionspläne und Möglichkeiten zur Legalisierung des Aufenthalts nach Beendigung des vorübergehenden Schutzes zu entwickeln. Es sollte vermieden werden, dass eine Situation entsteht, in der der Schutz endet und plötzlich und unvermittelt neue Instrumente zum Tragen kommen, da dies die Behörden überfordern würde und dazu führen könnte, dass Vertriebene aus der Ukraine möglicherweise bestimmte formale Anforderungen nicht rechtzeitig erfüllen können.</w:t>
      </w:r>
    </w:p>
    <w:p w14:paraId="4C42215D" w14:textId="77777777" w:rsidR="00747364" w:rsidRDefault="00747364"/>
    <w:p w14:paraId="1C31E127" w14:textId="5F8D8A65" w:rsidR="00747364" w:rsidRDefault="00844F27">
      <w:pPr>
        <w:pStyle w:val="Heading2"/>
      </w:pPr>
      <w:r>
        <w:t>Ein wichtiges Thema bei der Planung der Rückkehrpolitik und der weiteren Aufenthaltslegalisierung ist die Finanzierung des Wiederaufbaus und geplanter Rückkehrinitiativen. Der EWSA unterstützt die Lösung, russische Vermögenswerte in der Europäischen Union zu diesem Zweck zu mobilisieren.</w:t>
      </w:r>
      <w:r>
        <w:rPr>
          <w:rStyle w:val="FootnoteReference"/>
        </w:rPr>
        <w:footnoteReference w:id="5"/>
      </w:r>
    </w:p>
    <w:p w14:paraId="6E32691D" w14:textId="77777777" w:rsidR="00747364" w:rsidRDefault="00747364"/>
    <w:p w14:paraId="40DC3DA4" w14:textId="013EDB75" w:rsidR="00747364" w:rsidRDefault="00844F27">
      <w:pPr>
        <w:pStyle w:val="Heading2"/>
      </w:pPr>
      <w:r>
        <w:t>Die derzeit in der Mitteilung bestehenden Lücken bezüglich einer klareren Zukunftsperspektive für besonders schutzbedürftige Gruppen wie Pflegebedürftige, ältere Menschen oder Menschen mit Behinderungen, die unabhängig davon, ob sie in ihren Familien oder alleine leben, keinen zusätzlichen Unsicherheiten ausgesetzt werden sollten, müssen angegangen werden.</w:t>
      </w:r>
    </w:p>
    <w:p w14:paraId="457D402A" w14:textId="77777777" w:rsidR="00747364" w:rsidRDefault="00747364"/>
    <w:p w14:paraId="66B9ECCC" w14:textId="22170FCC" w:rsidR="00747364" w:rsidRDefault="00844F27">
      <w:pPr>
        <w:keepNext/>
        <w:keepLines/>
      </w:pPr>
      <w:r>
        <w:rPr>
          <w:b/>
        </w:rPr>
        <w:t>Eine Herausforderung für die öffentlichen Dienste</w:t>
      </w:r>
    </w:p>
    <w:p w14:paraId="581E4FEB" w14:textId="77777777" w:rsidR="00747364" w:rsidRDefault="00747364">
      <w:pPr>
        <w:keepNext/>
        <w:keepLines/>
      </w:pPr>
    </w:p>
    <w:p w14:paraId="453C7DD2" w14:textId="6FA7E082" w:rsidR="00747364" w:rsidRDefault="00844F27">
      <w:pPr>
        <w:pStyle w:val="Heading2"/>
        <w:numPr>
          <w:ilvl w:val="1"/>
          <w:numId w:val="4"/>
        </w:numPr>
      </w:pPr>
      <w:r>
        <w:t>Der vorübergehende Schutz ist ein gemeinsamer Ansatz der EU, der sowohl für die Vertriebenen aus der Ukraine als auch für die Mitgliedstaaten Berechenbarkeit und Rechtssicherheit schaffen kann. Er blieb jedoch für die öffentlichen Dienste in vielen EU</w:t>
      </w:r>
      <w:r w:rsidR="004D7603">
        <w:noBreakHyphen/>
      </w:r>
      <w:r>
        <w:t>Mitgliedstaaten nicht folgenlos. Die bereits angespannten Wohnungsmärkte gerieten durch die notwendige Bereitstellung von Wohnraum noch mehr unter Druck. Ähnliches konnte in anderen wichtigen Bereichen wie Bildung und Gesundheit beobachtet werden.</w:t>
      </w:r>
    </w:p>
    <w:p w14:paraId="4BFDD75E" w14:textId="77777777" w:rsidR="00747364" w:rsidRDefault="00747364"/>
    <w:p w14:paraId="4E2160BD" w14:textId="385158DA" w:rsidR="00747364" w:rsidRDefault="00844F27">
      <w:pPr>
        <w:pStyle w:val="Heading2"/>
      </w:pPr>
      <w:r>
        <w:t>Dies ist für das gesellschaftliche Gefüge in den Aufnahmeländern nicht ohne Bedeutung.</w:t>
      </w:r>
      <w:r>
        <w:rPr>
          <w:rStyle w:val="FootnoteReference"/>
        </w:rPr>
        <w:footnoteReference w:id="6"/>
      </w:r>
      <w:r>
        <w:t xml:space="preserve"> Der EWSA spricht sich deshalb nachdrücklich für mehr Investitionen in hochwertige Dienstleistungen von allgemeinem Interesse und Wohnraum aus, die allen Menschen mit rechtmäßigem Aufenthalt in der EU gleichberechtigt zur Verfügung stehen sollten.</w:t>
      </w:r>
    </w:p>
    <w:p w14:paraId="487C8538" w14:textId="77777777" w:rsidR="00747364" w:rsidRDefault="00747364"/>
    <w:p w14:paraId="4C09FB49" w14:textId="32C2BEAD" w:rsidR="00747364" w:rsidRDefault="00844F27">
      <w:pPr>
        <w:pStyle w:val="Heading2"/>
      </w:pPr>
      <w:r>
        <w:t>Weitere Anstrengungen zur Unterstützung der vertriebenen Ukrainerinnen und Ukrainer und ihrer Integration sollten finanzielle Hilfen für die am stärksten betroffenen Länder umfassen. Die bisher geleistete Unterstützung war zumeist darauf beschränkt, bestehende Mittel umzuschichten und mehr Flexibilität bei der Auszahlung von EU-Mitteln zu gewähren. Dies steht im Widerspruch zum Grundsatz der Solidarität in Europa.</w:t>
      </w:r>
    </w:p>
    <w:p w14:paraId="73BA5604" w14:textId="77777777" w:rsidR="00747364" w:rsidRDefault="00747364"/>
    <w:p w14:paraId="76149F62" w14:textId="2AC6CCC1" w:rsidR="00747364" w:rsidRDefault="00844F27">
      <w:pPr>
        <w:pStyle w:val="Heading2"/>
        <w:keepNext/>
        <w:keepLines/>
        <w:numPr>
          <w:ilvl w:val="0"/>
          <w:numId w:val="0"/>
        </w:numPr>
        <w:rPr>
          <w:b/>
          <w:bCs/>
        </w:rPr>
      </w:pPr>
      <w:r>
        <w:rPr>
          <w:b/>
        </w:rPr>
        <w:t>Die Bedeutung der Organisationen der Zivilgesellschaft und der Sozialpartner</w:t>
      </w:r>
    </w:p>
    <w:p w14:paraId="75A11FF7" w14:textId="77777777" w:rsidR="00747364" w:rsidRDefault="00747364">
      <w:pPr>
        <w:keepNext/>
        <w:keepLines/>
      </w:pPr>
    </w:p>
    <w:p w14:paraId="10DCF569" w14:textId="27A9E194" w:rsidR="00747364" w:rsidRDefault="00844F27">
      <w:pPr>
        <w:pStyle w:val="Heading2"/>
      </w:pPr>
      <w:r>
        <w:t>Der EWSA fordert, weiterhin Unterstützung für Organisationen der Zivilgesellschaft und der Sozialpartner in der Ukraine bereitzustellen. Ihre Arbeit vor Ort auf lokaler Ebene ist äußerst wichtig und eine erhebliche Unterstützung für die von den Behörden ergriffenen Maßnahmen.</w:t>
      </w:r>
    </w:p>
    <w:p w14:paraId="1D25E006" w14:textId="77777777" w:rsidR="00747364" w:rsidRDefault="00747364"/>
    <w:p w14:paraId="213B92F1" w14:textId="017512A5" w:rsidR="00747364" w:rsidRDefault="00844F27">
      <w:pPr>
        <w:pStyle w:val="Heading2"/>
      </w:pPr>
      <w:r>
        <w:t>Die Erfahrung und der Sachverstand der zivilgesellschaftlichen Organisationen sind sehr wertvoll. Nach Auffassung des EWSA sollten daher bei der Einrichtung konkreter Gremien wie der vorgeschlagenen Solidaritätsplattform „Ukraine“ Vertreter solcher Organisationen in die Arbeit einbezogen werden. Der EWSA ist bereit, sich an entsprechenden Arbeiten auf EU</w:t>
      </w:r>
      <w:r w:rsidR="004D7603">
        <w:noBreakHyphen/>
      </w:r>
      <w:r>
        <w:t>Ebene zu beteiligen. Zivilgesellschaftliche Initiativen werden – ähnlich wie bei früheren Beitritten neuer Mitgliedstaaten – dazu beitragen, den Prozess des Beitritts der Ukraine zur EU zu erleichtern.</w:t>
      </w:r>
    </w:p>
    <w:p w14:paraId="7BBBAC78" w14:textId="77777777" w:rsidR="00747364" w:rsidRDefault="00747364"/>
    <w:p w14:paraId="7A73E2D5" w14:textId="4699E745" w:rsidR="00747364" w:rsidRDefault="00844F27">
      <w:pPr>
        <w:pStyle w:val="Heading2"/>
      </w:pPr>
      <w:r>
        <w:t>Die Mitwirkung von Ukrainerinnen und Ukrainern in zivilgesellschaftlichen Organisationen und lokalen Initiativen (u. a. über die Mitgliedschaft in Verbänden und Gewerkschaften) begünstigt die Integration in den Mitgliedstaaten. Außerdem schafft sie positive Voraussetzungen für eine Rückkehr in die Ukraine, und es können Kontakte zu den Gemeinschaften geknüpft werden, die die Menschen aufgenommen haben. Darüber hinaus tragen gesellschaftliche Aktivitäten von vertriebenen Ukrainerinnen und Ukrainern dazu bei, Vertrauen zwischen ihnen und den örtlichen Gemeinschaften, in denen sie tagtäglich leben, aufzubauen, und müssen daher auf allen Ebenen, auch im Rahmen der Beteiligung an EU-Netzwerken, unterstützt werden. Die lokalen Behörden sollten bei der Erleichterung solcher Initiativen nachdrücklich unterstützt werden.</w:t>
      </w:r>
    </w:p>
    <w:p w14:paraId="0FB90F9C" w14:textId="5AB8D7C7" w:rsidR="00747364" w:rsidRDefault="00747364"/>
    <w:p w14:paraId="409ACCE2" w14:textId="43BE04A8" w:rsidR="00747364" w:rsidRDefault="00844F27">
      <w:pPr>
        <w:pStyle w:val="Heading2"/>
      </w:pPr>
      <w:r>
        <w:t>Der EWSA begrüßt die Verweise auf das Instrument zur Förderung der Teilhabe junger Menschen und fordert, dieses Instrument auch auf die Unterstützung zivilgesellschaftlicher Jugendorganisationen auszuweiten, die u. a. im Bereich der Förderung der Beteiligung junger Menschen an Entscheidungsprozessen und der Entwicklung junger Menschen zu aktiven Bürgerinnen und Bürgern tätig sind. Auch ukrainische Jugendorganisationen sollten beim Wiederaufbau nach dem Krieg eine wichtige Rolle spielen und von der dafür bereitgestellten Unterstützung profitieren.</w:t>
      </w:r>
    </w:p>
    <w:p w14:paraId="6BC57ADE" w14:textId="12078EB0" w:rsidR="00747364" w:rsidRDefault="00747364"/>
    <w:p w14:paraId="06E60330" w14:textId="77777777" w:rsidR="00747364" w:rsidRDefault="00844F27">
      <w:pPr>
        <w:keepNext/>
        <w:keepLines/>
        <w:rPr>
          <w:b/>
          <w:bCs/>
        </w:rPr>
      </w:pPr>
      <w:r>
        <w:rPr>
          <w:b/>
        </w:rPr>
        <w:t>Wirtschaftstätigkeit und Arbeitnehmerrechte in der Ukraine</w:t>
      </w:r>
    </w:p>
    <w:p w14:paraId="46F9A91D" w14:textId="77777777" w:rsidR="00747364" w:rsidRDefault="00747364">
      <w:pPr>
        <w:keepNext/>
        <w:keepLines/>
      </w:pPr>
    </w:p>
    <w:p w14:paraId="7ABD1AE7" w14:textId="5797C002" w:rsidR="00747364" w:rsidRDefault="00844F27">
      <w:pPr>
        <w:pStyle w:val="Heading2"/>
      </w:pPr>
      <w:r>
        <w:t>Der EWSA erkennt den Beitrag der Ukrainerinnen und Ukrainer zur Wirtschaft und zu den öffentlichen Finanzen in Europa an. In den am stärksten betroffenen Ländern ist zu beobachten, dass die wirtschaftlichen Vorteile, die sich aus ihrer Integration ergeben, die ursprünglichen öffentlichen Ausgaben für Aufnahme und Unterstützung vollständig ausgleichen können.</w:t>
      </w:r>
    </w:p>
    <w:p w14:paraId="464065B8" w14:textId="77777777" w:rsidR="00747364" w:rsidRDefault="00747364">
      <w:pPr>
        <w:pStyle w:val="Heading2"/>
        <w:numPr>
          <w:ilvl w:val="0"/>
          <w:numId w:val="0"/>
        </w:numPr>
      </w:pPr>
    </w:p>
    <w:p w14:paraId="43D3DD2E" w14:textId="0299B6B0" w:rsidR="00747364" w:rsidRDefault="00844F27">
      <w:pPr>
        <w:pStyle w:val="Heading2"/>
      </w:pPr>
      <w:r>
        <w:t>Festzustellen ist, dass sich die Wirtschaftstätigkeit der Vertriebenen aus der Ukraine zwar insgesamt positiv auf die Wirtschaft, auf die Systeme der sozialen Sicherheit und insbesondere auf die demografische Lage in der EU ausgewirkt hat, die Integration in den Arbeitsmarkt in einigen Mitgliedstaaten jedoch unter Umständen durch bürokratische Anforderungen erschwert wird. Es sollten Anstrengungen unternommen werden, um die Erwerbstätigkeit der Menschen aus der Ukraine zu unterstützen, jedoch unter Berücksichtigung der Lage der besonders schutzbedürftigen Gruppen wie Alleinerziehende, ältere Menschen und arbeitsunfähige Personen.</w:t>
      </w:r>
    </w:p>
    <w:p w14:paraId="3341CAF0" w14:textId="7E132589" w:rsidR="00747364" w:rsidRDefault="00747364"/>
    <w:p w14:paraId="001A033E" w14:textId="6375C416" w:rsidR="00747364" w:rsidRDefault="00844F27">
      <w:pPr>
        <w:pStyle w:val="Heading2"/>
      </w:pPr>
      <w:r>
        <w:t>Der EWSA stellt fest, dass sich immer mehr Ukrainerinnen und Ukrainer dafür entscheiden, Unternehmen in den EU-Mitgliedstaaten zu gründen. Diese positive Entwicklung sollte durch Hilfestellung bei der Unternehmensregistrierung Zugang zu Finanzierung sowie Schulungen und Beratungsdienste aktiv unterstützt und erleichtert werden. Die Stärkung der Handels- und Wirtschaftsbeziehungen zwischen der Ukraine und den EU-Mitgliedstaaten fördert nicht nur das gegenseitige Wirtschaftswachstum, sondern schafft auch die Grundlage für die Erholung und den Wiederaufbau der Ukraine nach dem Krieg. Diesbezüglich spricht sich der EWSA dafür aus, dass die EU weiterhin Initiativen zur Förderung der grenzübergreifenden Zusammenarbeit unterstützt.</w:t>
      </w:r>
    </w:p>
    <w:p w14:paraId="1F8DBEE2" w14:textId="77777777" w:rsidR="00747364" w:rsidRDefault="00747364">
      <w:pPr>
        <w:pStyle w:val="Heading2"/>
        <w:numPr>
          <w:ilvl w:val="0"/>
          <w:numId w:val="0"/>
        </w:numPr>
      </w:pPr>
    </w:p>
    <w:p w14:paraId="4A98C5C6" w14:textId="37F05CC1" w:rsidR="00747364" w:rsidRDefault="00844F27">
      <w:pPr>
        <w:pStyle w:val="Heading2"/>
      </w:pPr>
      <w:r>
        <w:t>Der EWSA verurteilt jedweden Versuch, die Situation der Vertriebenen aus der Ukraine durch Ausbeutung, Missbrauch und Umgehung des geltenden Arbeitsrechts auszunutzen. Die Mitgliedstaaten werden aufgefordert, ihre Kontrollmaßnahmen zu verstärken und die Rechtsvorschriften zum Schutz der Arbeitnehmer ordnungsgemäß durchzusetzen. Erfolgreiche Initiativen, mit denen sichergestellt werden soll, dass die Ukrainerinnen und Ukrainer in der EU über ihre Rechte und Pflichten als Arbeitnehmer in den verschiedenen EU-Ländern informiert sind, sollten fortgesetzt werden. Zu diesem Zweck wäre es sinnvoll, ukrainische Bürgerinnen und Bürger mit Wohnsitz in der EU zum Beitritt zu Gewerkschaften zu ermutigen.</w:t>
      </w:r>
    </w:p>
    <w:p w14:paraId="3D84B212" w14:textId="0F20F184" w:rsidR="00747364" w:rsidRDefault="00747364"/>
    <w:p w14:paraId="048CB85F" w14:textId="573EE3A7" w:rsidR="00747364" w:rsidRDefault="00844F27">
      <w:pPr>
        <w:numPr>
          <w:ilvl w:val="1"/>
          <w:numId w:val="1"/>
        </w:numPr>
        <w:ind w:left="567" w:hanging="567"/>
      </w:pPr>
      <w:r>
        <w:t>Das Erlernen der Sprache des Aufnahmelandes ist ein Schlüsselfaktor für gesellschaftliche Teilhabe, erfolgreiche Integration und vieles mehr. Auch wenn der vorübergehende Schutz als Notfallinstrument gedacht ist, darf dies nicht als Rechtfertigung dafür dienen, die Entwicklung der Sprachkompetenzen der Ukrainerinnen und Ukrainer in der EU hintanzustellen. Der EWSA fordert die Europäische Kommission und die Regierungen der Mitgliedstaaten auf, Programme zum Erlernen der Sprachen der jeweiligen Aufnahmeländer bereitzustellen.</w:t>
      </w:r>
    </w:p>
    <w:p w14:paraId="2589D0E8" w14:textId="77777777" w:rsidR="00747364" w:rsidRDefault="00747364">
      <w:pPr>
        <w:ind w:left="567" w:hanging="567"/>
      </w:pPr>
    </w:p>
    <w:p w14:paraId="33201731" w14:textId="2351E5F1" w:rsidR="00747364" w:rsidRDefault="00844F27">
      <w:pPr>
        <w:numPr>
          <w:ilvl w:val="1"/>
          <w:numId w:val="1"/>
        </w:numPr>
        <w:ind w:left="567" w:hanging="567"/>
      </w:pPr>
      <w:r>
        <w:t>Ferner weist der EWSA darauf hin, dass die Ukrainerinnen und Ukrainer in der EU vielfach Arbeit leisten, die unter ihren Kompetenzen und formalen Qualifikationen liegt. Es ist jedoch wichtig, dass diese Kompetenzen und Qualifikationen nicht verloren gehen. Der EWSA schlägt daher Programme vor, in deren Rahmen die öffentlichen Arbeitsverwaltungen – mit Unterstützung der Organisationen der Zivilgesellschaft und der Sozialpartner – Menschen, die sich rechtmäßig in der EU aufhalten, Weiterbildungsmöglichkeiten bieten.</w:t>
      </w:r>
    </w:p>
    <w:p w14:paraId="0DE44EDD" w14:textId="77777777" w:rsidR="00747364" w:rsidRDefault="00747364">
      <w:pPr>
        <w:pStyle w:val="Heading2"/>
        <w:numPr>
          <w:ilvl w:val="0"/>
          <w:numId w:val="0"/>
        </w:numPr>
      </w:pPr>
    </w:p>
    <w:p w14:paraId="0AB23CBF" w14:textId="04415644" w:rsidR="00747364" w:rsidRDefault="00844F27">
      <w:pPr>
        <w:pStyle w:val="Heading2"/>
      </w:pPr>
      <w:r>
        <w:t>Eine rasche und wirksame gegenseitige Anerkennung von Qualifikationen durch die EU</w:t>
      </w:r>
      <w:r w:rsidR="004D7603">
        <w:noBreakHyphen/>
      </w:r>
      <w:r>
        <w:t xml:space="preserve">Mitgliedstaaten und die Ukraine ist ein wichtiger Aspekt für die Unterstützung der Ukrainerinnen und Ukrainern auf dem EU-Arbeitsmarkt sowie jener, die in ihr Land </w:t>
      </w:r>
      <w:r>
        <w:lastRenderedPageBreak/>
        <w:t>zurückkehren und auf dem dortigen Arbeitsmarkt Fuß fassen wollen. In diesem Zusammenhang begrüßt der EWSA, dass das Ministerkabinett der Ukraine am 25. Juni 2025 Vorschriften über die Anerkennung von im Ausland erzielten Lernergebnissen verabschiedet hat. Auch die Aktualisierung bestehender Fähigkeiten und Kenntnisse ist wichtig. Hier könnte u. a. ein intensiver Austausch von Erfahrungen und bewährten Verfahren zwischen den öffentlichen Arbeitsverwaltungen der Mitgliedstaaten und der Ukraine mit Unterstützung der EU hilfreich sein.</w:t>
      </w:r>
    </w:p>
    <w:p w14:paraId="2A124E41" w14:textId="77777777" w:rsidR="00747364" w:rsidRDefault="00747364">
      <w:pPr>
        <w:pStyle w:val="Heading2"/>
        <w:numPr>
          <w:ilvl w:val="0"/>
          <w:numId w:val="0"/>
        </w:numPr>
      </w:pPr>
    </w:p>
    <w:p w14:paraId="01791C45" w14:textId="6B9ED1F0" w:rsidR="00747364" w:rsidRDefault="00844F27">
      <w:pPr>
        <w:pStyle w:val="Heading2"/>
      </w:pPr>
      <w:r>
        <w:t>Im Zusammenhang mit der Strategie der Europäischen Kommission für die Rückkehr in die Ukraine ist es wichtig, die jüngsten negativen Entwicklungen des Landes im Bereich des Arbeitsrechts und ihre Auswirkungen auf die Angleichung an internationale und EU-Standards zu berücksichtigen. Bestimmte, in Kriegszeiten eingeführte Maßnahmen tragen den Verteidigungsbedürfnissen Rechnung. Indes sollte besonders darauf geachtet werden, dass die Arbeitsmarktpolitik der Ukraine weiterhin mit dem sozialen Besitzstand der EU und dem Assoziierungsabkommen zwischen der EU und der Ukraine im Einklang steht. Daher begrüßt der EWSA den Abschluss der dreiseitigen Vereinbarung zur Arbeitsmarktreform und die laufenden Bemühungen um ein neues Arbeitsrecht, mit dem die ukrainischen Rechtsvorschriften den international anerkannten Arbeitsnormen angenähert werden sollen. Er würdigt außerdem die finanzielle und technische Unterstützung der Internationalen Arbeitsorganisation und der EU zur Unterstützung dieser Reformen. Darüber hinaus sollten sowohl die Ukraine als auch die EU weiterhin zusammenarbeiten, um die Integration der in die Ukraine zurückkehrenden Menschen in den Arbeitsmarkt zu erleichtern und so zur Förderung von Stabilität und einer nachhaltigen wirtschaftlichen Erholung beizutragen.</w:t>
      </w:r>
    </w:p>
    <w:p w14:paraId="006230F5" w14:textId="77777777" w:rsidR="00747364" w:rsidRDefault="00747364"/>
    <w:p w14:paraId="581FEA73" w14:textId="36AF5BD1" w:rsidR="00747364" w:rsidRDefault="00844F27">
      <w:pPr>
        <w:keepNext/>
        <w:keepLines/>
        <w:rPr>
          <w:b/>
          <w:bCs/>
        </w:rPr>
      </w:pPr>
      <w:r>
        <w:rPr>
          <w:b/>
        </w:rPr>
        <w:t>Bildung</w:t>
      </w:r>
    </w:p>
    <w:p w14:paraId="1A659C4A" w14:textId="77777777" w:rsidR="00747364" w:rsidRDefault="00747364">
      <w:pPr>
        <w:keepNext/>
        <w:keepLines/>
      </w:pPr>
    </w:p>
    <w:p w14:paraId="0A53638B" w14:textId="17EF1702" w:rsidR="00747364" w:rsidRDefault="00844F27">
      <w:pPr>
        <w:pStyle w:val="Heading2"/>
      </w:pPr>
      <w:r>
        <w:t>Die Eingliederung der Kinder von Menschen aus der Ukraine in die Bildungssysteme der Mitgliedstaaten ist ein wichtiger Integrationsfaktor und wirkt sich positiv auf die künftigen Bildungs- und Berufswege dieser Kinder und Jugendlichen aus. Zudem entstehen dadurch Verbindungen zu den örtlichen Gemeinwesen in den Aufnahmeländern. In diesem Zusammenhang müssen Programme zur sozialen und schulischen Integration ukrainischer Kinder auf verschiedenen Ebenen der Vorschul- und Schulbildung in den EU-Mitgliedstaaten unterstützt werden. Diesbezüglich teilt der EWSA die Auffassung der Europäischen Kommission, dass eine Rückkehr in die Ukraine die Bildung der Kinder nicht beeinträchtigen sollte. Es muss sichergestellt werden, dass Kinder, die eine Schule besuchen, das Schuljahr in einem stabilen Umfeld gemeinsam mit ihren Familien abschließen können.</w:t>
      </w:r>
    </w:p>
    <w:p w14:paraId="6CA05501" w14:textId="2A6A67B3" w:rsidR="00747364" w:rsidRDefault="00747364"/>
    <w:p w14:paraId="4F191578" w14:textId="2DC8F94C" w:rsidR="00747364" w:rsidRDefault="00844F27">
      <w:pPr>
        <w:pStyle w:val="Heading2"/>
      </w:pPr>
      <w:r>
        <w:t>Wichtig ist auch, Initiativen zur Förderung der ukrainischen Kultur und Sprache sowohl in der ukrainischen Gemeinschaft als auch in den Aufnahmegesellschaften zu unterstützen. Durch solche sozialen Maßnahmen wird auch die Gefahr einer Entfremdung der Einwanderer von der Ukraine gemindert. Zudem verfügen die Ukrainerinnen und Ukrainer in der EU möglicherweise über Kenntnisse darüber, wie man sein Leben im Kriegsalltag organisieren kann. Dies könnte von unschätzbarem Wert sein, um die europäische Abwehrbereitschaft im Falle einer Bedrohung zu verbessern, aber auch im Hinblick auf elektronisches Lernen und den Fernunterricht.</w:t>
      </w:r>
    </w:p>
    <w:p w14:paraId="09E4598A" w14:textId="4C40B274" w:rsidR="00747364" w:rsidRDefault="00747364"/>
    <w:p w14:paraId="690AEE38" w14:textId="0F25B5E7" w:rsidR="00747364" w:rsidRDefault="00844F27">
      <w:pPr>
        <w:keepNext/>
        <w:keepLines/>
        <w:rPr>
          <w:b/>
          <w:bCs/>
        </w:rPr>
      </w:pPr>
      <w:r>
        <w:rPr>
          <w:b/>
        </w:rPr>
        <w:lastRenderedPageBreak/>
        <w:t>Wechselseitige Beziehungen – soziale Herausforderungen</w:t>
      </w:r>
    </w:p>
    <w:p w14:paraId="20CDAEEA" w14:textId="265CC9A9" w:rsidR="00747364" w:rsidRDefault="00747364">
      <w:pPr>
        <w:keepNext/>
        <w:keepLines/>
      </w:pPr>
    </w:p>
    <w:p w14:paraId="3997AB7A" w14:textId="4337492E" w:rsidR="00747364" w:rsidRDefault="00844F27">
      <w:pPr>
        <w:pStyle w:val="Heading2"/>
      </w:pPr>
      <w:r>
        <w:t>Trotz der Bemühungen, die Korruption zurückzudrängen, stellt diese in der Ukraine nach wie vor ein Problem dar.</w:t>
      </w:r>
      <w:r>
        <w:rPr>
          <w:rStyle w:val="FootnoteReference"/>
        </w:rPr>
        <w:footnoteReference w:id="7"/>
      </w:r>
      <w:r>
        <w:t xml:space="preserve"> Das System transparenter zur machen, bleibt eine Herausforderung, was durch die Ereignisse der letzten Monate unterstrichen wird. Im Kontext der Rückkehrpolitik kann dies erhebliche soziale Probleme aufwerfen. Die Rücknahme der im Juli 2025 vorgeschlagenen nachteiligen Änderungen ist ein positives Zeichen.</w:t>
      </w:r>
    </w:p>
    <w:p w14:paraId="3AFF3098" w14:textId="77777777" w:rsidR="00747364" w:rsidRPr="004E5C34" w:rsidRDefault="00747364">
      <w:pPr>
        <w:rPr>
          <w:lang w:val="en-GB"/>
        </w:rPr>
      </w:pPr>
    </w:p>
    <w:p w14:paraId="63E60CEC" w14:textId="6722F7D6" w:rsidR="00747364" w:rsidRDefault="00844F27">
      <w:pPr>
        <w:pStyle w:val="Heading2"/>
      </w:pPr>
      <w:r>
        <w:t>Ein weiterer wichtiger Aspekt in Bezug auf die öffentliche Wahrnehmung in einigen EU</w:t>
      </w:r>
      <w:r w:rsidR="004D7603">
        <w:noBreakHyphen/>
      </w:r>
      <w:r>
        <w:t>Mitgliedstaaten sind diejenigen ukrainischen Bürgerinnen und Bürger, die sich dem Militärdienst – auch illegal – durch Auswanderung entziehen.</w:t>
      </w:r>
      <w:r>
        <w:rPr>
          <w:rStyle w:val="FootnoteReference"/>
        </w:rPr>
        <w:footnoteReference w:id="8"/>
      </w:r>
      <w:r>
        <w:t xml:space="preserve"> Die Frage der Umgehung des Militärdienstes hat in einigen Mitgliedstaaten öffentliche Bedenken ausgelöst. Um hier für Abhilfe zu sorgen, ist eine Zusammenarbeit zwischen den ukrainischen Behörden und den EU</w:t>
      </w:r>
      <w:r w:rsidR="004D7603">
        <w:noBreakHyphen/>
      </w:r>
      <w:r>
        <w:t>Mitgliedstaaten erforderlich.</w:t>
      </w:r>
    </w:p>
    <w:p w14:paraId="15407F01" w14:textId="77777777" w:rsidR="00747364" w:rsidRDefault="00747364">
      <w:pPr>
        <w:pStyle w:val="Heading2"/>
        <w:numPr>
          <w:ilvl w:val="0"/>
          <w:numId w:val="0"/>
        </w:numPr>
      </w:pPr>
    </w:p>
    <w:p w14:paraId="3FA019C7" w14:textId="2B2A9FC8" w:rsidR="00747364" w:rsidRDefault="00844F27">
      <w:pPr>
        <w:pStyle w:val="Heading2"/>
      </w:pPr>
      <w:r>
        <w:t>Ein weiteres Problem der Vertriebenen aus der Ukraine ist die zunehmende Angst der Bevölkerung in einigen Mitgliedstaaten vor einer starken Zuwanderung. Deshalb müssen die Anstrengungen zur Bekämpfung von Desinformation über Ukrainerinnen und Ukrainer in der EU verstärkt werden, unter anderem durch die Finanzierung von Projekten zivilgesellschaftlicher Organisationen zur Beobachtung von und Reaktion auf Falschmeldungen sowie durch Bildungs- und Informationsmaßnahmen.</w:t>
      </w:r>
    </w:p>
    <w:p w14:paraId="16248344" w14:textId="77777777" w:rsidR="00747364" w:rsidRDefault="00747364"/>
    <w:p w14:paraId="104DDD9D" w14:textId="3112B9B2" w:rsidR="00747364" w:rsidRDefault="00844F27">
      <w:pPr>
        <w:pStyle w:val="Heading2"/>
      </w:pPr>
      <w:r>
        <w:t>Ferner sollte die an ukrainische Migranten gerichtete Informationskampagne, mit der vor einer Anwerbung für russische Sabotage- und Spionageaktivitäten gewarnt wird, intensiviert werden. Mithilfe entsprechender Kampagnen, auch über die sozialen Medien, sollten die Menschen vor Angeboten, sich schnell „leichtes“ Geld zu verdienen, gewarnt werden. Dabei sollten auch die rechtlichen Folgen hervorgehoben und aufgedeckt werden, mit welchen Mitteln Russland versucht, Migranten auszubeuten, um Gesellschaften zu destabilisieren und soziale Spannungen aufgrund von Migrationsängsten zu schüren.</w:t>
      </w:r>
    </w:p>
    <w:p w14:paraId="04659FD1" w14:textId="36ED4318" w:rsidR="00747364" w:rsidRDefault="00747364"/>
    <w:p w14:paraId="701F2D06" w14:textId="3B9D0A4E" w:rsidR="00747364" w:rsidRDefault="00844F27">
      <w:pPr>
        <w:pStyle w:val="Heading1"/>
        <w:keepNext/>
        <w:keepLines/>
      </w:pPr>
      <w:r>
        <w:rPr>
          <w:b/>
        </w:rPr>
        <w:t>Besondere Bemerkungen</w:t>
      </w:r>
    </w:p>
    <w:p w14:paraId="4D162544" w14:textId="77777777" w:rsidR="00747364" w:rsidRDefault="00747364">
      <w:pPr>
        <w:pStyle w:val="Heading2"/>
        <w:keepNext/>
        <w:keepLines/>
        <w:numPr>
          <w:ilvl w:val="0"/>
          <w:numId w:val="0"/>
        </w:numPr>
      </w:pPr>
    </w:p>
    <w:p w14:paraId="1ECC24F4" w14:textId="267CBE5D" w:rsidR="00747364" w:rsidRDefault="00844F27">
      <w:pPr>
        <w:pStyle w:val="Heading2"/>
      </w:pPr>
      <w:r>
        <w:t>Der EWSA begrüßt die Entscheidung zur Abschaffung von Roaming-Gebühren für Anrufe zwischen der EU und der Ukraine ab dem 1. Januar 2026 sowie die Unterstützung der Kommission für die Bemühungen der Ukraine im Hinblick auf ihren Beitritt zum einheitlichen Euro-Zahlungsverkehrsraum (SEPA). Derartige Maßnahmen sind eine wichtige Hilfe für Vertriebene, um engeren Kontakt zu ihren Angehörigen in der Ukraine halten zu können.</w:t>
      </w:r>
    </w:p>
    <w:p w14:paraId="3A5EFA0A" w14:textId="77777777" w:rsidR="00747364" w:rsidRDefault="00747364"/>
    <w:p w14:paraId="75EC4657" w14:textId="23CA6476" w:rsidR="00747364" w:rsidRDefault="00844F27">
      <w:pPr>
        <w:pStyle w:val="Heading2"/>
      </w:pPr>
      <w:r>
        <w:lastRenderedPageBreak/>
        <w:t>Bei der Unterstützung von Initiativen, die auf die Aufrechterhaltung von Kontakten zu vertriebenen Ukrainerinnen und Ukrainern abzielen, muss die Rolle der Sozialpartner und der zivilgesellschaftlichen Organisationen bei der Umsetzung der Aktionspläne der beteiligten Behörden berücksichtigt werden. Dadurch werden wirksamere Maßnahmen mit größerer gesellschaftlicher Legitimität gewährleistet.</w:t>
      </w:r>
    </w:p>
    <w:p w14:paraId="5B3BE5DE" w14:textId="77777777" w:rsidR="00747364" w:rsidRDefault="00747364"/>
    <w:p w14:paraId="1F56F8E5" w14:textId="77777777" w:rsidR="00747364" w:rsidRDefault="00844F27">
      <w:pPr>
        <w:pStyle w:val="Heading2"/>
      </w:pPr>
      <w:r>
        <w:t>Die psychische Gesundheit und die psychosozialen Bedürfnisse von Erwachsenen und Kindern, die im Krieg traumatische Erfahrungen erlitten haben und denen die Flucht aus der Ukraine gelungen ist, sind ebenfalls ein erhebliches und zunehmendes Problem für ukrainische Flüchtlinge. So berichten 23 % über psychische und psychosoziale Gesundheitsprobleme, die sich auf ihr tägliches Leben auswirken, und in 36 % der Haushalte ist mindestens ein Mitglied des Haushalts von solchen Problemen betroffen. Frauen geben systematisch häufiger psychische Probleme an als Männer. Von den Personen, die angeben, unter psychischen oder psychosozialen Gesundheitsproblemen zu leiden, die ihr tägliches Leben beeinträchtigen, suchen etwa die Hälfte (46 %) nach wie vor Unterstützung. Dies zeigt, dass Maßnahmen ergriffen werden müssen, um Probleme wie die mangelnde Bekanntheit entsprechender Angebote und das fehlende Vertrauen in einschlägige Dienstleistungen sowie Stigmatisierung, Sprachprobleme und eingeschränkte Zugänglichkeit anzugehen.</w:t>
      </w:r>
      <w:r>
        <w:rPr>
          <w:rStyle w:val="FootnoteReference"/>
        </w:rPr>
        <w:footnoteReference w:id="9"/>
      </w:r>
      <w:r>
        <w:t xml:space="preserve"> Im Rahmen von Unterstützungsprogrammen sollte daher auch leicht zugängliche psychologische Hilfe angeboten werden, die in Zusammenarbeit mit Organisationen der ukrainischen Gemeinschaft im Ausland und mit zivilgesellschaftlichen Organisationen in den Aufnahmeländern bereitgestellt wird.</w:t>
      </w:r>
    </w:p>
    <w:p w14:paraId="4ED1B6AE" w14:textId="77777777" w:rsidR="00747364" w:rsidRDefault="00747364">
      <w:pPr>
        <w:pStyle w:val="Heading2"/>
        <w:numPr>
          <w:ilvl w:val="0"/>
          <w:numId w:val="0"/>
        </w:numPr>
      </w:pPr>
    </w:p>
    <w:p w14:paraId="7A13C459" w14:textId="1F48C714" w:rsidR="00747364" w:rsidRDefault="00844F27">
      <w:pPr>
        <w:pStyle w:val="Heading2"/>
      </w:pPr>
      <w:r>
        <w:t xml:space="preserve">Der EWSA empfiehlt der Kommission, die Website </w:t>
      </w:r>
      <w:proofErr w:type="spellStart"/>
      <w:r>
        <w:rPr>
          <w:i/>
        </w:rPr>
        <w:t>Fleeing</w:t>
      </w:r>
      <w:proofErr w:type="spellEnd"/>
      <w:r>
        <w:rPr>
          <w:i/>
        </w:rPr>
        <w:t xml:space="preserve"> Ukraine: </w:t>
      </w:r>
      <w:proofErr w:type="spellStart"/>
      <w:r>
        <w:rPr>
          <w:i/>
        </w:rPr>
        <w:t>Your</w:t>
      </w:r>
      <w:proofErr w:type="spellEnd"/>
      <w:r>
        <w:rPr>
          <w:i/>
        </w:rPr>
        <w:t xml:space="preserve"> </w:t>
      </w:r>
      <w:proofErr w:type="spellStart"/>
      <w:r>
        <w:rPr>
          <w:i/>
        </w:rPr>
        <w:t>rights</w:t>
      </w:r>
      <w:proofErr w:type="spellEnd"/>
      <w:r>
        <w:rPr>
          <w:i/>
        </w:rPr>
        <w:t xml:space="preserve"> in </w:t>
      </w:r>
      <w:proofErr w:type="spellStart"/>
      <w:r>
        <w:rPr>
          <w:i/>
        </w:rPr>
        <w:t>the</w:t>
      </w:r>
      <w:proofErr w:type="spellEnd"/>
      <w:r>
        <w:rPr>
          <w:i/>
        </w:rPr>
        <w:t xml:space="preserve"> EU</w:t>
      </w:r>
      <w:r>
        <w:t xml:space="preserve"> zu einem gemeinsamen, mehrsprachigen Informationsportal der EU einschließlich einer interaktiven und regelmäßig aktualisierten Schnittstelle auszubauen, das landesspezifische Hinweise zu Antragsverfahren, erforderlichen Dokumenten, Rechten und Anlaufstellen bietet. Über eine solche Plattform könnten transparent und kohärent zuverlässige Informationen bereitgestellt und die Wahrnehmung der in der Richtlinie zugesicherten Rechte könnte erleichtert und die Koordinierung und Solidarität innerhalb der EU gestärkt werden. Diese Plattform könnte auch als Informationsinstrument für Ukrainerinnen und Ukrainer in der EU genutzt werden, wenn sie an künftigen freien Wahlen in der Ukraine teilnehmen.</w:t>
      </w:r>
    </w:p>
    <w:p w14:paraId="57CD4330" w14:textId="77777777" w:rsidR="00747364" w:rsidRDefault="00747364"/>
    <w:p w14:paraId="2A2A10DA" w14:textId="77777777" w:rsidR="00747364" w:rsidRDefault="00844F27">
      <w:r>
        <w:t>Brüssel, den 7. November 2025</w:t>
      </w:r>
    </w:p>
    <w:p w14:paraId="2AD533C5" w14:textId="77777777" w:rsidR="00747364" w:rsidRDefault="00747364"/>
    <w:p w14:paraId="502FC55D" w14:textId="77777777" w:rsidR="00747364" w:rsidRDefault="00747364"/>
    <w:p w14:paraId="35C7EC64" w14:textId="4DD0AEEA" w:rsidR="00747364" w:rsidRDefault="00844F27">
      <w:pPr>
        <w:rPr>
          <w:i/>
          <w:iCs/>
        </w:rPr>
      </w:pPr>
      <w:r>
        <w:rPr>
          <w:i/>
        </w:rPr>
        <w:t>Der Vorsitzende der Fachgruppe Außenbeziehungen</w:t>
      </w:r>
    </w:p>
    <w:p w14:paraId="5A4BEF5B" w14:textId="718FD414" w:rsidR="00747364" w:rsidRDefault="00844F27">
      <w:r>
        <w:t>Stefano PALMIERI</w:t>
      </w:r>
    </w:p>
    <w:p w14:paraId="5B3BE5E5" w14:textId="77777777" w:rsidR="00747364" w:rsidRDefault="00844F27">
      <w:pPr>
        <w:jc w:val="center"/>
      </w:pPr>
      <w:r>
        <w:t>_____________</w:t>
      </w:r>
    </w:p>
    <w:p w14:paraId="400A1EBF" w14:textId="77777777" w:rsidR="00747364" w:rsidRDefault="00747364">
      <w:pPr>
        <w:jc w:val="left"/>
      </w:pPr>
    </w:p>
    <w:sectPr w:rsidR="00747364" w:rsidSect="00844F27">
      <w:headerReference w:type="even" r:id="rId19"/>
      <w:headerReference w:type="default" r:id="rId20"/>
      <w:footerReference w:type="even" r:id="rId21"/>
      <w:footerReference w:type="default" r:id="rId22"/>
      <w:headerReference w:type="first" r:id="rId23"/>
      <w:footerReference w:type="first" r:id="rId24"/>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62E81B" w14:textId="77777777" w:rsidR="009C3D89" w:rsidRDefault="009C3D89">
      <w:r>
        <w:separator/>
      </w:r>
    </w:p>
  </w:endnote>
  <w:endnote w:type="continuationSeparator" w:id="0">
    <w:p w14:paraId="54A5CDA7" w14:textId="77777777" w:rsidR="009C3D89" w:rsidRDefault="009C3D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F07D0" w14:textId="77777777" w:rsidR="00844F27" w:rsidRPr="00844F27" w:rsidRDefault="00844F27" w:rsidP="00844F2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6F19F" w14:textId="3657280E" w:rsidR="00747364" w:rsidRPr="00844F27" w:rsidRDefault="00844F27" w:rsidP="00844F27">
    <w:pPr>
      <w:pStyle w:val="Footer"/>
    </w:pPr>
    <w:r>
      <w:t xml:space="preserve">REX/608 – EESC-2025-02613-00-01-AS-TRA (EN) </w:t>
    </w:r>
    <w:r>
      <w:fldChar w:fldCharType="begin"/>
    </w:r>
    <w:r>
      <w:instrText xml:space="preserve"> PAGE  \* Arabic  \* MERGEFORMAT </w:instrText>
    </w:r>
    <w:r>
      <w:fldChar w:fldCharType="separate"/>
    </w:r>
    <w:r w:rsidR="00B824E8">
      <w:t>1</w:t>
    </w:r>
    <w:r>
      <w:fldChar w:fldCharType="end"/>
    </w:r>
    <w:r>
      <w:t>/</w:t>
    </w:r>
    <w:r w:rsidR="0037414D">
      <w:fldChar w:fldCharType="begin"/>
    </w:r>
    <w:r w:rsidR="0037414D">
      <w:instrText xml:space="preserve"> NUMPAGES </w:instrText>
    </w:r>
    <w:r w:rsidR="0037414D">
      <w:fldChar w:fldCharType="separate"/>
    </w:r>
    <w:r w:rsidR="00B824E8">
      <w:t>1</w:t>
    </w:r>
    <w:r w:rsidR="0037414D">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B4F71" w14:textId="77777777" w:rsidR="00844F27" w:rsidRPr="00844F27" w:rsidRDefault="00844F27" w:rsidP="00844F2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6AA83" w14:textId="77777777" w:rsidR="00747364" w:rsidRPr="00844F27" w:rsidRDefault="00747364" w:rsidP="00844F2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FDA59" w14:textId="7AABBB9A" w:rsidR="00747364" w:rsidRPr="00844F27" w:rsidRDefault="00844F27" w:rsidP="00844F27">
    <w:pPr>
      <w:pStyle w:val="Footer"/>
    </w:pPr>
    <w:r>
      <w:t xml:space="preserve">REX/608 – EESC-2025-02613-00-01-AS-TRA (EN) </w:t>
    </w:r>
    <w:r>
      <w:fldChar w:fldCharType="begin"/>
    </w:r>
    <w:r>
      <w:instrText xml:space="preserve"> PAGE  \* Arabic  \* MERGEFORMAT </w:instrText>
    </w:r>
    <w:r>
      <w:fldChar w:fldCharType="separate"/>
    </w:r>
    <w:r>
      <w:t>2</w:t>
    </w:r>
    <w:r>
      <w:fldChar w:fldCharType="end"/>
    </w:r>
    <w:r>
      <w:t>/</w:t>
    </w:r>
    <w:r w:rsidR="0037414D">
      <w:fldChar w:fldCharType="begin"/>
    </w:r>
    <w:r w:rsidR="0037414D">
      <w:instrText xml:space="preserve"> NUMPAGES </w:instrText>
    </w:r>
    <w:r w:rsidR="0037414D">
      <w:fldChar w:fldCharType="separate"/>
    </w:r>
    <w:r>
      <w:t>10</w:t>
    </w:r>
    <w:r w:rsidR="0037414D">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C9FE7" w14:textId="77777777" w:rsidR="00747364" w:rsidRPr="00844F27" w:rsidRDefault="00747364" w:rsidP="00844F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14A461" w14:textId="77777777" w:rsidR="009C3D89" w:rsidRDefault="009C3D89">
      <w:r>
        <w:separator/>
      </w:r>
    </w:p>
  </w:footnote>
  <w:footnote w:type="continuationSeparator" w:id="0">
    <w:p w14:paraId="0DF18A14" w14:textId="77777777" w:rsidR="009C3D89" w:rsidRDefault="009C3D89">
      <w:r>
        <w:continuationSeparator/>
      </w:r>
    </w:p>
  </w:footnote>
  <w:footnote w:id="1">
    <w:p w14:paraId="7482978D" w14:textId="5E30C9DA" w:rsidR="00747364" w:rsidRDefault="00844F27">
      <w:pPr>
        <w:pStyle w:val="FootnoteText"/>
      </w:pPr>
      <w:r>
        <w:rPr>
          <w:rStyle w:val="FootnoteReference"/>
        </w:rPr>
        <w:footnoteRef/>
      </w:r>
      <w:r>
        <w:tab/>
      </w:r>
      <w:hyperlink r:id="rId1" w:history="1">
        <w:r>
          <w:rPr>
            <w:rStyle w:val="Hyperlink"/>
          </w:rPr>
          <w:t>Daten der EU</w:t>
        </w:r>
      </w:hyperlink>
      <w:r>
        <w:t>.</w:t>
      </w:r>
    </w:p>
  </w:footnote>
  <w:footnote w:id="2">
    <w:p w14:paraId="171B5BFF" w14:textId="7400647B" w:rsidR="00747364" w:rsidRDefault="00844F27">
      <w:pPr>
        <w:pStyle w:val="FootnoteText"/>
      </w:pPr>
      <w:r>
        <w:rPr>
          <w:rStyle w:val="FootnoteReference"/>
        </w:rPr>
        <w:footnoteRef/>
      </w:r>
      <w:r>
        <w:tab/>
        <w:t>Stellungnahme SOC/710.</w:t>
      </w:r>
    </w:p>
  </w:footnote>
  <w:footnote w:id="3">
    <w:p w14:paraId="31A20338" w14:textId="674DC36D" w:rsidR="00747364" w:rsidRDefault="00844F27">
      <w:pPr>
        <w:pStyle w:val="FootnoteText"/>
      </w:pPr>
      <w:r>
        <w:rPr>
          <w:rStyle w:val="FootnoteReference"/>
        </w:rPr>
        <w:footnoteRef/>
      </w:r>
      <w:r>
        <w:tab/>
      </w:r>
      <w:hyperlink r:id="rId2" w:history="1">
        <w:r>
          <w:rPr>
            <w:rStyle w:val="Hyperlink"/>
          </w:rPr>
          <w:t>COM(2025) 649 final</w:t>
        </w:r>
      </w:hyperlink>
      <w:r>
        <w:t>.</w:t>
      </w:r>
    </w:p>
  </w:footnote>
  <w:footnote w:id="4">
    <w:p w14:paraId="4EE31346" w14:textId="574E061F" w:rsidR="00747364" w:rsidRDefault="00844F27">
      <w:pPr>
        <w:pStyle w:val="FootnoteText"/>
      </w:pPr>
      <w:r>
        <w:rPr>
          <w:rStyle w:val="FootnoteReference"/>
        </w:rPr>
        <w:footnoteRef/>
      </w:r>
      <w:r>
        <w:tab/>
      </w:r>
      <w:hyperlink r:id="rId3" w:history="1">
        <w:r>
          <w:rPr>
            <w:rStyle w:val="Hyperlink"/>
          </w:rPr>
          <w:t>COM(2025) 649 final</w:t>
        </w:r>
      </w:hyperlink>
      <w:r>
        <w:t>.</w:t>
      </w:r>
    </w:p>
  </w:footnote>
  <w:footnote w:id="5">
    <w:p w14:paraId="7CCD4B68" w14:textId="2C405F1B" w:rsidR="00747364" w:rsidRDefault="00844F27">
      <w:pPr>
        <w:pStyle w:val="FootnoteText"/>
      </w:pPr>
      <w:r>
        <w:rPr>
          <w:rStyle w:val="FootnoteReference"/>
        </w:rPr>
        <w:footnoteRef/>
      </w:r>
      <w:r>
        <w:tab/>
        <w:t>Siehe auch ECO/625, Ziffer 3.5.1.</w:t>
      </w:r>
    </w:p>
  </w:footnote>
  <w:footnote w:id="6">
    <w:p w14:paraId="1340102B" w14:textId="29F5086F" w:rsidR="00747364" w:rsidRDefault="00844F27">
      <w:pPr>
        <w:pStyle w:val="FootnoteText"/>
      </w:pPr>
      <w:r>
        <w:rPr>
          <w:rStyle w:val="FootnoteReference"/>
        </w:rPr>
        <w:footnoteRef/>
      </w:r>
      <w:r>
        <w:tab/>
      </w:r>
      <w:proofErr w:type="spellStart"/>
      <w:r>
        <w:t>Eurofound</w:t>
      </w:r>
      <w:proofErr w:type="spellEnd"/>
      <w:r>
        <w:t xml:space="preserve">, </w:t>
      </w:r>
      <w:hyperlink r:id="rId4" w:history="1">
        <w:r>
          <w:rPr>
            <w:rStyle w:val="Hyperlink"/>
          </w:rPr>
          <w:t>https://www.eurofound.europa.eu/de/publications/all/support-ukraine-still-high-among-eu-citizens-some-fall-apparent-among</w:t>
        </w:r>
      </w:hyperlink>
      <w:r>
        <w:t>.</w:t>
      </w:r>
    </w:p>
  </w:footnote>
  <w:footnote w:id="7">
    <w:p w14:paraId="0BD0F54A" w14:textId="112C8E7F" w:rsidR="00747364" w:rsidRDefault="00844F27">
      <w:pPr>
        <w:pStyle w:val="FootnoteText"/>
      </w:pPr>
      <w:r>
        <w:rPr>
          <w:rStyle w:val="FootnoteReference"/>
        </w:rPr>
        <w:footnoteRef/>
      </w:r>
      <w:r>
        <w:tab/>
        <w:t xml:space="preserve">Laut einer Studie des Internationalen Instituts für Soziologie in Kiew aus dem Jahr 2024 ist Korruption (unmittelbar nach dem groß angelegten Angriffskrieg Russlands) das zweitgrößte Problem der Ukraine, </w:t>
      </w:r>
      <w:hyperlink r:id="rId5" w:history="1">
        <w:r>
          <w:rPr>
            <w:rStyle w:val="Hyperlink"/>
          </w:rPr>
          <w:t>https://kiis.com.ua/?lang=ukr&amp;cat=reports&amp;id=1512&amp;page=1</w:t>
        </w:r>
      </w:hyperlink>
      <w:r>
        <w:t xml:space="preserve">. Dass das Problem trotz aller Bemühungen fortbesteht, zeigen der OECD-Bericht </w:t>
      </w:r>
      <w:r>
        <w:rPr>
          <w:i/>
        </w:rPr>
        <w:t>OECD-Integrity and Anti-</w:t>
      </w:r>
      <w:proofErr w:type="spellStart"/>
      <w:r>
        <w:rPr>
          <w:i/>
        </w:rPr>
        <w:t>Corruption</w:t>
      </w:r>
      <w:proofErr w:type="spellEnd"/>
      <w:r>
        <w:rPr>
          <w:i/>
        </w:rPr>
        <w:t xml:space="preserve"> Review </w:t>
      </w:r>
      <w:proofErr w:type="spellStart"/>
      <w:r>
        <w:rPr>
          <w:i/>
        </w:rPr>
        <w:t>of</w:t>
      </w:r>
      <w:proofErr w:type="spellEnd"/>
      <w:r>
        <w:rPr>
          <w:i/>
        </w:rPr>
        <w:t xml:space="preserve"> Ukraine</w:t>
      </w:r>
      <w:r>
        <w:t xml:space="preserve">, OECD Public Governance Reviews, OECD Publishing, Paris, </w:t>
      </w:r>
      <w:hyperlink r:id="rId6" w:history="1">
        <w:r>
          <w:rPr>
            <w:rStyle w:val="Hyperlink"/>
          </w:rPr>
          <w:t>https://doi.org/10.1787/7dbe965b-en</w:t>
        </w:r>
      </w:hyperlink>
      <w:r>
        <w:t xml:space="preserve">, und der von Transparency International erarbeitete Index der wahrgenommenen Korruption </w:t>
      </w:r>
      <w:hyperlink r:id="rId7" w:history="1">
        <w:r>
          <w:rPr>
            <w:rStyle w:val="Hyperlink"/>
          </w:rPr>
          <w:t>https://www.transparency.org/en/cpi/2024/</w:t>
        </w:r>
      </w:hyperlink>
      <w:r>
        <w:t>.</w:t>
      </w:r>
    </w:p>
  </w:footnote>
  <w:footnote w:id="8">
    <w:p w14:paraId="3E94F6F7" w14:textId="0DB54F64" w:rsidR="00747364" w:rsidRDefault="00844F27">
      <w:pPr>
        <w:pStyle w:val="FootnoteText"/>
      </w:pPr>
      <w:r>
        <w:rPr>
          <w:rStyle w:val="FootnoteReference"/>
        </w:rPr>
        <w:footnoteRef/>
      </w:r>
      <w:r>
        <w:tab/>
        <w:t xml:space="preserve">Daten des ukrainischen Grenzschutzes zufolge wurden seit Anfang 2022 fast 30 000 Menschen beim Versuch des illegalen Grenzübertritts aufgegriffen, und weitere 44 900 Personen haben die Grenze illegal überschritten, </w:t>
      </w:r>
      <w:hyperlink r:id="rId8" w:history="1">
        <w:r>
          <w:rPr>
            <w:rStyle w:val="Hyperlink"/>
          </w:rPr>
          <w:t>https://www.pravda.com.ua/news/2025/05/21/7513302/</w:t>
        </w:r>
      </w:hyperlink>
      <w:r>
        <w:t>.</w:t>
      </w:r>
    </w:p>
  </w:footnote>
  <w:footnote w:id="9">
    <w:p w14:paraId="526B520B" w14:textId="6E561E2F" w:rsidR="00747364" w:rsidRDefault="00844F27">
      <w:pPr>
        <w:keepLines/>
        <w:spacing w:after="60" w:line="240" w:lineRule="auto"/>
        <w:ind w:left="567" w:hanging="567"/>
        <w:jc w:val="left"/>
        <w:rPr>
          <w:sz w:val="16"/>
          <w:szCs w:val="16"/>
        </w:rPr>
      </w:pPr>
      <w:r>
        <w:rPr>
          <w:rStyle w:val="FootnoteReference"/>
        </w:rPr>
        <w:footnoteRef/>
      </w:r>
      <w:r>
        <w:tab/>
      </w:r>
      <w:hyperlink r:id="rId9" w:anchor=":~:text=Example%20of%20such%20stressors%20are%20the%20abrupt,war%2Dtorn%20country%20and%20in%20their%20forced%20displacement" w:history="1">
        <w:proofErr w:type="spellStart"/>
        <w:r>
          <w:rPr>
            <w:rStyle w:val="Hyperlink"/>
            <w:i/>
            <w:iCs/>
            <w:sz w:val="16"/>
          </w:rPr>
          <w:t>Navigating</w:t>
        </w:r>
        <w:proofErr w:type="spellEnd"/>
        <w:r>
          <w:rPr>
            <w:rStyle w:val="Hyperlink"/>
            <w:i/>
            <w:iCs/>
            <w:sz w:val="16"/>
          </w:rPr>
          <w:t xml:space="preserve"> </w:t>
        </w:r>
        <w:proofErr w:type="spellStart"/>
        <w:r>
          <w:rPr>
            <w:rStyle w:val="Hyperlink"/>
            <w:i/>
            <w:iCs/>
            <w:sz w:val="16"/>
          </w:rPr>
          <w:t>health</w:t>
        </w:r>
        <w:proofErr w:type="spellEnd"/>
        <w:r>
          <w:rPr>
            <w:rStyle w:val="Hyperlink"/>
            <w:i/>
            <w:iCs/>
            <w:sz w:val="16"/>
          </w:rPr>
          <w:t xml:space="preserve"> and well-</w:t>
        </w:r>
        <w:proofErr w:type="spellStart"/>
        <w:r>
          <w:rPr>
            <w:rStyle w:val="Hyperlink"/>
            <w:i/>
            <w:iCs/>
            <w:sz w:val="16"/>
          </w:rPr>
          <w:t>being</w:t>
        </w:r>
        <w:proofErr w:type="spellEnd"/>
        <w:r>
          <w:rPr>
            <w:rStyle w:val="Hyperlink"/>
            <w:i/>
            <w:iCs/>
            <w:sz w:val="16"/>
          </w:rPr>
          <w:t xml:space="preserve"> </w:t>
        </w:r>
        <w:proofErr w:type="spellStart"/>
        <w:r>
          <w:rPr>
            <w:rStyle w:val="Hyperlink"/>
            <w:i/>
            <w:iCs/>
            <w:sz w:val="16"/>
          </w:rPr>
          <w:t>challenges</w:t>
        </w:r>
        <w:proofErr w:type="spellEnd"/>
        <w:r>
          <w:rPr>
            <w:rStyle w:val="Hyperlink"/>
            <w:i/>
            <w:iCs/>
            <w:sz w:val="16"/>
          </w:rPr>
          <w:t xml:space="preserve"> </w:t>
        </w:r>
        <w:proofErr w:type="spellStart"/>
        <w:r>
          <w:rPr>
            <w:rStyle w:val="Hyperlink"/>
            <w:i/>
            <w:iCs/>
            <w:sz w:val="16"/>
          </w:rPr>
          <w:t>for</w:t>
        </w:r>
        <w:proofErr w:type="spellEnd"/>
        <w:r>
          <w:rPr>
            <w:rStyle w:val="Hyperlink"/>
            <w:i/>
            <w:iCs/>
            <w:sz w:val="16"/>
          </w:rPr>
          <w:t xml:space="preserve"> </w:t>
        </w:r>
        <w:proofErr w:type="spellStart"/>
        <w:r>
          <w:rPr>
            <w:rStyle w:val="Hyperlink"/>
            <w:i/>
            <w:iCs/>
            <w:sz w:val="16"/>
          </w:rPr>
          <w:t>refugees</w:t>
        </w:r>
        <w:proofErr w:type="spellEnd"/>
        <w:r>
          <w:rPr>
            <w:rStyle w:val="Hyperlink"/>
            <w:i/>
            <w:iCs/>
            <w:sz w:val="16"/>
          </w:rPr>
          <w:t xml:space="preserve"> </w:t>
        </w:r>
        <w:proofErr w:type="spellStart"/>
        <w:r>
          <w:rPr>
            <w:rStyle w:val="Hyperlink"/>
            <w:i/>
            <w:iCs/>
            <w:sz w:val="16"/>
          </w:rPr>
          <w:t>from</w:t>
        </w:r>
        <w:proofErr w:type="spellEnd"/>
        <w:r>
          <w:rPr>
            <w:rStyle w:val="Hyperlink"/>
            <w:i/>
            <w:iCs/>
            <w:sz w:val="16"/>
          </w:rPr>
          <w:t xml:space="preserve"> Ukraine </w:t>
        </w:r>
        <w:r>
          <w:rPr>
            <w:rStyle w:val="Hyperlink"/>
            <w:sz w:val="16"/>
          </w:rPr>
          <w:t>(2025)</w:t>
        </w:r>
      </w:hyperlink>
      <w:r>
        <w:rPr>
          <w:sz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4AD23" w14:textId="77777777" w:rsidR="00844F27" w:rsidRPr="00844F27" w:rsidRDefault="00844F27" w:rsidP="00844F2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5CDA2" w14:textId="0AD5C203" w:rsidR="00844F27" w:rsidRPr="00844F27" w:rsidRDefault="00844F27" w:rsidP="00844F2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58F7CC" w14:textId="77777777" w:rsidR="00844F27" w:rsidRPr="00844F27" w:rsidRDefault="00844F27" w:rsidP="00844F2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46783" w14:textId="77777777" w:rsidR="00747364" w:rsidRPr="00844F27" w:rsidRDefault="00747364" w:rsidP="00844F2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C8B8E" w14:textId="71D37566" w:rsidR="00747364" w:rsidRPr="00844F27" w:rsidRDefault="00747364" w:rsidP="00844F2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EE929" w14:textId="77777777" w:rsidR="00747364" w:rsidRPr="00844F27" w:rsidRDefault="00747364" w:rsidP="00844F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1601206"/>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num w:numId="1">
    <w:abstractNumId w:val="0"/>
  </w:num>
  <w:num w:numId="2">
    <w:abstractNumId w:val="0"/>
    <w:lvlOverride w:ilvl="0">
      <w:startOverride w:val="3"/>
    </w:lvlOverride>
    <w:lvlOverride w:ilvl="1">
      <w:startOverride w:val="19"/>
    </w:lvlOverride>
  </w:num>
  <w:num w:numId="3">
    <w:abstractNumId w:val="0"/>
    <w:lvlOverride w:ilvl="0">
      <w:startOverride w:val="3"/>
    </w:lvlOverride>
    <w:lvlOverride w:ilvl="1">
      <w:startOverride w:val="13"/>
    </w:lvlOverride>
  </w:num>
  <w:num w:numId="4">
    <w:abstractNumId w:val="0"/>
    <w:lvlOverride w:ilvl="0">
      <w:startOverride w:val="3"/>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5AB9"/>
    <w:rsid w:val="00005EB9"/>
    <w:rsid w:val="00006E24"/>
    <w:rsid w:val="00007A40"/>
    <w:rsid w:val="00011D33"/>
    <w:rsid w:val="000154B4"/>
    <w:rsid w:val="00016EEC"/>
    <w:rsid w:val="00017DDE"/>
    <w:rsid w:val="00020E6E"/>
    <w:rsid w:val="000232D5"/>
    <w:rsid w:val="0002512C"/>
    <w:rsid w:val="000255BC"/>
    <w:rsid w:val="0003035B"/>
    <w:rsid w:val="00031A4B"/>
    <w:rsid w:val="000325FD"/>
    <w:rsid w:val="00033913"/>
    <w:rsid w:val="00033E5B"/>
    <w:rsid w:val="000357A8"/>
    <w:rsid w:val="00036D8F"/>
    <w:rsid w:val="00042E61"/>
    <w:rsid w:val="000430A6"/>
    <w:rsid w:val="00044923"/>
    <w:rsid w:val="0005249C"/>
    <w:rsid w:val="000534A5"/>
    <w:rsid w:val="00055A1A"/>
    <w:rsid w:val="0005680D"/>
    <w:rsid w:val="00063FB4"/>
    <w:rsid w:val="0006793E"/>
    <w:rsid w:val="00072E0F"/>
    <w:rsid w:val="000735E5"/>
    <w:rsid w:val="0007392F"/>
    <w:rsid w:val="00076051"/>
    <w:rsid w:val="00076DE1"/>
    <w:rsid w:val="000860FE"/>
    <w:rsid w:val="00087B39"/>
    <w:rsid w:val="00094103"/>
    <w:rsid w:val="00096502"/>
    <w:rsid w:val="00096FC3"/>
    <w:rsid w:val="000A2D25"/>
    <w:rsid w:val="000A49BB"/>
    <w:rsid w:val="000A677A"/>
    <w:rsid w:val="000B029D"/>
    <w:rsid w:val="000B0715"/>
    <w:rsid w:val="000C2DD3"/>
    <w:rsid w:val="000C3441"/>
    <w:rsid w:val="000C507D"/>
    <w:rsid w:val="000C6780"/>
    <w:rsid w:val="000C679B"/>
    <w:rsid w:val="000C7F53"/>
    <w:rsid w:val="000D2F8E"/>
    <w:rsid w:val="000D45EB"/>
    <w:rsid w:val="000D4F66"/>
    <w:rsid w:val="000D55BD"/>
    <w:rsid w:val="000D668E"/>
    <w:rsid w:val="000E1994"/>
    <w:rsid w:val="000E55A3"/>
    <w:rsid w:val="000E5697"/>
    <w:rsid w:val="000E6D34"/>
    <w:rsid w:val="000F07AD"/>
    <w:rsid w:val="000F196B"/>
    <w:rsid w:val="000F4062"/>
    <w:rsid w:val="00100A99"/>
    <w:rsid w:val="00100F92"/>
    <w:rsid w:val="00105361"/>
    <w:rsid w:val="001101F8"/>
    <w:rsid w:val="0011206F"/>
    <w:rsid w:val="0011656A"/>
    <w:rsid w:val="0012220C"/>
    <w:rsid w:val="001234BD"/>
    <w:rsid w:val="00123EF4"/>
    <w:rsid w:val="001243B2"/>
    <w:rsid w:val="0013664F"/>
    <w:rsid w:val="00136EA3"/>
    <w:rsid w:val="00137575"/>
    <w:rsid w:val="00144231"/>
    <w:rsid w:val="00150434"/>
    <w:rsid w:val="00155227"/>
    <w:rsid w:val="00155721"/>
    <w:rsid w:val="0015678B"/>
    <w:rsid w:val="00156820"/>
    <w:rsid w:val="0016503F"/>
    <w:rsid w:val="0016674F"/>
    <w:rsid w:val="00167CA0"/>
    <w:rsid w:val="0017120D"/>
    <w:rsid w:val="001714F6"/>
    <w:rsid w:val="00173A6E"/>
    <w:rsid w:val="00176168"/>
    <w:rsid w:val="00177158"/>
    <w:rsid w:val="001808A5"/>
    <w:rsid w:val="00184FD4"/>
    <w:rsid w:val="00186B04"/>
    <w:rsid w:val="00186F1E"/>
    <w:rsid w:val="00190836"/>
    <w:rsid w:val="00193930"/>
    <w:rsid w:val="001963A5"/>
    <w:rsid w:val="00196F1E"/>
    <w:rsid w:val="00197FCA"/>
    <w:rsid w:val="001A0C04"/>
    <w:rsid w:val="001A0C8A"/>
    <w:rsid w:val="001A27DB"/>
    <w:rsid w:val="001A6852"/>
    <w:rsid w:val="001B20B4"/>
    <w:rsid w:val="001B243D"/>
    <w:rsid w:val="001B286A"/>
    <w:rsid w:val="001B2D02"/>
    <w:rsid w:val="001B3647"/>
    <w:rsid w:val="001B5F61"/>
    <w:rsid w:val="001B77FA"/>
    <w:rsid w:val="001B7CC9"/>
    <w:rsid w:val="001C0ABE"/>
    <w:rsid w:val="001C5852"/>
    <w:rsid w:val="001C593A"/>
    <w:rsid w:val="001C621B"/>
    <w:rsid w:val="001D1897"/>
    <w:rsid w:val="001D45F0"/>
    <w:rsid w:val="001D66CA"/>
    <w:rsid w:val="001E1E45"/>
    <w:rsid w:val="001E3EF6"/>
    <w:rsid w:val="001E4A33"/>
    <w:rsid w:val="001E5C27"/>
    <w:rsid w:val="001F0220"/>
    <w:rsid w:val="001F602B"/>
    <w:rsid w:val="001F6AC8"/>
    <w:rsid w:val="00200882"/>
    <w:rsid w:val="0020204C"/>
    <w:rsid w:val="002021B1"/>
    <w:rsid w:val="002037D5"/>
    <w:rsid w:val="00205D3F"/>
    <w:rsid w:val="00206F90"/>
    <w:rsid w:val="0020755C"/>
    <w:rsid w:val="00210A33"/>
    <w:rsid w:val="00212B03"/>
    <w:rsid w:val="002131AE"/>
    <w:rsid w:val="00215C10"/>
    <w:rsid w:val="00215C2D"/>
    <w:rsid w:val="002249AC"/>
    <w:rsid w:val="002252C4"/>
    <w:rsid w:val="0022590E"/>
    <w:rsid w:val="0023183E"/>
    <w:rsid w:val="002341FC"/>
    <w:rsid w:val="00235138"/>
    <w:rsid w:val="002362A9"/>
    <w:rsid w:val="00240622"/>
    <w:rsid w:val="00240A4B"/>
    <w:rsid w:val="00240F95"/>
    <w:rsid w:val="00243E36"/>
    <w:rsid w:val="0024442D"/>
    <w:rsid w:val="0024540B"/>
    <w:rsid w:val="00245EF4"/>
    <w:rsid w:val="00250E11"/>
    <w:rsid w:val="00251383"/>
    <w:rsid w:val="002522C9"/>
    <w:rsid w:val="0025245E"/>
    <w:rsid w:val="00252A21"/>
    <w:rsid w:val="002535AE"/>
    <w:rsid w:val="00253E4F"/>
    <w:rsid w:val="0025411C"/>
    <w:rsid w:val="002542E4"/>
    <w:rsid w:val="00255D3D"/>
    <w:rsid w:val="002576F0"/>
    <w:rsid w:val="00261053"/>
    <w:rsid w:val="00262FDE"/>
    <w:rsid w:val="00263629"/>
    <w:rsid w:val="00272368"/>
    <w:rsid w:val="002769BD"/>
    <w:rsid w:val="00276A75"/>
    <w:rsid w:val="002809EA"/>
    <w:rsid w:val="002810E1"/>
    <w:rsid w:val="00284962"/>
    <w:rsid w:val="00287506"/>
    <w:rsid w:val="00287B0E"/>
    <w:rsid w:val="002916CD"/>
    <w:rsid w:val="002A0B53"/>
    <w:rsid w:val="002A0EEF"/>
    <w:rsid w:val="002A69E5"/>
    <w:rsid w:val="002A76F9"/>
    <w:rsid w:val="002B2DF7"/>
    <w:rsid w:val="002B359F"/>
    <w:rsid w:val="002C1DB1"/>
    <w:rsid w:val="002C3BF4"/>
    <w:rsid w:val="002C6016"/>
    <w:rsid w:val="002C749F"/>
    <w:rsid w:val="002D0742"/>
    <w:rsid w:val="002D58E0"/>
    <w:rsid w:val="002E2C25"/>
    <w:rsid w:val="002E7B33"/>
    <w:rsid w:val="002F059B"/>
    <w:rsid w:val="002F2580"/>
    <w:rsid w:val="002F5B0B"/>
    <w:rsid w:val="002F6DE3"/>
    <w:rsid w:val="002F7542"/>
    <w:rsid w:val="00300924"/>
    <w:rsid w:val="0030596E"/>
    <w:rsid w:val="003073C3"/>
    <w:rsid w:val="00311F77"/>
    <w:rsid w:val="00315516"/>
    <w:rsid w:val="0031625A"/>
    <w:rsid w:val="00320BC5"/>
    <w:rsid w:val="00323637"/>
    <w:rsid w:val="00324E8A"/>
    <w:rsid w:val="003257BE"/>
    <w:rsid w:val="0033173F"/>
    <w:rsid w:val="00331A55"/>
    <w:rsid w:val="00331A97"/>
    <w:rsid w:val="00331D87"/>
    <w:rsid w:val="00332850"/>
    <w:rsid w:val="00333513"/>
    <w:rsid w:val="00333B12"/>
    <w:rsid w:val="00334478"/>
    <w:rsid w:val="003346B4"/>
    <w:rsid w:val="00334AE6"/>
    <w:rsid w:val="003365D0"/>
    <w:rsid w:val="003423F2"/>
    <w:rsid w:val="00342D4A"/>
    <w:rsid w:val="003439AB"/>
    <w:rsid w:val="00344D7D"/>
    <w:rsid w:val="00344DA1"/>
    <w:rsid w:val="003474A6"/>
    <w:rsid w:val="0035034C"/>
    <w:rsid w:val="003535B3"/>
    <w:rsid w:val="00354695"/>
    <w:rsid w:val="0035549B"/>
    <w:rsid w:val="003577DD"/>
    <w:rsid w:val="00357F49"/>
    <w:rsid w:val="00363CD0"/>
    <w:rsid w:val="003662D6"/>
    <w:rsid w:val="00367157"/>
    <w:rsid w:val="00373315"/>
    <w:rsid w:val="0037414D"/>
    <w:rsid w:val="003755C8"/>
    <w:rsid w:val="00375687"/>
    <w:rsid w:val="0037793A"/>
    <w:rsid w:val="00380AE0"/>
    <w:rsid w:val="00383324"/>
    <w:rsid w:val="00384440"/>
    <w:rsid w:val="00386408"/>
    <w:rsid w:val="00387A75"/>
    <w:rsid w:val="003904FD"/>
    <w:rsid w:val="00394254"/>
    <w:rsid w:val="003948F7"/>
    <w:rsid w:val="003950A6"/>
    <w:rsid w:val="003957F9"/>
    <w:rsid w:val="003978DB"/>
    <w:rsid w:val="003A4817"/>
    <w:rsid w:val="003A7F3F"/>
    <w:rsid w:val="003B0AEC"/>
    <w:rsid w:val="003B0C32"/>
    <w:rsid w:val="003B3451"/>
    <w:rsid w:val="003C0D20"/>
    <w:rsid w:val="003C1859"/>
    <w:rsid w:val="003C2BFB"/>
    <w:rsid w:val="003C436B"/>
    <w:rsid w:val="003C5337"/>
    <w:rsid w:val="003C5F92"/>
    <w:rsid w:val="003C7F2D"/>
    <w:rsid w:val="003D08FA"/>
    <w:rsid w:val="003D6442"/>
    <w:rsid w:val="003D7A8C"/>
    <w:rsid w:val="003D7C00"/>
    <w:rsid w:val="003E1A8D"/>
    <w:rsid w:val="003E56E5"/>
    <w:rsid w:val="003E7E60"/>
    <w:rsid w:val="003F00D4"/>
    <w:rsid w:val="003F04CF"/>
    <w:rsid w:val="003F2209"/>
    <w:rsid w:val="003F3D39"/>
    <w:rsid w:val="003F5F1D"/>
    <w:rsid w:val="003F646A"/>
    <w:rsid w:val="003F6761"/>
    <w:rsid w:val="003F6A0A"/>
    <w:rsid w:val="004024F5"/>
    <w:rsid w:val="0040261D"/>
    <w:rsid w:val="00402DE1"/>
    <w:rsid w:val="0040337F"/>
    <w:rsid w:val="00403D8B"/>
    <w:rsid w:val="004058F1"/>
    <w:rsid w:val="00407E7D"/>
    <w:rsid w:val="00407EA5"/>
    <w:rsid w:val="0041283D"/>
    <w:rsid w:val="00413AB4"/>
    <w:rsid w:val="004154F2"/>
    <w:rsid w:val="004162B3"/>
    <w:rsid w:val="00421373"/>
    <w:rsid w:val="00421FB7"/>
    <w:rsid w:val="0042763B"/>
    <w:rsid w:val="0043024C"/>
    <w:rsid w:val="004303B1"/>
    <w:rsid w:val="00432760"/>
    <w:rsid w:val="00436706"/>
    <w:rsid w:val="00442125"/>
    <w:rsid w:val="00443D38"/>
    <w:rsid w:val="004462E3"/>
    <w:rsid w:val="00450E7A"/>
    <w:rsid w:val="004519B2"/>
    <w:rsid w:val="004543E7"/>
    <w:rsid w:val="0045609F"/>
    <w:rsid w:val="00456AF8"/>
    <w:rsid w:val="00456F81"/>
    <w:rsid w:val="004607E2"/>
    <w:rsid w:val="0046776A"/>
    <w:rsid w:val="00470B15"/>
    <w:rsid w:val="004722F0"/>
    <w:rsid w:val="00472474"/>
    <w:rsid w:val="00475869"/>
    <w:rsid w:val="00475A77"/>
    <w:rsid w:val="004816C7"/>
    <w:rsid w:val="00484994"/>
    <w:rsid w:val="004866A9"/>
    <w:rsid w:val="0048754F"/>
    <w:rsid w:val="00490B6D"/>
    <w:rsid w:val="00492297"/>
    <w:rsid w:val="00492774"/>
    <w:rsid w:val="0049279D"/>
    <w:rsid w:val="00493D37"/>
    <w:rsid w:val="004943C9"/>
    <w:rsid w:val="00494E95"/>
    <w:rsid w:val="00496D7A"/>
    <w:rsid w:val="004A31BC"/>
    <w:rsid w:val="004A3F1A"/>
    <w:rsid w:val="004A3F45"/>
    <w:rsid w:val="004A5738"/>
    <w:rsid w:val="004A588C"/>
    <w:rsid w:val="004A7F87"/>
    <w:rsid w:val="004B1701"/>
    <w:rsid w:val="004B1AFA"/>
    <w:rsid w:val="004B2347"/>
    <w:rsid w:val="004B434B"/>
    <w:rsid w:val="004B7088"/>
    <w:rsid w:val="004C10C3"/>
    <w:rsid w:val="004C4D12"/>
    <w:rsid w:val="004C5B76"/>
    <w:rsid w:val="004D02CD"/>
    <w:rsid w:val="004D0B24"/>
    <w:rsid w:val="004D4B90"/>
    <w:rsid w:val="004D6B95"/>
    <w:rsid w:val="004D7603"/>
    <w:rsid w:val="004D7F41"/>
    <w:rsid w:val="004E03A2"/>
    <w:rsid w:val="004E317E"/>
    <w:rsid w:val="004E3954"/>
    <w:rsid w:val="004E5856"/>
    <w:rsid w:val="004E5C34"/>
    <w:rsid w:val="004E7B59"/>
    <w:rsid w:val="004E7E51"/>
    <w:rsid w:val="004F2330"/>
    <w:rsid w:val="004F515C"/>
    <w:rsid w:val="004F53C6"/>
    <w:rsid w:val="004F55C6"/>
    <w:rsid w:val="004F69DB"/>
    <w:rsid w:val="004F6B87"/>
    <w:rsid w:val="00501A20"/>
    <w:rsid w:val="00501C2D"/>
    <w:rsid w:val="00502637"/>
    <w:rsid w:val="00502D00"/>
    <w:rsid w:val="0050362C"/>
    <w:rsid w:val="00504A8B"/>
    <w:rsid w:val="0050689F"/>
    <w:rsid w:val="00511140"/>
    <w:rsid w:val="00513CFE"/>
    <w:rsid w:val="00514394"/>
    <w:rsid w:val="00514796"/>
    <w:rsid w:val="00515A05"/>
    <w:rsid w:val="00523B6A"/>
    <w:rsid w:val="005253C6"/>
    <w:rsid w:val="00525F6C"/>
    <w:rsid w:val="00530B97"/>
    <w:rsid w:val="00531A0D"/>
    <w:rsid w:val="00532085"/>
    <w:rsid w:val="00533C04"/>
    <w:rsid w:val="00534B99"/>
    <w:rsid w:val="005375AE"/>
    <w:rsid w:val="00543D17"/>
    <w:rsid w:val="00546AB4"/>
    <w:rsid w:val="005514E5"/>
    <w:rsid w:val="005543E3"/>
    <w:rsid w:val="00557F1B"/>
    <w:rsid w:val="00563C84"/>
    <w:rsid w:val="00570610"/>
    <w:rsid w:val="00571D15"/>
    <w:rsid w:val="005720DD"/>
    <w:rsid w:val="005762F6"/>
    <w:rsid w:val="00576D02"/>
    <w:rsid w:val="00584FBE"/>
    <w:rsid w:val="00585483"/>
    <w:rsid w:val="005866FF"/>
    <w:rsid w:val="00587378"/>
    <w:rsid w:val="00587C05"/>
    <w:rsid w:val="00590AAB"/>
    <w:rsid w:val="00592337"/>
    <w:rsid w:val="005938C3"/>
    <w:rsid w:val="0059468C"/>
    <w:rsid w:val="00595125"/>
    <w:rsid w:val="00596F21"/>
    <w:rsid w:val="005A1BF5"/>
    <w:rsid w:val="005A5317"/>
    <w:rsid w:val="005B1CDD"/>
    <w:rsid w:val="005B1E19"/>
    <w:rsid w:val="005B2FA8"/>
    <w:rsid w:val="005B55FC"/>
    <w:rsid w:val="005C0169"/>
    <w:rsid w:val="005C28C2"/>
    <w:rsid w:val="005C2D5E"/>
    <w:rsid w:val="005C3B81"/>
    <w:rsid w:val="005C650C"/>
    <w:rsid w:val="005D086C"/>
    <w:rsid w:val="005D11D3"/>
    <w:rsid w:val="005D14BF"/>
    <w:rsid w:val="005D1C4F"/>
    <w:rsid w:val="005D4202"/>
    <w:rsid w:val="005D4E1F"/>
    <w:rsid w:val="005D4FB3"/>
    <w:rsid w:val="005E2F07"/>
    <w:rsid w:val="005E2FEA"/>
    <w:rsid w:val="005F042C"/>
    <w:rsid w:val="005F1A82"/>
    <w:rsid w:val="005F314B"/>
    <w:rsid w:val="005F4A5D"/>
    <w:rsid w:val="00604BE4"/>
    <w:rsid w:val="00611AF2"/>
    <w:rsid w:val="0061212B"/>
    <w:rsid w:val="006127AF"/>
    <w:rsid w:val="00612C31"/>
    <w:rsid w:val="00613A98"/>
    <w:rsid w:val="00615FB2"/>
    <w:rsid w:val="00617BD1"/>
    <w:rsid w:val="00617CE8"/>
    <w:rsid w:val="00621A2F"/>
    <w:rsid w:val="006229CF"/>
    <w:rsid w:val="00624529"/>
    <w:rsid w:val="006248BD"/>
    <w:rsid w:val="006278A0"/>
    <w:rsid w:val="0063095F"/>
    <w:rsid w:val="00631CBD"/>
    <w:rsid w:val="0063704F"/>
    <w:rsid w:val="00637F87"/>
    <w:rsid w:val="00642C90"/>
    <w:rsid w:val="00646AC2"/>
    <w:rsid w:val="00650390"/>
    <w:rsid w:val="00650BE5"/>
    <w:rsid w:val="00652F21"/>
    <w:rsid w:val="0065416F"/>
    <w:rsid w:val="00654DAB"/>
    <w:rsid w:val="006566F6"/>
    <w:rsid w:val="006579DF"/>
    <w:rsid w:val="006617D9"/>
    <w:rsid w:val="0066204A"/>
    <w:rsid w:val="0066489D"/>
    <w:rsid w:val="00667715"/>
    <w:rsid w:val="00670E3C"/>
    <w:rsid w:val="00672DBA"/>
    <w:rsid w:val="00677F57"/>
    <w:rsid w:val="00681088"/>
    <w:rsid w:val="0068347E"/>
    <w:rsid w:val="0069577E"/>
    <w:rsid w:val="0069634B"/>
    <w:rsid w:val="00696623"/>
    <w:rsid w:val="006A04E9"/>
    <w:rsid w:val="006A074F"/>
    <w:rsid w:val="006A08CB"/>
    <w:rsid w:val="006A0EB1"/>
    <w:rsid w:val="006A1783"/>
    <w:rsid w:val="006A4099"/>
    <w:rsid w:val="006A4A03"/>
    <w:rsid w:val="006A7543"/>
    <w:rsid w:val="006B12FA"/>
    <w:rsid w:val="006B42F3"/>
    <w:rsid w:val="006B5F1E"/>
    <w:rsid w:val="006B6AED"/>
    <w:rsid w:val="006B725C"/>
    <w:rsid w:val="006C273D"/>
    <w:rsid w:val="006C4689"/>
    <w:rsid w:val="006C5C4F"/>
    <w:rsid w:val="006C6282"/>
    <w:rsid w:val="006C762A"/>
    <w:rsid w:val="006D5FF9"/>
    <w:rsid w:val="006E0772"/>
    <w:rsid w:val="006E0F86"/>
    <w:rsid w:val="006E0FFD"/>
    <w:rsid w:val="006E2A4F"/>
    <w:rsid w:val="006E33E8"/>
    <w:rsid w:val="006E3D93"/>
    <w:rsid w:val="006E4943"/>
    <w:rsid w:val="006F0B15"/>
    <w:rsid w:val="006F0DCC"/>
    <w:rsid w:val="006F1F8A"/>
    <w:rsid w:val="00703DF9"/>
    <w:rsid w:val="007047BD"/>
    <w:rsid w:val="007048EB"/>
    <w:rsid w:val="00704FBB"/>
    <w:rsid w:val="007066F7"/>
    <w:rsid w:val="0070726A"/>
    <w:rsid w:val="0071226B"/>
    <w:rsid w:val="00714A9F"/>
    <w:rsid w:val="00717040"/>
    <w:rsid w:val="0072457F"/>
    <w:rsid w:val="007259D4"/>
    <w:rsid w:val="00731680"/>
    <w:rsid w:val="00741377"/>
    <w:rsid w:val="00743FAB"/>
    <w:rsid w:val="00745D6B"/>
    <w:rsid w:val="00746E64"/>
    <w:rsid w:val="00747364"/>
    <w:rsid w:val="00747794"/>
    <w:rsid w:val="00753E48"/>
    <w:rsid w:val="00754C9E"/>
    <w:rsid w:val="00755ECF"/>
    <w:rsid w:val="007622A7"/>
    <w:rsid w:val="00765FE4"/>
    <w:rsid w:val="00770ACA"/>
    <w:rsid w:val="007750A2"/>
    <w:rsid w:val="007762C1"/>
    <w:rsid w:val="007817D6"/>
    <w:rsid w:val="00781996"/>
    <w:rsid w:val="00781E1C"/>
    <w:rsid w:val="00787912"/>
    <w:rsid w:val="007900DD"/>
    <w:rsid w:val="0079177A"/>
    <w:rsid w:val="00794836"/>
    <w:rsid w:val="007948D5"/>
    <w:rsid w:val="007A02C8"/>
    <w:rsid w:val="007A15C9"/>
    <w:rsid w:val="007A6676"/>
    <w:rsid w:val="007A6F4B"/>
    <w:rsid w:val="007B6872"/>
    <w:rsid w:val="007B6ED1"/>
    <w:rsid w:val="007B7FF5"/>
    <w:rsid w:val="007C3AC0"/>
    <w:rsid w:val="007C3FC6"/>
    <w:rsid w:val="007C476D"/>
    <w:rsid w:val="007D1B14"/>
    <w:rsid w:val="007D2CE9"/>
    <w:rsid w:val="007D30F2"/>
    <w:rsid w:val="007D4FED"/>
    <w:rsid w:val="007D54C2"/>
    <w:rsid w:val="007D69DA"/>
    <w:rsid w:val="007D70B1"/>
    <w:rsid w:val="007D7140"/>
    <w:rsid w:val="007E0B33"/>
    <w:rsid w:val="007E1CDB"/>
    <w:rsid w:val="007E408C"/>
    <w:rsid w:val="007E4662"/>
    <w:rsid w:val="007E50BF"/>
    <w:rsid w:val="007E62BC"/>
    <w:rsid w:val="007E7ABC"/>
    <w:rsid w:val="007E7E21"/>
    <w:rsid w:val="007F0460"/>
    <w:rsid w:val="007F0DA2"/>
    <w:rsid w:val="007F39CE"/>
    <w:rsid w:val="007F5E0D"/>
    <w:rsid w:val="007F616A"/>
    <w:rsid w:val="007F671E"/>
    <w:rsid w:val="007F7495"/>
    <w:rsid w:val="007F7A3B"/>
    <w:rsid w:val="0080039F"/>
    <w:rsid w:val="00801085"/>
    <w:rsid w:val="00801A89"/>
    <w:rsid w:val="00804457"/>
    <w:rsid w:val="0080682E"/>
    <w:rsid w:val="00812061"/>
    <w:rsid w:val="00812138"/>
    <w:rsid w:val="008121E7"/>
    <w:rsid w:val="008145C7"/>
    <w:rsid w:val="008151F2"/>
    <w:rsid w:val="00816B7E"/>
    <w:rsid w:val="0081777A"/>
    <w:rsid w:val="008210E0"/>
    <w:rsid w:val="00821256"/>
    <w:rsid w:val="00824079"/>
    <w:rsid w:val="00831F0A"/>
    <w:rsid w:val="00833A78"/>
    <w:rsid w:val="00841C10"/>
    <w:rsid w:val="00841E46"/>
    <w:rsid w:val="00844C79"/>
    <w:rsid w:val="00844F27"/>
    <w:rsid w:val="0084585F"/>
    <w:rsid w:val="00853E53"/>
    <w:rsid w:val="0085535C"/>
    <w:rsid w:val="0085593F"/>
    <w:rsid w:val="00863064"/>
    <w:rsid w:val="00864D76"/>
    <w:rsid w:val="008656C9"/>
    <w:rsid w:val="00865FBE"/>
    <w:rsid w:val="0086711C"/>
    <w:rsid w:val="00867535"/>
    <w:rsid w:val="00875C5B"/>
    <w:rsid w:val="0088041C"/>
    <w:rsid w:val="00883C5F"/>
    <w:rsid w:val="0089102A"/>
    <w:rsid w:val="00891721"/>
    <w:rsid w:val="00891C7D"/>
    <w:rsid w:val="00892FA7"/>
    <w:rsid w:val="00893D4C"/>
    <w:rsid w:val="00893F08"/>
    <w:rsid w:val="008A3301"/>
    <w:rsid w:val="008A4DF1"/>
    <w:rsid w:val="008A5636"/>
    <w:rsid w:val="008A56D0"/>
    <w:rsid w:val="008B125E"/>
    <w:rsid w:val="008B241C"/>
    <w:rsid w:val="008B408B"/>
    <w:rsid w:val="008B4F11"/>
    <w:rsid w:val="008B5167"/>
    <w:rsid w:val="008B6C85"/>
    <w:rsid w:val="008C2362"/>
    <w:rsid w:val="008C3049"/>
    <w:rsid w:val="008C74D9"/>
    <w:rsid w:val="008D2871"/>
    <w:rsid w:val="008D4AE9"/>
    <w:rsid w:val="008D521B"/>
    <w:rsid w:val="008D5CF3"/>
    <w:rsid w:val="008D70EC"/>
    <w:rsid w:val="008D7D39"/>
    <w:rsid w:val="008E00BD"/>
    <w:rsid w:val="008E4574"/>
    <w:rsid w:val="008F3A69"/>
    <w:rsid w:val="008F3AB4"/>
    <w:rsid w:val="008F4016"/>
    <w:rsid w:val="008F42FE"/>
    <w:rsid w:val="008F4A00"/>
    <w:rsid w:val="008F5402"/>
    <w:rsid w:val="008F56CA"/>
    <w:rsid w:val="008F639F"/>
    <w:rsid w:val="0090053A"/>
    <w:rsid w:val="00901C2A"/>
    <w:rsid w:val="00901E8B"/>
    <w:rsid w:val="00902E3F"/>
    <w:rsid w:val="009118C7"/>
    <w:rsid w:val="00912589"/>
    <w:rsid w:val="00913CB9"/>
    <w:rsid w:val="0091628A"/>
    <w:rsid w:val="00917258"/>
    <w:rsid w:val="00920BA1"/>
    <w:rsid w:val="009225B6"/>
    <w:rsid w:val="00925397"/>
    <w:rsid w:val="00930206"/>
    <w:rsid w:val="00932DB9"/>
    <w:rsid w:val="00933A21"/>
    <w:rsid w:val="00933C85"/>
    <w:rsid w:val="00934C10"/>
    <w:rsid w:val="00935A58"/>
    <w:rsid w:val="0093662A"/>
    <w:rsid w:val="0094060C"/>
    <w:rsid w:val="00942C4B"/>
    <w:rsid w:val="00944196"/>
    <w:rsid w:val="00946175"/>
    <w:rsid w:val="00954D9E"/>
    <w:rsid w:val="009565FE"/>
    <w:rsid w:val="009606A5"/>
    <w:rsid w:val="00961BBF"/>
    <w:rsid w:val="00962F1F"/>
    <w:rsid w:val="00963152"/>
    <w:rsid w:val="00965304"/>
    <w:rsid w:val="0097102B"/>
    <w:rsid w:val="00971293"/>
    <w:rsid w:val="00973A3B"/>
    <w:rsid w:val="00973D00"/>
    <w:rsid w:val="00981853"/>
    <w:rsid w:val="00983EAE"/>
    <w:rsid w:val="00984C72"/>
    <w:rsid w:val="0098760B"/>
    <w:rsid w:val="009962D4"/>
    <w:rsid w:val="00997053"/>
    <w:rsid w:val="009973EB"/>
    <w:rsid w:val="009A11DD"/>
    <w:rsid w:val="009A56C8"/>
    <w:rsid w:val="009B30AA"/>
    <w:rsid w:val="009B3A97"/>
    <w:rsid w:val="009B42A1"/>
    <w:rsid w:val="009B5217"/>
    <w:rsid w:val="009B5EFB"/>
    <w:rsid w:val="009B6BA8"/>
    <w:rsid w:val="009C2B27"/>
    <w:rsid w:val="009C3685"/>
    <w:rsid w:val="009C3D89"/>
    <w:rsid w:val="009C48DE"/>
    <w:rsid w:val="009C67A5"/>
    <w:rsid w:val="009D55D9"/>
    <w:rsid w:val="009D60D9"/>
    <w:rsid w:val="009E1E1E"/>
    <w:rsid w:val="009E33E3"/>
    <w:rsid w:val="009E428E"/>
    <w:rsid w:val="009E63B9"/>
    <w:rsid w:val="009E7F16"/>
    <w:rsid w:val="009F1E65"/>
    <w:rsid w:val="009F27F8"/>
    <w:rsid w:val="009F5052"/>
    <w:rsid w:val="00A02469"/>
    <w:rsid w:val="00A03083"/>
    <w:rsid w:val="00A04C85"/>
    <w:rsid w:val="00A100F0"/>
    <w:rsid w:val="00A156E6"/>
    <w:rsid w:val="00A15AFD"/>
    <w:rsid w:val="00A164B9"/>
    <w:rsid w:val="00A177C5"/>
    <w:rsid w:val="00A204DF"/>
    <w:rsid w:val="00A261CE"/>
    <w:rsid w:val="00A27D86"/>
    <w:rsid w:val="00A30A3D"/>
    <w:rsid w:val="00A3303A"/>
    <w:rsid w:val="00A33151"/>
    <w:rsid w:val="00A36970"/>
    <w:rsid w:val="00A36A87"/>
    <w:rsid w:val="00A40CC9"/>
    <w:rsid w:val="00A41EB4"/>
    <w:rsid w:val="00A44BFF"/>
    <w:rsid w:val="00A45381"/>
    <w:rsid w:val="00A457B5"/>
    <w:rsid w:val="00A501E3"/>
    <w:rsid w:val="00A50F0C"/>
    <w:rsid w:val="00A53C54"/>
    <w:rsid w:val="00A54E8C"/>
    <w:rsid w:val="00A558A7"/>
    <w:rsid w:val="00A56441"/>
    <w:rsid w:val="00A612C6"/>
    <w:rsid w:val="00A6207E"/>
    <w:rsid w:val="00A65608"/>
    <w:rsid w:val="00A70FE3"/>
    <w:rsid w:val="00A722C3"/>
    <w:rsid w:val="00A736DD"/>
    <w:rsid w:val="00A75226"/>
    <w:rsid w:val="00A7546A"/>
    <w:rsid w:val="00A76D17"/>
    <w:rsid w:val="00A76E56"/>
    <w:rsid w:val="00A77B1B"/>
    <w:rsid w:val="00A82869"/>
    <w:rsid w:val="00A85D4F"/>
    <w:rsid w:val="00A8662C"/>
    <w:rsid w:val="00A8723A"/>
    <w:rsid w:val="00A8758C"/>
    <w:rsid w:val="00A93929"/>
    <w:rsid w:val="00A95BDA"/>
    <w:rsid w:val="00A978D9"/>
    <w:rsid w:val="00AA127E"/>
    <w:rsid w:val="00AA19AE"/>
    <w:rsid w:val="00AA3234"/>
    <w:rsid w:val="00AA3CD7"/>
    <w:rsid w:val="00AA423D"/>
    <w:rsid w:val="00AA576F"/>
    <w:rsid w:val="00AA6A95"/>
    <w:rsid w:val="00AB10DE"/>
    <w:rsid w:val="00AB263E"/>
    <w:rsid w:val="00AB358A"/>
    <w:rsid w:val="00AB3668"/>
    <w:rsid w:val="00AB57DE"/>
    <w:rsid w:val="00AB5ED7"/>
    <w:rsid w:val="00AC0B4C"/>
    <w:rsid w:val="00AC280C"/>
    <w:rsid w:val="00AD0AEE"/>
    <w:rsid w:val="00AD1725"/>
    <w:rsid w:val="00AD49E3"/>
    <w:rsid w:val="00AD4B4F"/>
    <w:rsid w:val="00AF0616"/>
    <w:rsid w:val="00AF0E28"/>
    <w:rsid w:val="00AF1328"/>
    <w:rsid w:val="00AF23A4"/>
    <w:rsid w:val="00AF6402"/>
    <w:rsid w:val="00AF6F9B"/>
    <w:rsid w:val="00AF7604"/>
    <w:rsid w:val="00B01409"/>
    <w:rsid w:val="00B02027"/>
    <w:rsid w:val="00B10D37"/>
    <w:rsid w:val="00B10DBD"/>
    <w:rsid w:val="00B15629"/>
    <w:rsid w:val="00B21669"/>
    <w:rsid w:val="00B2372C"/>
    <w:rsid w:val="00B32F70"/>
    <w:rsid w:val="00B33A93"/>
    <w:rsid w:val="00B33F77"/>
    <w:rsid w:val="00B373D0"/>
    <w:rsid w:val="00B40188"/>
    <w:rsid w:val="00B40849"/>
    <w:rsid w:val="00B410A8"/>
    <w:rsid w:val="00B414CB"/>
    <w:rsid w:val="00B43AAA"/>
    <w:rsid w:val="00B509DA"/>
    <w:rsid w:val="00B53139"/>
    <w:rsid w:val="00B537D7"/>
    <w:rsid w:val="00B554E8"/>
    <w:rsid w:val="00B562CE"/>
    <w:rsid w:val="00B56807"/>
    <w:rsid w:val="00B61549"/>
    <w:rsid w:val="00B62DE2"/>
    <w:rsid w:val="00B7087D"/>
    <w:rsid w:val="00B74417"/>
    <w:rsid w:val="00B77246"/>
    <w:rsid w:val="00B824E8"/>
    <w:rsid w:val="00B82961"/>
    <w:rsid w:val="00B866CD"/>
    <w:rsid w:val="00B87BC7"/>
    <w:rsid w:val="00B91BAA"/>
    <w:rsid w:val="00B93034"/>
    <w:rsid w:val="00B93A81"/>
    <w:rsid w:val="00B96FD1"/>
    <w:rsid w:val="00B97C5D"/>
    <w:rsid w:val="00BA1290"/>
    <w:rsid w:val="00BA15EA"/>
    <w:rsid w:val="00BA2F2D"/>
    <w:rsid w:val="00BA4DCA"/>
    <w:rsid w:val="00BA6D26"/>
    <w:rsid w:val="00BB0302"/>
    <w:rsid w:val="00BB2792"/>
    <w:rsid w:val="00BB38DB"/>
    <w:rsid w:val="00BB3903"/>
    <w:rsid w:val="00BB39F3"/>
    <w:rsid w:val="00BB76BF"/>
    <w:rsid w:val="00BB7BFD"/>
    <w:rsid w:val="00BC1AD1"/>
    <w:rsid w:val="00BC1D82"/>
    <w:rsid w:val="00BC4A58"/>
    <w:rsid w:val="00BC613B"/>
    <w:rsid w:val="00BC6597"/>
    <w:rsid w:val="00BC6F89"/>
    <w:rsid w:val="00BD3FEB"/>
    <w:rsid w:val="00BD4955"/>
    <w:rsid w:val="00BD51D9"/>
    <w:rsid w:val="00BD64E2"/>
    <w:rsid w:val="00BD6A88"/>
    <w:rsid w:val="00BD7382"/>
    <w:rsid w:val="00BE0B80"/>
    <w:rsid w:val="00BE4995"/>
    <w:rsid w:val="00BE4D4E"/>
    <w:rsid w:val="00BF29C8"/>
    <w:rsid w:val="00BF429A"/>
    <w:rsid w:val="00BF62BE"/>
    <w:rsid w:val="00C07126"/>
    <w:rsid w:val="00C12A51"/>
    <w:rsid w:val="00C16853"/>
    <w:rsid w:val="00C16CB4"/>
    <w:rsid w:val="00C242D6"/>
    <w:rsid w:val="00C263F0"/>
    <w:rsid w:val="00C2704E"/>
    <w:rsid w:val="00C33D41"/>
    <w:rsid w:val="00C34B1E"/>
    <w:rsid w:val="00C3509D"/>
    <w:rsid w:val="00C356F7"/>
    <w:rsid w:val="00C3639C"/>
    <w:rsid w:val="00C364E6"/>
    <w:rsid w:val="00C36E63"/>
    <w:rsid w:val="00C40AFD"/>
    <w:rsid w:val="00C41E20"/>
    <w:rsid w:val="00C42E3E"/>
    <w:rsid w:val="00C441D0"/>
    <w:rsid w:val="00C51C13"/>
    <w:rsid w:val="00C525A5"/>
    <w:rsid w:val="00C5300F"/>
    <w:rsid w:val="00C54594"/>
    <w:rsid w:val="00C566A5"/>
    <w:rsid w:val="00C567DD"/>
    <w:rsid w:val="00C61C85"/>
    <w:rsid w:val="00C66CE0"/>
    <w:rsid w:val="00C719BF"/>
    <w:rsid w:val="00C71BED"/>
    <w:rsid w:val="00C737B2"/>
    <w:rsid w:val="00C8091E"/>
    <w:rsid w:val="00C81B53"/>
    <w:rsid w:val="00C82AD2"/>
    <w:rsid w:val="00C82ED9"/>
    <w:rsid w:val="00C8331A"/>
    <w:rsid w:val="00C848EE"/>
    <w:rsid w:val="00C87F02"/>
    <w:rsid w:val="00C90FB6"/>
    <w:rsid w:val="00C9220E"/>
    <w:rsid w:val="00C932BD"/>
    <w:rsid w:val="00C93429"/>
    <w:rsid w:val="00CA16C5"/>
    <w:rsid w:val="00CA4090"/>
    <w:rsid w:val="00CA415A"/>
    <w:rsid w:val="00CA7A35"/>
    <w:rsid w:val="00CB1536"/>
    <w:rsid w:val="00CB609E"/>
    <w:rsid w:val="00CB7FB8"/>
    <w:rsid w:val="00CC0E65"/>
    <w:rsid w:val="00CC1991"/>
    <w:rsid w:val="00CC1F71"/>
    <w:rsid w:val="00CC3CC8"/>
    <w:rsid w:val="00CC5588"/>
    <w:rsid w:val="00CC5EB3"/>
    <w:rsid w:val="00CC6FF1"/>
    <w:rsid w:val="00CD0E7B"/>
    <w:rsid w:val="00CD2ABD"/>
    <w:rsid w:val="00CD4024"/>
    <w:rsid w:val="00CD41F8"/>
    <w:rsid w:val="00CD44E5"/>
    <w:rsid w:val="00CD4617"/>
    <w:rsid w:val="00CD4855"/>
    <w:rsid w:val="00CE0485"/>
    <w:rsid w:val="00CE1BE2"/>
    <w:rsid w:val="00CE6D43"/>
    <w:rsid w:val="00CE7888"/>
    <w:rsid w:val="00CF19D3"/>
    <w:rsid w:val="00CF48A6"/>
    <w:rsid w:val="00D10E1C"/>
    <w:rsid w:val="00D14EAE"/>
    <w:rsid w:val="00D161A3"/>
    <w:rsid w:val="00D22E49"/>
    <w:rsid w:val="00D23716"/>
    <w:rsid w:val="00D25ED8"/>
    <w:rsid w:val="00D26564"/>
    <w:rsid w:val="00D27F8F"/>
    <w:rsid w:val="00D316B8"/>
    <w:rsid w:val="00D31CFC"/>
    <w:rsid w:val="00D3255D"/>
    <w:rsid w:val="00D340C3"/>
    <w:rsid w:val="00D407D5"/>
    <w:rsid w:val="00D409CD"/>
    <w:rsid w:val="00D423D4"/>
    <w:rsid w:val="00D42CAF"/>
    <w:rsid w:val="00D46EDD"/>
    <w:rsid w:val="00D5310F"/>
    <w:rsid w:val="00D601EF"/>
    <w:rsid w:val="00D61533"/>
    <w:rsid w:val="00D6190D"/>
    <w:rsid w:val="00D63B2F"/>
    <w:rsid w:val="00D64CF3"/>
    <w:rsid w:val="00D70747"/>
    <w:rsid w:val="00D7261D"/>
    <w:rsid w:val="00D755FC"/>
    <w:rsid w:val="00D76B6D"/>
    <w:rsid w:val="00D84558"/>
    <w:rsid w:val="00D84D07"/>
    <w:rsid w:val="00D8526A"/>
    <w:rsid w:val="00D90E91"/>
    <w:rsid w:val="00D94E35"/>
    <w:rsid w:val="00DA6F25"/>
    <w:rsid w:val="00DB044B"/>
    <w:rsid w:val="00DB05C3"/>
    <w:rsid w:val="00DB122B"/>
    <w:rsid w:val="00DB60E1"/>
    <w:rsid w:val="00DB79F3"/>
    <w:rsid w:val="00DC0355"/>
    <w:rsid w:val="00DC1347"/>
    <w:rsid w:val="00DC39F1"/>
    <w:rsid w:val="00DC59BC"/>
    <w:rsid w:val="00DD4E23"/>
    <w:rsid w:val="00DD5640"/>
    <w:rsid w:val="00DD7095"/>
    <w:rsid w:val="00DE4B35"/>
    <w:rsid w:val="00DE50BA"/>
    <w:rsid w:val="00DE5A8C"/>
    <w:rsid w:val="00DE6B86"/>
    <w:rsid w:val="00DE7350"/>
    <w:rsid w:val="00DF182F"/>
    <w:rsid w:val="00DF19C1"/>
    <w:rsid w:val="00DF54CA"/>
    <w:rsid w:val="00DF56C9"/>
    <w:rsid w:val="00DF5B64"/>
    <w:rsid w:val="00DF6332"/>
    <w:rsid w:val="00E0244A"/>
    <w:rsid w:val="00E02794"/>
    <w:rsid w:val="00E043E3"/>
    <w:rsid w:val="00E0505B"/>
    <w:rsid w:val="00E063EB"/>
    <w:rsid w:val="00E07977"/>
    <w:rsid w:val="00E10FEA"/>
    <w:rsid w:val="00E11280"/>
    <w:rsid w:val="00E12359"/>
    <w:rsid w:val="00E152FF"/>
    <w:rsid w:val="00E2461B"/>
    <w:rsid w:val="00E24886"/>
    <w:rsid w:val="00E26E00"/>
    <w:rsid w:val="00E276FB"/>
    <w:rsid w:val="00E30425"/>
    <w:rsid w:val="00E32595"/>
    <w:rsid w:val="00E32DC6"/>
    <w:rsid w:val="00E334D3"/>
    <w:rsid w:val="00E33A74"/>
    <w:rsid w:val="00E4030B"/>
    <w:rsid w:val="00E4101C"/>
    <w:rsid w:val="00E41D56"/>
    <w:rsid w:val="00E457DF"/>
    <w:rsid w:val="00E46642"/>
    <w:rsid w:val="00E466A0"/>
    <w:rsid w:val="00E50BE4"/>
    <w:rsid w:val="00E5139A"/>
    <w:rsid w:val="00E51ECB"/>
    <w:rsid w:val="00E523B9"/>
    <w:rsid w:val="00E5413D"/>
    <w:rsid w:val="00E57977"/>
    <w:rsid w:val="00E635D7"/>
    <w:rsid w:val="00E63BFA"/>
    <w:rsid w:val="00E64E71"/>
    <w:rsid w:val="00E70048"/>
    <w:rsid w:val="00E70576"/>
    <w:rsid w:val="00E71DED"/>
    <w:rsid w:val="00E73699"/>
    <w:rsid w:val="00E831E5"/>
    <w:rsid w:val="00E83492"/>
    <w:rsid w:val="00E83954"/>
    <w:rsid w:val="00E855B5"/>
    <w:rsid w:val="00E86506"/>
    <w:rsid w:val="00E87296"/>
    <w:rsid w:val="00E91397"/>
    <w:rsid w:val="00E91730"/>
    <w:rsid w:val="00E921C6"/>
    <w:rsid w:val="00E932CD"/>
    <w:rsid w:val="00E9401D"/>
    <w:rsid w:val="00E94284"/>
    <w:rsid w:val="00E947F0"/>
    <w:rsid w:val="00E94D41"/>
    <w:rsid w:val="00E96F04"/>
    <w:rsid w:val="00E97914"/>
    <w:rsid w:val="00E97AEC"/>
    <w:rsid w:val="00EA20FE"/>
    <w:rsid w:val="00EA2876"/>
    <w:rsid w:val="00EB21A6"/>
    <w:rsid w:val="00EB491E"/>
    <w:rsid w:val="00EB681B"/>
    <w:rsid w:val="00EC033E"/>
    <w:rsid w:val="00EC14B8"/>
    <w:rsid w:val="00EC18B7"/>
    <w:rsid w:val="00EC4FAD"/>
    <w:rsid w:val="00EC7EF4"/>
    <w:rsid w:val="00EE3CFA"/>
    <w:rsid w:val="00EE69E4"/>
    <w:rsid w:val="00EF2A7F"/>
    <w:rsid w:val="00EF4232"/>
    <w:rsid w:val="00EF7E90"/>
    <w:rsid w:val="00F002B6"/>
    <w:rsid w:val="00F02119"/>
    <w:rsid w:val="00F10AFE"/>
    <w:rsid w:val="00F15C6C"/>
    <w:rsid w:val="00F17173"/>
    <w:rsid w:val="00F20987"/>
    <w:rsid w:val="00F22339"/>
    <w:rsid w:val="00F224DC"/>
    <w:rsid w:val="00F23F31"/>
    <w:rsid w:val="00F2687F"/>
    <w:rsid w:val="00F26A5E"/>
    <w:rsid w:val="00F26CDB"/>
    <w:rsid w:val="00F27F29"/>
    <w:rsid w:val="00F32D54"/>
    <w:rsid w:val="00F355F7"/>
    <w:rsid w:val="00F3667B"/>
    <w:rsid w:val="00F366E4"/>
    <w:rsid w:val="00F36C54"/>
    <w:rsid w:val="00F418EA"/>
    <w:rsid w:val="00F41A29"/>
    <w:rsid w:val="00F42C7E"/>
    <w:rsid w:val="00F44C1C"/>
    <w:rsid w:val="00F44C4C"/>
    <w:rsid w:val="00F518DF"/>
    <w:rsid w:val="00F521F8"/>
    <w:rsid w:val="00F544DB"/>
    <w:rsid w:val="00F648EA"/>
    <w:rsid w:val="00F6502E"/>
    <w:rsid w:val="00F65663"/>
    <w:rsid w:val="00F658E9"/>
    <w:rsid w:val="00F74DE5"/>
    <w:rsid w:val="00F75147"/>
    <w:rsid w:val="00F756C0"/>
    <w:rsid w:val="00F75A40"/>
    <w:rsid w:val="00F77637"/>
    <w:rsid w:val="00F77CEB"/>
    <w:rsid w:val="00F814C0"/>
    <w:rsid w:val="00F8435D"/>
    <w:rsid w:val="00F862E5"/>
    <w:rsid w:val="00F87DD0"/>
    <w:rsid w:val="00F9139C"/>
    <w:rsid w:val="00F93360"/>
    <w:rsid w:val="00F93FE4"/>
    <w:rsid w:val="00F97DBD"/>
    <w:rsid w:val="00F97E4E"/>
    <w:rsid w:val="00FA1A40"/>
    <w:rsid w:val="00FA217B"/>
    <w:rsid w:val="00FA41A0"/>
    <w:rsid w:val="00FA70DC"/>
    <w:rsid w:val="00FB0BC5"/>
    <w:rsid w:val="00FB0BCC"/>
    <w:rsid w:val="00FB0CDA"/>
    <w:rsid w:val="00FB1CF7"/>
    <w:rsid w:val="00FB2335"/>
    <w:rsid w:val="00FB3EA7"/>
    <w:rsid w:val="00FB510B"/>
    <w:rsid w:val="00FB5158"/>
    <w:rsid w:val="00FC04BB"/>
    <w:rsid w:val="00FC0FE5"/>
    <w:rsid w:val="00FD1ABC"/>
    <w:rsid w:val="00FD7DDF"/>
    <w:rsid w:val="00FE403F"/>
    <w:rsid w:val="00FE4C92"/>
    <w:rsid w:val="00FE7898"/>
    <w:rsid w:val="00FF0571"/>
    <w:rsid w:val="00FF0FAA"/>
    <w:rsid w:val="00FF3759"/>
    <w:rsid w:val="00FF4396"/>
    <w:rsid w:val="03385EDC"/>
    <w:rsid w:val="1F4E351C"/>
    <w:rsid w:val="21119CFB"/>
    <w:rsid w:val="2429470A"/>
    <w:rsid w:val="39D18F54"/>
    <w:rsid w:val="53330C0B"/>
    <w:rsid w:val="770C2F97"/>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B3BE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de-DE"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21C6"/>
    <w:pPr>
      <w:spacing w:line="288" w:lineRule="auto"/>
      <w:jc w:val="both"/>
    </w:pPr>
    <w:rPr>
      <w:lang w:eastAsia="en-US" w:bidi="ar-SA"/>
    </w:rPr>
  </w:style>
  <w:style w:type="paragraph" w:styleId="Heading1">
    <w:name w:val="heading 1"/>
    <w:basedOn w:val="Normal"/>
    <w:next w:val="Normal"/>
    <w:link w:val="Heading1Char"/>
    <w:qFormat/>
    <w:rsid w:val="00E921C6"/>
    <w:pPr>
      <w:numPr>
        <w:numId w:val="1"/>
      </w:numPr>
      <w:ind w:left="567" w:hanging="567"/>
      <w:outlineLvl w:val="0"/>
    </w:pPr>
    <w:rPr>
      <w:kern w:val="28"/>
    </w:rPr>
  </w:style>
  <w:style w:type="paragraph" w:styleId="Heading2">
    <w:name w:val="heading 2"/>
    <w:basedOn w:val="Normal"/>
    <w:next w:val="Normal"/>
    <w:link w:val="Heading2Char"/>
    <w:qFormat/>
    <w:rsid w:val="00E921C6"/>
    <w:pPr>
      <w:numPr>
        <w:ilvl w:val="1"/>
        <w:numId w:val="1"/>
      </w:numPr>
      <w:ind w:left="567" w:hanging="567"/>
      <w:outlineLvl w:val="1"/>
    </w:pPr>
  </w:style>
  <w:style w:type="paragraph" w:styleId="Heading3">
    <w:name w:val="heading 3"/>
    <w:basedOn w:val="Normal"/>
    <w:next w:val="Normal"/>
    <w:link w:val="Heading3Char"/>
    <w:qFormat/>
    <w:rsid w:val="00E921C6"/>
    <w:pPr>
      <w:numPr>
        <w:ilvl w:val="2"/>
        <w:numId w:val="1"/>
      </w:numPr>
      <w:ind w:left="567" w:hanging="567"/>
      <w:outlineLvl w:val="2"/>
    </w:pPr>
  </w:style>
  <w:style w:type="paragraph" w:styleId="Heading4">
    <w:name w:val="heading 4"/>
    <w:basedOn w:val="Normal"/>
    <w:next w:val="Normal"/>
    <w:link w:val="Heading4Char"/>
    <w:qFormat/>
    <w:rsid w:val="00E921C6"/>
    <w:pPr>
      <w:numPr>
        <w:ilvl w:val="3"/>
        <w:numId w:val="1"/>
      </w:numPr>
      <w:ind w:left="567" w:hanging="567"/>
      <w:outlineLvl w:val="3"/>
    </w:pPr>
  </w:style>
  <w:style w:type="paragraph" w:styleId="Heading5">
    <w:name w:val="heading 5"/>
    <w:basedOn w:val="Normal"/>
    <w:next w:val="Normal"/>
    <w:link w:val="Heading5Char"/>
    <w:qFormat/>
    <w:rsid w:val="00E921C6"/>
    <w:pPr>
      <w:numPr>
        <w:ilvl w:val="4"/>
        <w:numId w:val="1"/>
      </w:numPr>
      <w:ind w:left="567" w:hanging="567"/>
      <w:outlineLvl w:val="4"/>
    </w:pPr>
  </w:style>
  <w:style w:type="paragraph" w:styleId="Heading6">
    <w:name w:val="heading 6"/>
    <w:basedOn w:val="Normal"/>
    <w:next w:val="Normal"/>
    <w:link w:val="Heading6Char"/>
    <w:qFormat/>
    <w:rsid w:val="00E921C6"/>
    <w:pPr>
      <w:numPr>
        <w:ilvl w:val="5"/>
        <w:numId w:val="1"/>
      </w:numPr>
      <w:ind w:left="567" w:hanging="567"/>
      <w:outlineLvl w:val="5"/>
    </w:pPr>
  </w:style>
  <w:style w:type="paragraph" w:styleId="Heading7">
    <w:name w:val="heading 7"/>
    <w:basedOn w:val="Normal"/>
    <w:next w:val="Normal"/>
    <w:link w:val="Heading7Char"/>
    <w:qFormat/>
    <w:rsid w:val="00E921C6"/>
    <w:pPr>
      <w:numPr>
        <w:ilvl w:val="6"/>
        <w:numId w:val="1"/>
      </w:numPr>
      <w:ind w:left="567" w:hanging="567"/>
      <w:outlineLvl w:val="6"/>
    </w:pPr>
  </w:style>
  <w:style w:type="paragraph" w:styleId="Heading8">
    <w:name w:val="heading 8"/>
    <w:basedOn w:val="Normal"/>
    <w:next w:val="Normal"/>
    <w:link w:val="Heading8Char"/>
    <w:qFormat/>
    <w:rsid w:val="00E921C6"/>
    <w:pPr>
      <w:numPr>
        <w:ilvl w:val="7"/>
        <w:numId w:val="1"/>
      </w:numPr>
      <w:ind w:left="567" w:hanging="567"/>
      <w:outlineLvl w:val="7"/>
    </w:pPr>
  </w:style>
  <w:style w:type="paragraph" w:styleId="Heading9">
    <w:name w:val="heading 9"/>
    <w:basedOn w:val="Normal"/>
    <w:next w:val="Normal"/>
    <w:link w:val="Heading9Char"/>
    <w:qFormat/>
    <w:rsid w:val="00E921C6"/>
    <w:pPr>
      <w:numPr>
        <w:ilvl w:val="8"/>
        <w:numId w:val="1"/>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de-DE" w:eastAsia="en-US" w:bidi="ar-SA"/>
    </w:rPr>
  </w:style>
  <w:style w:type="character" w:customStyle="1" w:styleId="Heading2Char">
    <w:name w:val="Heading 2 Char"/>
    <w:basedOn w:val="DefaultParagraphFont"/>
    <w:link w:val="Heading2"/>
    <w:locked/>
    <w:rsid w:val="00367157"/>
    <w:rPr>
      <w:lang w:val="de-DE" w:eastAsia="en-US" w:bidi="ar-SA"/>
    </w:rPr>
  </w:style>
  <w:style w:type="character" w:customStyle="1" w:styleId="Heading3Char">
    <w:name w:val="Heading 3 Char"/>
    <w:basedOn w:val="DefaultParagraphFont"/>
    <w:link w:val="Heading3"/>
    <w:rsid w:val="00367157"/>
    <w:rPr>
      <w:lang w:val="de-DE" w:eastAsia="en-US" w:bidi="ar-SA"/>
    </w:rPr>
  </w:style>
  <w:style w:type="character" w:customStyle="1" w:styleId="Heading4Char">
    <w:name w:val="Heading 4 Char"/>
    <w:basedOn w:val="DefaultParagraphFont"/>
    <w:link w:val="Heading4"/>
    <w:locked/>
    <w:rsid w:val="00CB1536"/>
    <w:rPr>
      <w:lang w:val="de-DE" w:eastAsia="en-US" w:bidi="ar-SA"/>
    </w:rPr>
  </w:style>
  <w:style w:type="character" w:customStyle="1" w:styleId="Heading5Char">
    <w:name w:val="Heading 5 Char"/>
    <w:basedOn w:val="DefaultParagraphFont"/>
    <w:link w:val="Heading5"/>
    <w:locked/>
    <w:rsid w:val="00CB1536"/>
    <w:rPr>
      <w:lang w:val="de-DE" w:eastAsia="en-US" w:bidi="ar-SA"/>
    </w:rPr>
  </w:style>
  <w:style w:type="character" w:customStyle="1" w:styleId="Heading6Char">
    <w:name w:val="Heading 6 Char"/>
    <w:basedOn w:val="DefaultParagraphFont"/>
    <w:link w:val="Heading6"/>
    <w:locked/>
    <w:rsid w:val="00CB1536"/>
    <w:rPr>
      <w:lang w:val="de-DE" w:eastAsia="en-US" w:bidi="ar-SA"/>
    </w:rPr>
  </w:style>
  <w:style w:type="character" w:customStyle="1" w:styleId="Heading7Char">
    <w:name w:val="Heading 7 Char"/>
    <w:basedOn w:val="DefaultParagraphFont"/>
    <w:link w:val="Heading7"/>
    <w:locked/>
    <w:rsid w:val="00CB1536"/>
    <w:rPr>
      <w:lang w:val="de-DE" w:eastAsia="en-US" w:bidi="ar-SA"/>
    </w:rPr>
  </w:style>
  <w:style w:type="character" w:customStyle="1" w:styleId="Heading8Char">
    <w:name w:val="Heading 8 Char"/>
    <w:basedOn w:val="DefaultParagraphFont"/>
    <w:link w:val="Heading8"/>
    <w:locked/>
    <w:rsid w:val="00CB1536"/>
    <w:rPr>
      <w:lang w:val="de-DE" w:eastAsia="en-US" w:bidi="ar-SA"/>
    </w:rPr>
  </w:style>
  <w:style w:type="character" w:customStyle="1" w:styleId="Heading9Char">
    <w:name w:val="Heading 9 Char"/>
    <w:basedOn w:val="DefaultParagraphFont"/>
    <w:link w:val="Heading9"/>
    <w:locked/>
    <w:rsid w:val="00CB1536"/>
    <w:rPr>
      <w:lang w:val="de-DE" w:eastAsia="en-US" w:bidi="ar-SA"/>
    </w:rPr>
  </w:style>
  <w:style w:type="paragraph" w:styleId="Footer">
    <w:name w:val="footer"/>
    <w:basedOn w:val="Normal"/>
    <w:link w:val="FooterChar"/>
    <w:qFormat/>
    <w:rsid w:val="00E921C6"/>
  </w:style>
  <w:style w:type="character" w:customStyle="1" w:styleId="FooterChar">
    <w:name w:val="Footer Char"/>
    <w:basedOn w:val="DefaultParagraphFont"/>
    <w:link w:val="Footer"/>
    <w:locked/>
    <w:rsid w:val="00CB1536"/>
    <w:rPr>
      <w:lang w:val="de-DE" w:eastAsia="en-US" w:bidi="ar-SA"/>
    </w:rPr>
  </w:style>
  <w:style w:type="paragraph" w:styleId="FootnoteText">
    <w:name w:val="footnote text"/>
    <w:basedOn w:val="Normal"/>
    <w:link w:val="FootnoteTextChar"/>
    <w:qFormat/>
    <w:rsid w:val="00E921C6"/>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de-DE" w:eastAsia="en-US" w:bidi="ar-SA"/>
    </w:rPr>
  </w:style>
  <w:style w:type="paragraph" w:styleId="Header">
    <w:name w:val="header"/>
    <w:basedOn w:val="Normal"/>
    <w:link w:val="HeaderChar"/>
    <w:qFormat/>
    <w:rsid w:val="00E921C6"/>
  </w:style>
  <w:style w:type="character" w:customStyle="1" w:styleId="HeaderChar">
    <w:name w:val="Header Char"/>
    <w:basedOn w:val="DefaultParagraphFont"/>
    <w:link w:val="Header"/>
    <w:locked/>
    <w:rsid w:val="00CB1536"/>
    <w:rPr>
      <w:lang w:val="de-DE"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E921C6"/>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E921C6"/>
    <w:pPr>
      <w:ind w:left="720"/>
    </w:pPr>
    <w:rPr>
      <w:i/>
    </w:rPr>
  </w:style>
  <w:style w:type="paragraph" w:styleId="EndnoteText">
    <w:name w:val="endnote text"/>
    <w:basedOn w:val="Normal"/>
    <w:link w:val="EndnoteTextChar"/>
    <w:uiPriority w:val="99"/>
    <w:semiHidden/>
    <w:unhideWhenUsed/>
    <w:rsid w:val="000C2DD3"/>
    <w:pPr>
      <w:spacing w:line="240" w:lineRule="auto"/>
    </w:pPr>
    <w:rPr>
      <w:sz w:val="20"/>
      <w:szCs w:val="20"/>
    </w:rPr>
  </w:style>
  <w:style w:type="character" w:customStyle="1" w:styleId="EndnoteTextChar">
    <w:name w:val="Endnote Text Char"/>
    <w:basedOn w:val="DefaultParagraphFont"/>
    <w:link w:val="EndnoteText"/>
    <w:uiPriority w:val="99"/>
    <w:semiHidden/>
    <w:rsid w:val="000C2DD3"/>
    <w:rPr>
      <w:sz w:val="20"/>
      <w:szCs w:val="20"/>
      <w:lang w:eastAsia="en-US" w:bidi="ar-SA"/>
    </w:rPr>
  </w:style>
  <w:style w:type="character" w:styleId="EndnoteReference">
    <w:name w:val="endnote reference"/>
    <w:basedOn w:val="DefaultParagraphFont"/>
    <w:uiPriority w:val="99"/>
    <w:semiHidden/>
    <w:unhideWhenUsed/>
    <w:rsid w:val="000C2DD3"/>
    <w:rPr>
      <w:vertAlign w:val="superscript"/>
    </w:rPr>
  </w:style>
  <w:style w:type="table" w:styleId="TableGrid">
    <w:name w:val="Table Grid"/>
    <w:basedOn w:val="TableNormal"/>
    <w:locked/>
    <w:rsid w:val="008630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618063">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1333803484">
      <w:bodyDiv w:val="1"/>
      <w:marLeft w:val="0"/>
      <w:marRight w:val="0"/>
      <w:marTop w:val="0"/>
      <w:marBottom w:val="0"/>
      <w:divBdr>
        <w:top w:val="none" w:sz="0" w:space="0" w:color="auto"/>
        <w:left w:val="none" w:sz="0" w:space="0" w:color="auto"/>
        <w:bottom w:val="none" w:sz="0" w:space="0" w:color="auto"/>
        <w:right w:val="none" w:sz="0" w:space="0" w:color="auto"/>
      </w:divBdr>
    </w:div>
    <w:div w:id="1523203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mailto:Katarina.Albrechtova@eesc.europa.eu"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notes.xml.rels><?xml version="1.0" encoding="UTF-8" standalone="yes"?>
<Relationships xmlns="http://schemas.openxmlformats.org/package/2006/relationships"><Relationship Id="rId8" Type="http://schemas.openxmlformats.org/officeDocument/2006/relationships/hyperlink" Target="https://www.pravda.com.ua/news/2025/05/21/7513302/" TargetMode="External"/><Relationship Id="rId3" Type="http://schemas.openxmlformats.org/officeDocument/2006/relationships/hyperlink" Target="https://eur-lex.europa.eu/legal-content/DE/TXT/?uri=CELEX%3A52025DC0649&amp;qid=1750843977659" TargetMode="External"/><Relationship Id="rId7" Type="http://schemas.openxmlformats.org/officeDocument/2006/relationships/hyperlink" Target="https://www.transparency.org/en/cpi/2024/" TargetMode="External"/><Relationship Id="rId2" Type="http://schemas.openxmlformats.org/officeDocument/2006/relationships/hyperlink" Target="https://eur-lex.europa.eu/legal-content/DE/TXT/?uri=CELEX%3A52025DC0649&amp;qid=1750843977659" TargetMode="External"/><Relationship Id="rId1" Type="http://schemas.openxmlformats.org/officeDocument/2006/relationships/hyperlink" Target="https://ec.europa.eu/eurostat/statistics-explained/index.php?title=Temporary_protection_for_persons_fleeing_Ukraine_-_monthly_statistics." TargetMode="External"/><Relationship Id="rId6" Type="http://schemas.openxmlformats.org/officeDocument/2006/relationships/hyperlink" Target="https://doi.org/10.1787/7dbe965b-en" TargetMode="External"/><Relationship Id="rId5" Type="http://schemas.openxmlformats.org/officeDocument/2006/relationships/hyperlink" Target="https://kiis.com.ua/?lang=ukr&amp;cat=reports&amp;id=1512&amp;page=1" TargetMode="External"/><Relationship Id="rId4" Type="http://schemas.openxmlformats.org/officeDocument/2006/relationships/hyperlink" Target="https://www.eurofound.europa.eu/de/publications/all/support-ukraine-still-high-among-eu-citizens-some-fall-apparent-among" TargetMode="External"/><Relationship Id="rId9" Type="http://schemas.openxmlformats.org/officeDocument/2006/relationships/hyperlink" Target="https://home-affairs.ec.europa.eu/whats-new/publications/navigating-health-and-well-being-challenges-refugees-ukraine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A6WAAD5KZT2Q-235352946-8425</_dlc_DocId>
    <_dlc_DocIdUrl xmlns="1a33af13-4045-4f88-9d7b-618e30f79918">
      <Url>http://dm/eesc/2025/_layouts/15/DocIdRedir.aspx?ID=A6WAAD5KZT2Q-235352946-8425</Url>
      <Description>A6WAAD5KZT2Q-235352946-8425</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2025-11-14T12:00:00+00:00</ProductionDate>
    <DocumentNumber xmlns="a3e83899-37aa-47c6-ba54-4ea80e9c17cf">2613</DocumentNumber>
    <FicheYear xmlns="1a33af13-4045-4f88-9d7b-618e30f79918" xsi:nil="true"/>
    <DossierNumber xmlns="1a33af13-4045-4f88-9d7b-618e30f79918">608</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2</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DE</TermName>
          <TermId xmlns="http://schemas.microsoft.com/office/infopath/2007/PartnerControls">f6b31e5a-26fa-4935-b661-318e46daf27e</TermId>
        </TermInfo>
      </Terms>
    </DocumentLanguage_0>
    <Rapporteur xmlns="1a33af13-4045-4f88-9d7b-618e30f79918">SZYMAŃSKI &amp; BALON</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296495</FicheNumber>
    <OriginalSender xmlns="1a33af13-4045-4f88-9d7b-618e30f79918">
      <UserInfo>
        <DisplayName>Gumm Alexander</DisplayName>
        <AccountId>1510</AccountId>
        <AccountType/>
      </UserInfo>
    </OriginalSender>
    <DocumentPart xmlns="1a33af13-4045-4f88-9d7b-618e30f79918">0</DocumentPart>
    <AdoptionDate xmlns="1a33af13-4045-4f88-9d7b-618e30f79918" xsi:nil="true"/>
    <RequestingService xmlns="1a33af13-4045-4f88-9d7b-618e30f79918">Relations extérieures</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REX</TermName>
          <TermId xmlns="http://schemas.microsoft.com/office/infopath/2007/PartnerControls">6820eaf5-116e-436b-ad9c-156f8a94c2a1</TermId>
        </TermInfo>
      </Terms>
    </DossierName_0>
    <DocumentVersion xmlns="1a33af13-4045-4f88-9d7b-618e30f79918">1</DocumentVersion>
  </documentManagement>
</p:properties>
</file>

<file path=customXml/itemProps1.xml><?xml version="1.0" encoding="utf-8"?>
<ds:datastoreItem xmlns:ds="http://schemas.openxmlformats.org/officeDocument/2006/customXml" ds:itemID="{D722EEFD-6F59-4E7E-8CD9-3635A27ADA1D}"/>
</file>

<file path=customXml/itemProps2.xml><?xml version="1.0" encoding="utf-8"?>
<ds:datastoreItem xmlns:ds="http://schemas.openxmlformats.org/officeDocument/2006/customXml" ds:itemID="{DCC1BB1A-851A-49D3-B0DB-688B62D6BFF6}">
  <ds:schemaRefs>
    <ds:schemaRef ds:uri="http://schemas.microsoft.com/sharepoint/events"/>
  </ds:schemaRefs>
</ds:datastoreItem>
</file>

<file path=customXml/itemProps3.xml><?xml version="1.0" encoding="utf-8"?>
<ds:datastoreItem xmlns:ds="http://schemas.openxmlformats.org/officeDocument/2006/customXml" ds:itemID="{45BC4D9D-62D8-4813-B7AB-614D4BC89E48}">
  <ds:schemaRefs>
    <ds:schemaRef ds:uri="http://schemas.microsoft.com/sharepoint/v3/contenttype/forms"/>
  </ds:schemaRefs>
</ds:datastoreItem>
</file>

<file path=customXml/itemProps4.xml><?xml version="1.0" encoding="utf-8"?>
<ds:datastoreItem xmlns:ds="http://schemas.openxmlformats.org/officeDocument/2006/customXml" ds:itemID="{7E0B65CC-C162-4425-A5F9-9B4AF04D26C4}">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3576</Words>
  <Characters>23996</Characters>
  <Application>Microsoft Office Word</Application>
  <DocSecurity>0</DocSecurity>
  <Lines>199</Lines>
  <Paragraphs>55</Paragraphs>
  <ScaleCrop>false</ScaleCrop>
  <HeadingPairs>
    <vt:vector size="2" baseType="variant">
      <vt:variant>
        <vt:lpstr>Title</vt:lpstr>
      </vt:variant>
      <vt:variant>
        <vt:i4>1</vt:i4>
      </vt:variant>
    </vt:vector>
  </HeadingPairs>
  <TitlesOfParts>
    <vt:vector size="1" baseType="lpstr">
      <vt:lpstr>A predictable and common European way forward for Ukrainians in the EU</vt:lpstr>
    </vt:vector>
  </TitlesOfParts>
  <Manager/>
  <Company/>
  <LinksUpToDate>false</LinksUpToDate>
  <CharactersWithSpaces>27517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 vorhersehbarer und gemeinsamer europäischer Weg in die Zukunft für die Ukrainerinnen und Ukrainer in der EU</dc:title>
  <dc:subject>Section opinion</dc:subject>
  <dc:creator/>
  <cp:keywords>EESC-2025-02613-00-00-AS-TRA-EN</cp:keywords>
  <dc:description>Rapporteur: - SZYMAŃSKI &amp; BALON Original language: - EN Date of document: - 12/11/2025 Date of meeting: - 03/12/2025 External documents: - COM(2025)649- final Administrator responsible: - MME ALBRECHTOVA Katarina</dc:description>
  <cp:lastModifiedBy/>
  <cp:revision>11</cp:revision>
  <cp:lastPrinted>2025-08-09T11:16:00Z</cp:lastPrinted>
  <dcterms:created xsi:type="dcterms:W3CDTF">2025-11-14T07:57:00Z</dcterms:created>
  <dcterms:modified xsi:type="dcterms:W3CDTF">2025-11-14T13:33:00Z</dcterms:modified>
  <cp:category>REX/608</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14/11/2025, 12/11/2025, 30/10/2025, 28/10/2025, 15/10/2025, 19/08/2025, 12/04/2024, 17/05/2022, 04/11/2015, 27/10/2015, 19/10/2015, 09/10/2015, 05/10/2015, 05/10/2015, 26/08/2015, 26/08/2015, 25/08/2015</vt:lpwstr>
  </property>
  <property fmtid="{D5CDD505-2E9C-101B-9397-08002B2CF9AE}" pid="4" name="Pref_Time">
    <vt:lpwstr>08:57:08, 16:38:55, 16:50:58, 16:32:26, 11:39:44, 16:19:10, 12:08:09, 12:59:17, 12:10:07, 14:44:02, 16:04:16, 14:09:30, 16:24:55, 16:04:02, 08:56:14, 07:27:56, 17:31:53</vt:lpwstr>
  </property>
  <property fmtid="{D5CDD505-2E9C-101B-9397-08002B2CF9AE}" pid="5" name="Pref_User">
    <vt:lpwstr>pacup, amett, amett, pacup, amett, amett, enied, enied, ssex, enied, amett, tvoc, mreg, mreg, amett, enied, ssex</vt:lpwstr>
  </property>
  <property fmtid="{D5CDD505-2E9C-101B-9397-08002B2CF9AE}" pid="6" name="Pref_FileName">
    <vt:lpwstr>EESC-2025-02613-00-01-AS-ORI.docx, EESC-2025-02613-00-00-AS-TRA-EN-CRR.docx, EESC-2025-02613-00-01-PA-TRA-EN-CRR.docx, EESC-2025-02613-00-00-PA-TRA-EN-CRR.docx, EESC-2025-02613-00-00-APA-ORI.docx, EESC-2025-02613-00-00-DT-ORI.docx, COR-EESC-2024-01326-00-</vt:lpwstr>
  </property>
  <property fmtid="{D5CDD505-2E9C-101B-9397-08002B2CF9AE}" pid="7" name="ContentTypeId">
    <vt:lpwstr>0x010100EA97B91038054C99906057A708A1480A004B94E0CD93B68F4F96D67EEBEC8A7176</vt:lpwstr>
  </property>
  <property fmtid="{D5CDD505-2E9C-101B-9397-08002B2CF9AE}" pid="8" name="_dlc_DocIdItemGuid">
    <vt:lpwstr>b94a8cc5-ece9-4c22-a454-1069a3eaf34b</vt:lpwstr>
  </property>
  <property fmtid="{D5CDD505-2E9C-101B-9397-08002B2CF9AE}" pid="9" name="AvailableTranslations">
    <vt:lpwstr>50;#HR|2f555653-ed1a-4fe6-8362-9082d95989e5;#36;#RO|feb747a2-64cd-4299-af12-4833ddc30497;#12;#FR|d2afafd3-4c81-4f60-8f52-ee33f2f54ff3;#23;#DE|f6b31e5a-26fa-4935-b661-318e46daf27e;#39;#LV|46f7e311-5d9f-4663-b433-18aeccb7ace7;#31;#SL|98a412ae-eb01-49e9-ae3d-585a81724cfc;#5;#EN|f2175f21-25d7-44a3-96da-d6a61b075e1b;#16;#ES|e7a6b05b-ae16-40c8-add9-68b64b03aeba;#29;#CS|72f9705b-0217-4fd3-bea2-cbc7ed80e26e;#28;#SV|c2ed69e7-a339-43d7-8f22-d93680a92aa0;#42;#EL|6d4f4d51-af9b-4650-94b4-4276bee85c91;#30;#LT|a7ff5ce7-6123-4f68-865a-a57c31810414;#35;#FI|87606a43-d45f-42d6-b8c9-e1a3457db5b7;#33;#PT|50ccc04a-eadd-42ae-a0cb-acaf45f812ba;#41;#ET|ff6c3f4c-b02c-4c3c-ab07-2c37995a7a0a;#43;#GA|762d2456-c427-4ecb-b312-af3dad8e258c;#27;#NL|55c6556c-b4f4-441d-9acf-c498d4f838bd;#40;#DA|5d49c027-8956-412b-aa16-e85a0f96ad0e;#47;#BG|1a1b3951-7821-4e6a-85f5-5673fc08bd2c;#34;#IT|0774613c-01ed-4e5d-a25d-11d2388de825;#32;#MT|7df99101-6854-4a26-b53a-b88c0da02c26;#24;#PL|1e03da61-4678-4e07-b136-b5024ca9197b;#37;#HU|6b229040-c589-4408-b4c1-4285663d20a8;#46;#SK|46d9fce0-ef79-4f71-b89b-cd6aa82426b8</vt:lpwstr>
  </property>
  <property fmtid="{D5CDD505-2E9C-101B-9397-08002B2CF9AE}" pid="10" name="DocumentType_0">
    <vt:lpwstr>AS|c7a748eb-f6f2-4d9d-8b5a-af0cafebc224</vt:lpwstr>
  </property>
  <property fmtid="{D5CDD505-2E9C-101B-9397-08002B2CF9AE}" pid="11" name="MeetingNumber">
    <vt:i4>601</vt:i4>
  </property>
  <property fmtid="{D5CDD505-2E9C-101B-9397-08002B2CF9AE}" pid="12" name="DossierName_0">
    <vt:lpwstr>REX|6820eaf5-116e-436b-ad9c-156f8a94c2a1</vt:lpwstr>
  </property>
  <property fmtid="{D5CDD505-2E9C-101B-9397-08002B2CF9AE}" pid="13" name="DocumentSource_0">
    <vt:lpwstr>EESC|422833ec-8d7e-4e65-8e4e-8bed07ffb729</vt:lpwstr>
  </property>
  <property fmtid="{D5CDD505-2E9C-101B-9397-08002B2CF9AE}" pid="14" name="DocumentNumber">
    <vt:i4>2613</vt:i4>
  </property>
  <property fmtid="{D5CDD505-2E9C-101B-9397-08002B2CF9AE}" pid="15" name="FicheYear">
    <vt:i4>2025</vt:i4>
  </property>
  <property fmtid="{D5CDD505-2E9C-101B-9397-08002B2CF9AE}" pid="16" name="DocumentVersion">
    <vt:i4>1</vt:i4>
  </property>
  <property fmtid="{D5CDD505-2E9C-101B-9397-08002B2CF9AE}" pid="17" name="DossierNumber">
    <vt:i4>608</vt:i4>
  </property>
  <property fmtid="{D5CDD505-2E9C-101B-9397-08002B2CF9AE}" pid="18" name="DocumentStatus">
    <vt:lpwstr>13;#TRA|150d2a88-1431-44e6-a8ca-0bb753ab8672</vt:lpwstr>
  </property>
  <property fmtid="{D5CDD505-2E9C-101B-9397-08002B2CF9AE}" pid="19" name="DossierName">
    <vt:lpwstr>2;#REX|6820eaf5-116e-436b-ad9c-156f8a94c2a1</vt:lpwstr>
  </property>
  <property fmtid="{D5CDD505-2E9C-101B-9397-08002B2CF9AE}" pid="20" name="RequestingService">
    <vt:lpwstr>Relations extérieures</vt:lpwstr>
  </property>
  <property fmtid="{D5CDD505-2E9C-101B-9397-08002B2CF9AE}" pid="21" name="Confidentiality">
    <vt:lpwstr>15;#Unrestricted|826e22d7-d029-4ec0-a450-0c28ff673572</vt:lpwstr>
  </property>
  <property fmtid="{D5CDD505-2E9C-101B-9397-08002B2CF9AE}" pid="22" name="MeetingName_0">
    <vt:lpwstr>SPL-CES|32d8cb1f-c9ec-4365-95c7-8385a18618ac</vt:lpwstr>
  </property>
  <property fmtid="{D5CDD505-2E9C-101B-9397-08002B2CF9AE}" pid="23" name="Confidentiality_0">
    <vt:lpwstr>Unrestricted|826e22d7-d029-4ec0-a450-0c28ff673572</vt:lpwstr>
  </property>
  <property fmtid="{D5CDD505-2E9C-101B-9397-08002B2CF9AE}" pid="24" name="OriginalLanguage">
    <vt:lpwstr>5;#EN|f2175f21-25d7-44a3-96da-d6a61b075e1b</vt:lpwstr>
  </property>
  <property fmtid="{D5CDD505-2E9C-101B-9397-08002B2CF9AE}" pid="25" name="MeetingName">
    <vt:lpwstr>67;#SPL-CES|32d8cb1f-c9ec-4365-95c7-8385a18618ac</vt:lpwstr>
  </property>
  <property fmtid="{D5CDD505-2E9C-101B-9397-08002B2CF9AE}" pid="26" name="MeetingDate">
    <vt:filetime>2025-12-03T12:00:00Z</vt:filetime>
  </property>
  <property fmtid="{D5CDD505-2E9C-101B-9397-08002B2CF9AE}" pid="27" name="AvailableTranslations_0">
    <vt:lpwstr>FR|d2afafd3-4c81-4f60-8f52-ee33f2f54ff3;LV|46f7e311-5d9f-4663-b433-18aeccb7ace7;SL|98a412ae-eb01-49e9-ae3d-585a81724cfc;EN|f2175f21-25d7-44a3-96da-d6a61b075e1b;ES|e7a6b05b-ae16-40c8-add9-68b64b03aeba;CS|72f9705b-0217-4fd3-bea2-cbc7ed80e26e;LT|a7ff5ce7-6123-4f68-865a-a57c31810414;FI|87606a43-d45f-42d6-b8c9-e1a3457db5b7;ET|ff6c3f4c-b02c-4c3c-ab07-2c37995a7a0a;GA|762d2456-c427-4ecb-b312-af3dad8e258c;NL|55c6556c-b4f4-441d-9acf-c498d4f838bd;DA|5d49c027-8956-412b-aa16-e85a0f96ad0e;MT|7df99101-6854-4a26-b53a-b88c0da02c26;PL|1e03da61-4678-4e07-b136-b5024ca9197b;SK|46d9fce0-ef79-4f71-b89b-cd6aa82426b8</vt:lpwstr>
  </property>
  <property fmtid="{D5CDD505-2E9C-101B-9397-08002B2CF9AE}" pid="28" name="DocumentStatus_0">
    <vt:lpwstr>TRA|150d2a88-1431-44e6-a8ca-0bb753ab8672</vt:lpwstr>
  </property>
  <property fmtid="{D5CDD505-2E9C-101B-9397-08002B2CF9AE}" pid="29" name="OriginalLanguage_0">
    <vt:lpwstr>EN|f2175f21-25d7-44a3-96da-d6a61b075e1b</vt:lpwstr>
  </property>
  <property fmtid="{D5CDD505-2E9C-101B-9397-08002B2CF9AE}" pid="30" name="TaxCatchAll">
    <vt:lpwstr>35;#FI|87606a43-d45f-42d6-b8c9-e1a3457db5b7;#32;#MT|7df99101-6854-4a26-b53a-b88c0da02c26;#31;#SL|98a412ae-eb01-49e9-ae3d-585a81724cfc;#67;#SPL-CES|32d8cb1f-c9ec-4365-95c7-8385a18618ac;#29;#CS|72f9705b-0217-4fd3-bea2-cbc7ed80e26e;#27;#NL|55c6556c-b4f4-441d-9acf-c498d4f838bd;#24;#PL|1e03da61-4678-4e07-b136-b5024ca9197b;#15;#Unrestricted|826e22d7-d029-4ec0-a450-0c28ff673572;#39;#LV|46f7e311-5d9f-4663-b433-18aeccb7ace7;#16;#ES|e7a6b05b-ae16-40c8-add9-68b64b03aeba;#126;#AS|c7a748eb-f6f2-4d9d-8b5a-af0cafebc224;#13;#TRA|150d2a88-1431-44e6-a8ca-0bb753ab8672;#12;#FR|d2afafd3-4c81-4f60-8f52-ee33f2f54ff3;#46;#SK|46d9fce0-ef79-4f71-b89b-cd6aa82426b8;#8;#Final|ea5e6674-7b27-4bac-b091-73adbb394efe;#43;#GA|762d2456-c427-4ecb-b312-af3dad8e258c;#5;#EN|f2175f21-25d7-44a3-96da-d6a61b075e1b;#41;#ET|ff6c3f4c-b02c-4c3c-ab07-2c37995a7a0a;#40;#DA|5d49c027-8956-412b-aa16-e85a0f96ad0e;#2;#REX|6820eaf5-116e-436b-ad9c-156f8a94c2a1;#1;#EESC|422833ec-8d7e-4e65-8e4e-8bed07ffb729;#30;#LT|a7ff5ce7-6123-4f68-865a-a57c31810414</vt:lpwstr>
  </property>
  <property fmtid="{D5CDD505-2E9C-101B-9397-08002B2CF9AE}" pid="31" name="Rapporteur">
    <vt:lpwstr>SZYMAŃSKI &amp; BALON</vt:lpwstr>
  </property>
  <property fmtid="{D5CDD505-2E9C-101B-9397-08002B2CF9AE}" pid="32" name="VersionStatus_0">
    <vt:lpwstr>Final|ea5e6674-7b27-4bac-b091-73adbb394efe</vt:lpwstr>
  </property>
  <property fmtid="{D5CDD505-2E9C-101B-9397-08002B2CF9AE}" pid="33" name="VersionStatus">
    <vt:lpwstr>8;#Final|ea5e6674-7b27-4bac-b091-73adbb394efe</vt:lpwstr>
  </property>
  <property fmtid="{D5CDD505-2E9C-101B-9397-08002B2CF9AE}" pid="34" name="DocumentYear">
    <vt:i4>2025</vt:i4>
  </property>
  <property fmtid="{D5CDD505-2E9C-101B-9397-08002B2CF9AE}" pid="35" name="FicheNumber">
    <vt:i4>296495</vt:i4>
  </property>
  <property fmtid="{D5CDD505-2E9C-101B-9397-08002B2CF9AE}" pid="36" name="DocumentPart">
    <vt:i4>0</vt:i4>
  </property>
  <property fmtid="{D5CDD505-2E9C-101B-9397-08002B2CF9AE}" pid="37" name="DocumentSource">
    <vt:lpwstr>1;#EESC|422833ec-8d7e-4e65-8e4e-8bed07ffb729</vt:lpwstr>
  </property>
  <property fmtid="{D5CDD505-2E9C-101B-9397-08002B2CF9AE}" pid="38" name="DocumentType">
    <vt:lpwstr>126;#AS|c7a748eb-f6f2-4d9d-8b5a-af0cafebc224</vt:lpwstr>
  </property>
  <property fmtid="{D5CDD505-2E9C-101B-9397-08002B2CF9AE}" pid="39" name="DocumentLanguage">
    <vt:lpwstr>23;#DE|f6b31e5a-26fa-4935-b661-318e46daf27e</vt:lpwstr>
  </property>
  <property fmtid="{D5CDD505-2E9C-101B-9397-08002B2CF9AE}" pid="40" name="_docset_NoMedatataSyncRequired">
    <vt:lpwstr>False</vt:lpwstr>
  </property>
  <property fmtid="{D5CDD505-2E9C-101B-9397-08002B2CF9AE}" pid="41" name="DocumentLanguage_0">
    <vt:lpwstr>EN|f2175f21-25d7-44a3-96da-d6a61b075e1b</vt:lpwstr>
  </property>
</Properties>
</file>