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5229C9" w14:textId="50D5E8D8" w:rsidR="00646AC2" w:rsidRPr="00E72B20" w:rsidRDefault="00A579F4" w:rsidP="004C53DA">
      <w:pPr>
        <w:jc w:val="center"/>
      </w:pPr>
      <w:r>
        <w:rPr>
          <w:noProof/>
        </w:rPr>
        <w:drawing>
          <wp:inline distT="0" distB="0" distL="0" distR="0" wp14:anchorId="698E1749" wp14:editId="357B28B8">
            <wp:extent cx="1792605" cy="1239520"/>
            <wp:effectExtent l="0" t="0" r="0" b="0"/>
            <wp:docPr id="2" name="Picture 2" title="EESCLogo_LT"/>
            <wp:cNvGraphicFramePr/>
            <a:graphic xmlns:a="http://schemas.openxmlformats.org/drawingml/2006/main">
              <a:graphicData uri="http://schemas.openxmlformats.org/drawingml/2006/picture">
                <pic:pic xmlns:pic="http://schemas.openxmlformats.org/drawingml/2006/picture">
                  <pic:nvPicPr>
                    <pic:cNvPr id="2" name="Picture 2" title="EESCLogo_LT"/>
                    <pic:cNvPicPr/>
                  </pic:nvPicPr>
                  <pic:blipFill>
                    <a:blip r:embed="rId11"/>
                    <a:stretch>
                      <a:fillRect/>
                    </a:stretch>
                  </pic:blipFill>
                  <pic:spPr>
                    <a:xfrm>
                      <a:off x="0" y="0"/>
                      <a:ext cx="1792605" cy="1239520"/>
                    </a:xfrm>
                    <a:prstGeom prst="rect">
                      <a:avLst/>
                    </a:prstGeom>
                  </pic:spPr>
                </pic:pic>
              </a:graphicData>
            </a:graphic>
          </wp:inline>
        </w:drawing>
      </w:r>
      <w:r w:rsidR="000A6430">
        <w:rPr>
          <w:noProof/>
          <w:sz w:val="20"/>
        </w:rPr>
        <mc:AlternateContent>
          <mc:Choice Requires="wps">
            <w:drawing>
              <wp:anchor distT="0" distB="0" distL="114300" distR="114300" simplePos="0" relativeHeight="251659264" behindDoc="1" locked="0" layoutInCell="0" allowOverlap="1" wp14:anchorId="572791BF" wp14:editId="395283AE">
                <wp:simplePos x="0" y="0"/>
                <wp:positionH relativeFrom="page">
                  <wp:posOffset>6769100</wp:posOffset>
                </wp:positionH>
                <wp:positionV relativeFrom="page">
                  <wp:posOffset>10081260</wp:posOffset>
                </wp:positionV>
                <wp:extent cx="647700" cy="396240"/>
                <wp:effectExtent l="0" t="3810" r="3175" b="0"/>
                <wp:wrapNone/>
                <wp:docPr id="2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07E995" w14:textId="77777777" w:rsidR="00DB53C1" w:rsidRPr="00260E65" w:rsidRDefault="00DB53C1">
                            <w:pPr>
                              <w:jc w:val="center"/>
                              <w:rPr>
                                <w:rFonts w:ascii="Arial" w:hAnsi="Arial" w:cs="Arial"/>
                                <w:b/>
                                <w:bCs/>
                                <w:sz w:val="48"/>
                              </w:rPr>
                            </w:pPr>
                            <w:r>
                              <w:rPr>
                                <w:rFonts w:ascii="Arial" w:hAnsi="Arial"/>
                                <w:b/>
                                <w:sz w:val="48"/>
                              </w:rPr>
                              <w:t>LT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72791BF" id="_x0000_t202" coordsize="21600,21600" o:spt="202" path="m,l,21600r21600,l21600,xe">
                <v:stroke joinstyle="miter"/>
                <v:path gradientshapeok="t" o:connecttype="rect"/>
              </v:shapetype>
              <v:shape id="Text Box 17" o:spid="_x0000_s1026" type="#_x0000_t202" style="position:absolute;left:0;text-align:left;margin-left:533pt;margin-top:793.8pt;width:51pt;height:31.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" o:allowincell="f" filled="f" stroked="f">
                <v:textbox>
                  <w:txbxContent>
                    <w:p w14:paraId="3F07E995" w14:textId="77777777" w:rsidR="00DB53C1" w:rsidRPr="00260E65" w:rsidRDefault="00DB53C1">
                      <w:pPr>
                        <w:jc w:val="center"/>
                        <w:rPr>
                          <w:rFonts w:ascii="Arial" w:hAnsi="Arial" w:cs="Arial"/>
                          <w:b/>
                          <w:bCs/>
                          <w:sz w:val="48"/>
                        </w:rPr>
                      </w:pPr>
                      <w:r>
                        <w:rPr>
                          <w:rFonts w:ascii="Arial" w:hAnsi="Arial"/>
                          <w:b/>
                          <w:sz w:val="48"/>
                        </w:rPr>
                        <w:t>LT</w:t>
                      </w:r>
                    </w:p>
                  </w:txbxContent>
                </v:textbox>
                <w10:wrap anchorx="page" anchory="page"/>
              </v:shape>
            </w:pict>
          </mc:Fallback>
        </mc:AlternateContent>
      </w:r>
    </w:p>
    <w:p w14:paraId="058B9A77" w14:textId="77777777" w:rsidR="003E0EB4" w:rsidRPr="00E72B20" w:rsidRDefault="003E0EB4" w:rsidP="004C53DA">
      <w:pPr>
        <w:jc w:val="left"/>
      </w:pPr>
    </w:p>
    <w:p w14:paraId="6E5229CA" w14:textId="624777F5" w:rsidR="00646AC2" w:rsidRPr="00E72B20" w:rsidRDefault="000E6D9C" w:rsidP="004C53DA">
      <w:pPr>
        <w:jc w:val="right"/>
      </w:pPr>
      <w:r>
        <w:rPr>
          <w:b/>
        </w:rPr>
        <w:t>REX/609</w:t>
      </w:r>
    </w:p>
    <w:p w14:paraId="6E5229CB" w14:textId="3C67E724" w:rsidR="00563C84" w:rsidRPr="00E72B20" w:rsidRDefault="000E6D9C" w:rsidP="004C53DA">
      <w:pPr>
        <w:jc w:val="right"/>
      </w:pPr>
      <w:r>
        <w:rPr>
          <w:b/>
        </w:rPr>
        <w:t>Naujas Europos Sąjungos strateginis požiūris į Juodosios jūros regioną</w:t>
      </w:r>
    </w:p>
    <w:p w14:paraId="6E5229CC" w14:textId="77777777" w:rsidR="009B30AA" w:rsidRPr="00E72B20" w:rsidRDefault="009B30AA" w:rsidP="004C53DA"/>
    <w:p w14:paraId="6E5229CD" w14:textId="77777777" w:rsidR="009B30AA" w:rsidRPr="00E72B20" w:rsidRDefault="009B30AA" w:rsidP="004C53DA"/>
    <w:p w14:paraId="14C229D4" w14:textId="19D2E08B" w:rsidR="0061311D" w:rsidRPr="00E72B20" w:rsidRDefault="00216433" w:rsidP="004C53DA">
      <w:pPr>
        <w:jc w:val="center"/>
        <w:rPr>
          <w:b/>
          <w:bCs/>
          <w:sz w:val="28"/>
          <w:szCs w:val="28"/>
        </w:rPr>
      </w:pPr>
      <w:r>
        <w:rPr>
          <w:b/>
          <w:sz w:val="28"/>
        </w:rPr>
        <w:t>NUOMONĖ</w:t>
      </w:r>
    </w:p>
    <w:p w14:paraId="38473EEC" w14:textId="77777777" w:rsidR="0061311D" w:rsidRPr="00E72B20" w:rsidRDefault="0061311D" w:rsidP="004C53DA">
      <w:pPr>
        <w:jc w:val="center"/>
      </w:pPr>
    </w:p>
    <w:p w14:paraId="7C7E984F" w14:textId="4798EE1A" w:rsidR="0061311D" w:rsidRPr="00E72B20" w:rsidRDefault="4CF6D56A" w:rsidP="004C53DA">
      <w:pPr>
        <w:jc w:val="center"/>
      </w:pPr>
      <w:r>
        <w:t>Išorės santykių skyrius</w:t>
      </w:r>
    </w:p>
    <w:p w14:paraId="74BA78CD" w14:textId="77777777" w:rsidR="0061311D" w:rsidRPr="00E72B20" w:rsidRDefault="0061311D" w:rsidP="004C53DA">
      <w:pPr>
        <w:jc w:val="center"/>
      </w:pPr>
    </w:p>
    <w:p w14:paraId="11068861" w14:textId="205EDBBE" w:rsidR="0061311D" w:rsidRPr="00E72B20" w:rsidRDefault="000E6D9C" w:rsidP="004C53DA">
      <w:pPr>
        <w:jc w:val="center"/>
        <w:rPr>
          <w:b/>
          <w:bCs/>
        </w:rPr>
      </w:pPr>
      <w:r>
        <w:rPr>
          <w:b/>
        </w:rPr>
        <w:t xml:space="preserve">Bendras komunikatas Europos Parlamentui ir Tarybai </w:t>
      </w:r>
      <w:r w:rsidR="009E4846">
        <w:rPr>
          <w:b/>
        </w:rPr>
        <w:br/>
      </w:r>
      <w:r>
        <w:rPr>
          <w:b/>
        </w:rPr>
        <w:t>„Europos Sąjungos strateginis požiūris į Juodosios jūros regioną“</w:t>
      </w:r>
    </w:p>
    <w:p w14:paraId="6E5229CE" w14:textId="45304A68" w:rsidR="00646AC2" w:rsidRPr="00E72B20" w:rsidRDefault="002A62C7" w:rsidP="004C53DA">
      <w:pPr>
        <w:jc w:val="center"/>
      </w:pPr>
      <w:r>
        <w:t>(JOIN(2025) 135 </w:t>
      </w:r>
      <w:r>
        <w:rPr>
          <w:i/>
        </w:rPr>
        <w:t>final</w:t>
      </w:r>
      <w:r>
        <w:t>)</w:t>
      </w:r>
    </w:p>
    <w:p w14:paraId="6E5229CF" w14:textId="77777777" w:rsidR="009B30AA" w:rsidRPr="00E72B20" w:rsidRDefault="009B30AA" w:rsidP="004C53DA">
      <w:pPr>
        <w:jc w:val="center"/>
      </w:pPr>
    </w:p>
    <w:tbl>
      <w:tblPr>
        <w:tblpPr w:leftFromText="181" w:rightFromText="181" w:tblpYSpec="bottom"/>
        <w:tblOverlap w:val="never"/>
        <w:tblW w:w="9289" w:type="dxa"/>
        <w:tblLayout w:type="fixed"/>
        <w:tblLook w:val="04A0" w:firstRow="1" w:lastRow="0" w:firstColumn="1" w:lastColumn="0" w:noHBand="0" w:noVBand="1"/>
      </w:tblPr>
      <w:tblGrid>
        <w:gridCol w:w="3119"/>
        <w:gridCol w:w="6170"/>
      </w:tblGrid>
      <w:tr w:rsidR="007F5E0D" w:rsidRPr="00E72B20" w14:paraId="6E5229D9" w14:textId="77777777" w:rsidTr="00385B6A">
        <w:tc>
          <w:tcPr>
            <w:tcW w:w="3119" w:type="dxa"/>
          </w:tcPr>
          <w:p w14:paraId="6E5229D7" w14:textId="77777777" w:rsidR="007F5E0D" w:rsidRPr="00E72B20" w:rsidRDefault="4CF6D56A" w:rsidP="004C53DA">
            <w:r>
              <w:t>Kontaktinis adresas</w:t>
            </w:r>
          </w:p>
        </w:tc>
        <w:tc>
          <w:tcPr>
            <w:tcW w:w="6170" w:type="dxa"/>
          </w:tcPr>
          <w:p w14:paraId="6E5229D8" w14:textId="51093838" w:rsidR="00265D3A" w:rsidRPr="00E72B20" w:rsidRDefault="006D7EC9" w:rsidP="004C53DA">
            <w:pPr>
              <w:jc w:val="left"/>
            </w:pPr>
            <w:hyperlink r:id="rId12" w:history="1">
              <w:r w:rsidR="00A579F4">
                <w:rPr>
                  <w:rStyle w:val="Hyperlink"/>
                </w:rPr>
                <w:t>Marie-Laurence.Drillon@eesc.europa.eu</w:t>
              </w:r>
            </w:hyperlink>
          </w:p>
        </w:tc>
      </w:tr>
      <w:tr w:rsidR="007F5E0D" w:rsidRPr="00E72B20" w14:paraId="6E5229DC" w14:textId="77777777" w:rsidTr="00385B6A">
        <w:tc>
          <w:tcPr>
            <w:tcW w:w="3119" w:type="dxa"/>
          </w:tcPr>
          <w:p w14:paraId="6E5229DA" w14:textId="77777777" w:rsidR="007F5E0D" w:rsidRPr="00E72B20" w:rsidRDefault="4CF6D56A" w:rsidP="004C53DA">
            <w:r>
              <w:t>Administratorė</w:t>
            </w:r>
          </w:p>
        </w:tc>
        <w:tc>
          <w:tcPr>
            <w:tcW w:w="6170" w:type="dxa"/>
          </w:tcPr>
          <w:p w14:paraId="6E5229DB" w14:textId="5AAAF021" w:rsidR="007F5E0D" w:rsidRPr="00E72B20" w:rsidRDefault="00265D3A" w:rsidP="004C53DA">
            <w:pPr>
              <w:jc w:val="left"/>
            </w:pPr>
            <w:r>
              <w:t>Marie-Laurence DRILLON</w:t>
            </w:r>
          </w:p>
        </w:tc>
      </w:tr>
      <w:tr w:rsidR="007F5E0D" w:rsidRPr="00E72B20" w14:paraId="6E5229DF" w14:textId="77777777" w:rsidTr="00385B6A">
        <w:tc>
          <w:tcPr>
            <w:tcW w:w="3119" w:type="dxa"/>
          </w:tcPr>
          <w:p w14:paraId="6E5229DD" w14:textId="77777777" w:rsidR="007F5E0D" w:rsidRPr="00E72B20" w:rsidRDefault="4CF6D56A" w:rsidP="004C53DA">
            <w:r>
              <w:t>Dokumento data</w:t>
            </w:r>
          </w:p>
        </w:tc>
        <w:tc>
          <w:tcPr>
            <w:tcW w:w="6170" w:type="dxa"/>
          </w:tcPr>
          <w:p w14:paraId="6E5229DE" w14:textId="0AF977FB" w:rsidR="007F5E0D" w:rsidRPr="00E72B20" w:rsidRDefault="00955098" w:rsidP="004C53DA">
            <w:pPr>
              <w:jc w:val="left"/>
            </w:pPr>
            <w:r>
              <w:t>11/11/2025</w:t>
            </w:r>
          </w:p>
        </w:tc>
      </w:tr>
    </w:tbl>
    <w:p w14:paraId="6E5229E0" w14:textId="1EF1206D" w:rsidR="00704FBB" w:rsidRPr="00E72B20" w:rsidRDefault="4CF6D56A" w:rsidP="004C53DA">
      <w:pPr>
        <w:jc w:val="center"/>
        <w:rPr>
          <w:b/>
          <w:bCs/>
        </w:rPr>
      </w:pPr>
      <w:r>
        <w:t xml:space="preserve">Pranešėja </w:t>
      </w:r>
      <w:r>
        <w:rPr>
          <w:b/>
        </w:rPr>
        <w:t>Milena ANGELOVA</w:t>
      </w:r>
    </w:p>
    <w:p w14:paraId="4B75EF2A" w14:textId="77777777" w:rsidR="009F4871" w:rsidRPr="00E72B20" w:rsidRDefault="009F4871" w:rsidP="004C53DA">
      <w:pPr>
        <w:rPr>
          <w:bCs/>
        </w:rPr>
      </w:pPr>
    </w:p>
    <w:p w14:paraId="6E5229E3" w14:textId="51F8483F" w:rsidR="00646AC2" w:rsidRPr="00E72B20" w:rsidRDefault="00646AC2" w:rsidP="004C53DA">
      <w:pPr>
        <w:jc w:val="center"/>
        <w:sectPr w:rsidR="00646AC2" w:rsidRPr="00E72B20" w:rsidSect="00955098">
          <w:headerReference w:type="even" r:id="rId13"/>
          <w:headerReference w:type="default" r:id="rId14"/>
          <w:footerReference w:type="even" r:id="rId15"/>
          <w:footerReference w:type="default" r:id="rId16"/>
          <w:headerReference w:type="first" r:id="rId17"/>
          <w:footerReference w:type="first" r:id="rId18"/>
          <w:pgSz w:w="11907" w:h="16839" w:code="9"/>
          <w:pgMar w:top="1417" w:right="1417" w:bottom="1417" w:left="1417" w:header="709" w:footer="709" w:gutter="0"/>
          <w:pgNumType w:start="1"/>
          <w:cols w:space="720"/>
          <w:docGrid w:linePitch="299"/>
        </w:sectPr>
      </w:pPr>
    </w:p>
    <w:tbl>
      <w:tblPr>
        <w:tblW w:w="0" w:type="auto"/>
        <w:tblLook w:val="04A0" w:firstRow="1" w:lastRow="0" w:firstColumn="1" w:lastColumn="0" w:noHBand="0" w:noVBand="1"/>
      </w:tblPr>
      <w:tblGrid>
        <w:gridCol w:w="3055"/>
        <w:gridCol w:w="6018"/>
      </w:tblGrid>
      <w:tr w:rsidR="00B757F4" w:rsidRPr="00E72B20" w14:paraId="05697181" w14:textId="77777777" w:rsidTr="005A7B8E">
        <w:tc>
          <w:tcPr>
            <w:tcW w:w="3055" w:type="dxa"/>
          </w:tcPr>
          <w:p w14:paraId="4C1C7B8B" w14:textId="3AAC8808" w:rsidR="005A7B8E" w:rsidRPr="00E72B20" w:rsidRDefault="005A7B8E" w:rsidP="004C53DA">
            <w:pPr>
              <w:jc w:val="left"/>
            </w:pPr>
            <w:r>
              <w:lastRenderedPageBreak/>
              <w:t>Patarėja</w:t>
            </w:r>
          </w:p>
        </w:tc>
        <w:tc>
          <w:tcPr>
            <w:tcW w:w="6018" w:type="dxa"/>
          </w:tcPr>
          <w:p w14:paraId="7BBC6486" w14:textId="2F9E09DE" w:rsidR="005A7B8E" w:rsidRPr="00E72B20" w:rsidRDefault="00265D3A" w:rsidP="004C53DA">
            <w:pPr>
              <w:jc w:val="left"/>
            </w:pPr>
            <w:r>
              <w:t>Daniela BOBEVA</w:t>
            </w:r>
          </w:p>
        </w:tc>
      </w:tr>
      <w:tr w:rsidR="008462B4" w:rsidRPr="00E72B20" w14:paraId="08EA7E2B" w14:textId="77777777" w:rsidTr="005A7B8E">
        <w:tc>
          <w:tcPr>
            <w:tcW w:w="3055" w:type="dxa"/>
          </w:tcPr>
          <w:p w14:paraId="3FC3E107" w14:textId="77777777" w:rsidR="008462B4" w:rsidRPr="00E72B20" w:rsidRDefault="008462B4" w:rsidP="004C53DA">
            <w:pPr>
              <w:jc w:val="left"/>
              <w:rPr>
                <w:highlight w:val="yellow"/>
              </w:rPr>
            </w:pPr>
          </w:p>
        </w:tc>
        <w:tc>
          <w:tcPr>
            <w:tcW w:w="6018" w:type="dxa"/>
          </w:tcPr>
          <w:p w14:paraId="589C8D6D" w14:textId="77777777" w:rsidR="008462B4" w:rsidRPr="00E72B20" w:rsidRDefault="008462B4" w:rsidP="004C53DA">
            <w:pPr>
              <w:jc w:val="left"/>
              <w:rPr>
                <w:highlight w:val="yellow"/>
              </w:rPr>
            </w:pPr>
          </w:p>
        </w:tc>
      </w:tr>
      <w:tr w:rsidR="005A7B8E" w:rsidRPr="00E72B20" w14:paraId="23455585" w14:textId="77777777" w:rsidTr="005A7B8E">
        <w:tc>
          <w:tcPr>
            <w:tcW w:w="3055" w:type="dxa"/>
          </w:tcPr>
          <w:p w14:paraId="06970C77" w14:textId="0F84CA13" w:rsidR="005A7B8E" w:rsidRPr="00E72B20" w:rsidRDefault="00507EE9" w:rsidP="004C53DA">
            <w:pPr>
              <w:jc w:val="left"/>
            </w:pPr>
            <w:r>
              <w:t>Teisėkūros procedūra</w:t>
            </w:r>
          </w:p>
        </w:tc>
        <w:tc>
          <w:tcPr>
            <w:tcW w:w="6018" w:type="dxa"/>
          </w:tcPr>
          <w:p w14:paraId="6BC5EDEC" w14:textId="139DE525" w:rsidR="00140323" w:rsidRPr="00E72B20" w:rsidRDefault="006D7EC9" w:rsidP="004C53DA">
            <w:pPr>
              <w:jc w:val="left"/>
              <w:rPr>
                <w:rStyle w:val="Hyperlink"/>
                <w:u w:val="none"/>
              </w:rPr>
            </w:pPr>
            <w:hyperlink r:id="rId19" w:history="1">
              <w:r w:rsidR="00A579F4">
                <w:rPr>
                  <w:rStyle w:val="Hyperlink"/>
                </w:rPr>
                <w:t>ES teisės aktų stebėjimo platforma</w:t>
              </w:r>
            </w:hyperlink>
          </w:p>
        </w:tc>
      </w:tr>
      <w:tr w:rsidR="0011656A" w:rsidRPr="00E72B20" w14:paraId="6E522A03" w14:textId="77777777" w:rsidTr="005A7B8E">
        <w:tc>
          <w:tcPr>
            <w:tcW w:w="3055" w:type="dxa"/>
          </w:tcPr>
          <w:p w14:paraId="6E522A01" w14:textId="5C011C6A" w:rsidR="0011656A" w:rsidRPr="00E72B20" w:rsidRDefault="4CF6D56A" w:rsidP="004C53DA">
            <w:pPr>
              <w:jc w:val="left"/>
            </w:pPr>
            <w:r>
              <w:t>Prašymai pateikti nuomonę</w:t>
            </w:r>
          </w:p>
        </w:tc>
        <w:tc>
          <w:tcPr>
            <w:tcW w:w="6018" w:type="dxa"/>
          </w:tcPr>
          <w:p w14:paraId="6E522A02" w14:textId="6A721FC5" w:rsidR="0011656A" w:rsidRPr="00E72B20" w:rsidRDefault="000E6D9C" w:rsidP="004C53DA">
            <w:pPr>
              <w:jc w:val="left"/>
            </w:pPr>
            <w:r>
              <w:t>Europos Komisija, 14/7/2025</w:t>
            </w:r>
          </w:p>
        </w:tc>
      </w:tr>
      <w:tr w:rsidR="0016503F" w:rsidRPr="00E72B20" w14:paraId="6E522A06" w14:textId="77777777" w:rsidTr="005A7B8E">
        <w:trPr>
          <w:trHeight w:val="251"/>
        </w:trPr>
        <w:tc>
          <w:tcPr>
            <w:tcW w:w="3055" w:type="dxa"/>
          </w:tcPr>
          <w:p w14:paraId="6E522A04" w14:textId="77777777" w:rsidR="0016503F" w:rsidRPr="00E72B20" w:rsidRDefault="4CF6D56A" w:rsidP="004C53DA">
            <w:pPr>
              <w:jc w:val="left"/>
            </w:pPr>
            <w:r>
              <w:t>Teisins pagrindas</w:t>
            </w:r>
          </w:p>
        </w:tc>
        <w:tc>
          <w:tcPr>
            <w:tcW w:w="6018" w:type="dxa"/>
          </w:tcPr>
          <w:p w14:paraId="6E522A05" w14:textId="532E1F21" w:rsidR="0016503F" w:rsidRPr="00E72B20" w:rsidRDefault="4CF6D56A" w:rsidP="004C53DA">
            <w:pPr>
              <w:jc w:val="left"/>
            </w:pPr>
            <w:r>
              <w:t>Sutarties dėl Europos Sąjungos veikimo 304 straipsnis</w:t>
            </w:r>
          </w:p>
        </w:tc>
      </w:tr>
      <w:tr w:rsidR="005A7B8E" w:rsidRPr="00E72B20" w14:paraId="17A00E72" w14:textId="77777777" w:rsidTr="00050717">
        <w:trPr>
          <w:trHeight w:val="589"/>
        </w:trPr>
        <w:tc>
          <w:tcPr>
            <w:tcW w:w="3055" w:type="dxa"/>
          </w:tcPr>
          <w:p w14:paraId="5E86321D" w14:textId="1F90411C" w:rsidR="009533AB" w:rsidRPr="00E72B20" w:rsidRDefault="005A7B8E" w:rsidP="004C53DA">
            <w:pPr>
              <w:spacing w:after="240"/>
              <w:jc w:val="left"/>
            </w:pPr>
            <w:r>
              <w:t>Europos Komisijos dokumentas</w:t>
            </w:r>
          </w:p>
        </w:tc>
        <w:tc>
          <w:tcPr>
            <w:tcW w:w="6018" w:type="dxa"/>
            <w:vAlign w:val="center"/>
          </w:tcPr>
          <w:p w14:paraId="5D3D66DD" w14:textId="12DFF725" w:rsidR="00963702" w:rsidRPr="00E72B20" w:rsidRDefault="00265D3A" w:rsidP="004C53DA">
            <w:pPr>
              <w:jc w:val="left"/>
            </w:pPr>
            <w:r>
              <w:rPr>
                <w:color w:val="0000FF"/>
                <w:u w:val="single"/>
              </w:rPr>
              <w:t xml:space="preserve">JOIN(2025) 135 </w:t>
            </w:r>
            <w:r>
              <w:rPr>
                <w:i/>
                <w:color w:val="0000FF"/>
                <w:u w:val="single"/>
              </w:rPr>
              <w:t>final</w:t>
            </w:r>
          </w:p>
        </w:tc>
      </w:tr>
      <w:tr w:rsidR="005A7B8E" w:rsidRPr="00E72B20" w14:paraId="7C77CC0B" w14:textId="77777777" w:rsidTr="004C6EC9">
        <w:tc>
          <w:tcPr>
            <w:tcW w:w="3055" w:type="dxa"/>
          </w:tcPr>
          <w:p w14:paraId="23CEDCFD" w14:textId="7818928E" w:rsidR="005A7B8E" w:rsidRPr="00E72B20" w:rsidRDefault="005A7B8E" w:rsidP="004C53DA">
            <w:pPr>
              <w:jc w:val="left"/>
            </w:pPr>
            <w:r>
              <w:t>Susiję darnaus vystymosi tikslai (DVT)</w:t>
            </w:r>
          </w:p>
        </w:tc>
        <w:tc>
          <w:tcPr>
            <w:tcW w:w="6018" w:type="dxa"/>
            <w:vAlign w:val="bottom"/>
          </w:tcPr>
          <w:p w14:paraId="52009C44" w14:textId="43629E50" w:rsidR="00431A0D" w:rsidRPr="00E72B20" w:rsidRDefault="006D7EC9" w:rsidP="004C53DA">
            <w:pPr>
              <w:jc w:val="left"/>
              <w:rPr>
                <w:rStyle w:val="Hyperlink"/>
                <w:highlight w:val="yellow"/>
              </w:rPr>
            </w:pPr>
            <w:hyperlink r:id="rId20" w:history="1">
              <w:r w:rsidR="00A579F4">
                <w:rPr>
                  <w:rStyle w:val="Hyperlink"/>
                </w:rPr>
                <w:t>SDG X – .…</w:t>
              </w:r>
            </w:hyperlink>
          </w:p>
        </w:tc>
      </w:tr>
      <w:tr w:rsidR="005A7B8E" w:rsidRPr="00E72B20" w14:paraId="600139B0" w14:textId="77777777" w:rsidTr="005A7B8E">
        <w:tc>
          <w:tcPr>
            <w:tcW w:w="3055" w:type="dxa"/>
          </w:tcPr>
          <w:p w14:paraId="687027A1" w14:textId="77777777" w:rsidR="005A7B8E" w:rsidRPr="00E72B20" w:rsidRDefault="005A7B8E" w:rsidP="004C53DA">
            <w:pPr>
              <w:jc w:val="left"/>
            </w:pPr>
          </w:p>
        </w:tc>
        <w:tc>
          <w:tcPr>
            <w:tcW w:w="6018" w:type="dxa"/>
          </w:tcPr>
          <w:p w14:paraId="31AD4A1E" w14:textId="77777777" w:rsidR="005A7B8E" w:rsidRPr="00E72B20" w:rsidRDefault="005A7B8E" w:rsidP="004C53DA">
            <w:pPr>
              <w:jc w:val="left"/>
            </w:pPr>
          </w:p>
        </w:tc>
      </w:tr>
      <w:tr w:rsidR="00DF5B64" w:rsidRPr="00E72B20" w14:paraId="6E522A21" w14:textId="77777777" w:rsidTr="005A7B8E">
        <w:tc>
          <w:tcPr>
            <w:tcW w:w="3055" w:type="dxa"/>
          </w:tcPr>
          <w:p w14:paraId="6E522A1F" w14:textId="77777777" w:rsidR="00DF5B64" w:rsidRPr="00E72B20" w:rsidRDefault="4CF6D56A" w:rsidP="004C53DA">
            <w:pPr>
              <w:jc w:val="left"/>
            </w:pPr>
            <w:r>
              <w:t>Atsakingas skyrius</w:t>
            </w:r>
          </w:p>
        </w:tc>
        <w:tc>
          <w:tcPr>
            <w:tcW w:w="6018" w:type="dxa"/>
          </w:tcPr>
          <w:p w14:paraId="6E522A20" w14:textId="3DC3F47D" w:rsidR="00DF5B64" w:rsidRPr="00E72B20" w:rsidRDefault="00265D3A" w:rsidP="004C53DA">
            <w:pPr>
              <w:jc w:val="left"/>
            </w:pPr>
            <w:r>
              <w:t>Išorės santykių skyrius</w:t>
            </w:r>
          </w:p>
        </w:tc>
      </w:tr>
      <w:tr w:rsidR="00A156E6" w:rsidRPr="00E72B20" w14:paraId="6E522A24" w14:textId="77777777" w:rsidTr="005A7B8E">
        <w:tc>
          <w:tcPr>
            <w:tcW w:w="3055" w:type="dxa"/>
          </w:tcPr>
          <w:p w14:paraId="6E522A22" w14:textId="69160F6F" w:rsidR="00A156E6" w:rsidRPr="00E72B20" w:rsidRDefault="4CF6D56A" w:rsidP="004C53DA">
            <w:pPr>
              <w:jc w:val="left"/>
            </w:pPr>
            <w:r>
              <w:t>Priimta skyriuje</w:t>
            </w:r>
          </w:p>
        </w:tc>
        <w:tc>
          <w:tcPr>
            <w:tcW w:w="6018" w:type="dxa"/>
          </w:tcPr>
          <w:p w14:paraId="6E522A23" w14:textId="0E6A829A" w:rsidR="00A156E6" w:rsidRPr="00E72B20" w:rsidRDefault="00265D3A" w:rsidP="004C53DA">
            <w:pPr>
              <w:jc w:val="left"/>
            </w:pPr>
            <w:r>
              <w:t>7/11/2025</w:t>
            </w:r>
          </w:p>
        </w:tc>
      </w:tr>
      <w:tr w:rsidR="00A93381" w:rsidRPr="00E72B20" w14:paraId="30435AD6" w14:textId="77777777" w:rsidTr="005A7B8E">
        <w:tc>
          <w:tcPr>
            <w:tcW w:w="3055" w:type="dxa"/>
          </w:tcPr>
          <w:p w14:paraId="4A574C94" w14:textId="04818650" w:rsidR="00A93381" w:rsidRPr="00E72B20" w:rsidRDefault="4CF6D56A" w:rsidP="004C53DA">
            <w:pPr>
              <w:jc w:val="left"/>
            </w:pPr>
            <w:r>
              <w:t>Balsavimo rezultatai</w:t>
            </w:r>
            <w:r>
              <w:br/>
              <w:t>(už / prieš / susilaikė)</w:t>
            </w:r>
          </w:p>
        </w:tc>
        <w:tc>
          <w:tcPr>
            <w:tcW w:w="6018" w:type="dxa"/>
            <w:vAlign w:val="bottom"/>
          </w:tcPr>
          <w:p w14:paraId="1221A854" w14:textId="07180ECE" w:rsidR="00A93381" w:rsidRPr="00E72B20" w:rsidRDefault="00700AC3" w:rsidP="004C53DA">
            <w:pPr>
              <w:jc w:val="left"/>
            </w:pPr>
            <w:r>
              <w:t>80 / 0 / 5</w:t>
            </w:r>
          </w:p>
        </w:tc>
      </w:tr>
      <w:tr w:rsidR="00A156E6" w:rsidRPr="00E72B20" w14:paraId="6E522A27" w14:textId="77777777" w:rsidTr="005A7B8E">
        <w:tc>
          <w:tcPr>
            <w:tcW w:w="3055" w:type="dxa"/>
          </w:tcPr>
          <w:p w14:paraId="6E522A25" w14:textId="1BBBBA02" w:rsidR="00A156E6" w:rsidRPr="00E72B20" w:rsidRDefault="4CF6D56A" w:rsidP="004C53DA">
            <w:pPr>
              <w:jc w:val="left"/>
            </w:pPr>
            <w:r>
              <w:t>Priimta plenarinėje sesijoje</w:t>
            </w:r>
          </w:p>
        </w:tc>
        <w:tc>
          <w:tcPr>
            <w:tcW w:w="6018" w:type="dxa"/>
          </w:tcPr>
          <w:p w14:paraId="6E522A26" w14:textId="2F679F51" w:rsidR="00A156E6" w:rsidRPr="00E72B20" w:rsidRDefault="4CF6D56A" w:rsidP="004C53DA">
            <w:pPr>
              <w:jc w:val="left"/>
            </w:pPr>
            <w:r>
              <w:t>.../12/2025</w:t>
            </w:r>
          </w:p>
        </w:tc>
      </w:tr>
      <w:tr w:rsidR="00BA1290" w:rsidRPr="00E72B20" w14:paraId="6E522A2A" w14:textId="77777777" w:rsidTr="005A7B8E">
        <w:tc>
          <w:tcPr>
            <w:tcW w:w="3055" w:type="dxa"/>
          </w:tcPr>
          <w:p w14:paraId="6E522A28" w14:textId="77777777" w:rsidR="00BA1290" w:rsidRPr="00E72B20" w:rsidRDefault="4CF6D56A" w:rsidP="004C53DA">
            <w:pPr>
              <w:jc w:val="left"/>
            </w:pPr>
            <w:r>
              <w:t>Plenarinė sesija Nr.</w:t>
            </w:r>
          </w:p>
        </w:tc>
        <w:tc>
          <w:tcPr>
            <w:tcW w:w="6018" w:type="dxa"/>
          </w:tcPr>
          <w:p w14:paraId="6E522A29" w14:textId="77777777" w:rsidR="00BA1290" w:rsidRPr="00E72B20" w:rsidRDefault="4CF6D56A" w:rsidP="004C53DA">
            <w:pPr>
              <w:jc w:val="left"/>
            </w:pPr>
            <w:r>
              <w:t>…</w:t>
            </w:r>
          </w:p>
        </w:tc>
      </w:tr>
      <w:tr w:rsidR="00A156E6" w:rsidRPr="00E72B20" w14:paraId="6E522A2D" w14:textId="77777777" w:rsidTr="005A7B8E">
        <w:tc>
          <w:tcPr>
            <w:tcW w:w="3055" w:type="dxa"/>
          </w:tcPr>
          <w:p w14:paraId="6E522A2B" w14:textId="104372DD" w:rsidR="00D423D4" w:rsidRPr="00E72B20" w:rsidRDefault="4CF6D56A" w:rsidP="004C53DA">
            <w:pPr>
              <w:jc w:val="left"/>
            </w:pPr>
            <w:r>
              <w:t>Balsavimo rezultatai</w:t>
            </w:r>
            <w:r>
              <w:br/>
              <w:t>(už / prieš / susilaikė)</w:t>
            </w:r>
          </w:p>
        </w:tc>
        <w:tc>
          <w:tcPr>
            <w:tcW w:w="6018" w:type="dxa"/>
            <w:vAlign w:val="bottom"/>
          </w:tcPr>
          <w:p w14:paraId="6E522A2C" w14:textId="77777777" w:rsidR="00A156E6" w:rsidRPr="00E72B20" w:rsidRDefault="4CF6D56A" w:rsidP="004C53DA">
            <w:pPr>
              <w:jc w:val="left"/>
            </w:pPr>
            <w:r>
              <w:t>… / … / …</w:t>
            </w:r>
          </w:p>
        </w:tc>
      </w:tr>
    </w:tbl>
    <w:p w14:paraId="6E522A2E" w14:textId="77777777" w:rsidR="0090053A" w:rsidRPr="00E72B20" w:rsidRDefault="0090053A" w:rsidP="004C53DA"/>
    <w:p w14:paraId="6E522A2F" w14:textId="77777777" w:rsidR="00646AC2" w:rsidRPr="00E72B20" w:rsidRDefault="00646AC2" w:rsidP="004C53DA">
      <w:r>
        <w:br w:type="page"/>
      </w:r>
    </w:p>
    <w:p w14:paraId="6E522A30" w14:textId="4B923494" w:rsidR="00194B36" w:rsidRPr="00E72B20" w:rsidRDefault="00726755" w:rsidP="004C53DA">
      <w:pPr>
        <w:pStyle w:val="Heading1"/>
      </w:pPr>
      <w:r>
        <w:rPr>
          <w:b/>
        </w:rPr>
        <w:lastRenderedPageBreak/>
        <w:t>IŠVADOS IR REKOMENDACIJOS</w:t>
      </w:r>
    </w:p>
    <w:p w14:paraId="57DACBAF" w14:textId="49A3D035" w:rsidR="00A774EA" w:rsidRPr="00E72B20" w:rsidRDefault="00A774EA" w:rsidP="004C53DA">
      <w:pPr>
        <w:ind w:left="142" w:hanging="142"/>
        <w:jc w:val="left"/>
      </w:pPr>
    </w:p>
    <w:p w14:paraId="724FAB7A" w14:textId="7F3DE0A5" w:rsidR="00AA0CB5" w:rsidRPr="00E72B20" w:rsidRDefault="00262552" w:rsidP="004C53DA">
      <w:pPr>
        <w:pStyle w:val="Heading2"/>
      </w:pPr>
      <w:r>
        <w:t>Europos ekonomikos ir socialinių reikalų komitetas (EESRK) palankiai vertina ilgai lauktą Europos Komisijos ir Sąjungos vyriausiosios įgaliotinės ir Komisijos pirmininko pavaduotojos iniciatyvą, pradėtą Europos Vadovų Tarybos prašymu</w:t>
      </w:r>
      <w:r w:rsidR="00E83718" w:rsidRPr="00E72B20">
        <w:rPr>
          <w:rStyle w:val="FootnoteReference"/>
        </w:rPr>
        <w:footnoteReference w:id="1"/>
      </w:r>
      <w:r>
        <w:t xml:space="preserve"> ypatingą dėmesį skirti Juodosios jūros regionui, pasiūlyti šiam regionui skirtą Europos Sąjungos (ES) strateginį požiūrį, kuriuo siekiama regioną paversti</w:t>
      </w:r>
      <w:r w:rsidR="007B73D3">
        <w:t xml:space="preserve"> </w:t>
      </w:r>
      <w:r>
        <w:t>saugumo, stabilumo ir gerovės centru (toliau – strateginis požiūris). Ši iniciatyva atspindi naujausius geopolitinės padėties pokyčius ir padeda pagrindą visapusiškam požiūriui į Juodosios jūros regiono ateitį, atsižvelgiant į regiono susiskaidymą ir padėties neapibrėžtumą bei dviprasmiškumą. Tačiau EESRK pažymi, kad iniciatyva vėluoja ir ragina imtis skubių ir ryžtingų veiksmų jai įgyvendinti ir užtikrinti pakankamus išteklius.</w:t>
      </w:r>
    </w:p>
    <w:p w14:paraId="0B0909B9" w14:textId="77777777" w:rsidR="00AA0CB5" w:rsidRPr="00E72B20" w:rsidRDefault="00AA0CB5" w:rsidP="00BB3718"/>
    <w:p w14:paraId="726D83A1" w14:textId="4CAC1424" w:rsidR="00AA0CB5" w:rsidRPr="00E72B20" w:rsidRDefault="00AA0CB5" w:rsidP="004C53DA">
      <w:pPr>
        <w:pStyle w:val="Heading2"/>
      </w:pPr>
      <w:r>
        <w:t>EESRK pabrėžia, kad nors visos regiono šalys susiduria su neigiamais karo veiksmų padariniais, ne visos jos gavo socialinę ir ekonominę paramą, proporcingą jų pastangoms ir indėliui. Tai ypač pasakytina apie Bulgariją ir Rumuniją, ką patvirtina naujausias pavyzdys – nesėkmingas bandymas 2028–2034 m. ES biudžete Juodąją jūrą pripažinti pasienio karo zona. Abi šalys apdairiai remia Ukrainą, Moldovą ir kitas paveiktas šalis, taikydamos Komisijos sankcijų Rusijai politiką, tai darydamos aukoja nemažai savo konkurencingumo šaltinių ir už tai moka didelę kainą, nes jų ekonomika traukiasi, o kitos regiono šalys iš to gauna naudos</w:t>
      </w:r>
      <w:r w:rsidRPr="00E72B20">
        <w:rPr>
          <w:rStyle w:val="FootnoteReference"/>
        </w:rPr>
        <w:footnoteReference w:id="2"/>
      </w:r>
      <w:r>
        <w:t xml:space="preserve">. </w:t>
      </w:r>
    </w:p>
    <w:p w14:paraId="5EBBD262" w14:textId="77777777" w:rsidR="00AA0CB5" w:rsidRPr="00E72B20" w:rsidRDefault="00AA0CB5" w:rsidP="00BB3718"/>
    <w:p w14:paraId="2EEDF7A2" w14:textId="1DF931C0" w:rsidR="00262552" w:rsidRPr="00E72B20" w:rsidRDefault="00262552" w:rsidP="004C53DA">
      <w:pPr>
        <w:pStyle w:val="Heading2"/>
      </w:pPr>
      <w:r>
        <w:t>EESRK ragina Komisiją, konsultuojantis su ES valstybėmis narėmis, Juodosios jūros regiono šalimis ir visais suinteresuotaisiais subjektais, skubiai, geriausia iki 2025 m. pabaigos, parengti pragmatišką ir tinkamai finansuojamą regiono vystymosi strategiją (toliau – strategija). Ją turi sudaryti konkretus veiksmų planas, aiškus įgyvendinimo tvarkaraštis ir, svarbiausia, specialus biudžetas, skirtas susikaupusioms problemoms ir iššūkiams įveikti, kartu strategijoje turi būti apibrėžtą ilgalaikė ES bendradarbiavimo ir vaidmens regione vizija.</w:t>
      </w:r>
    </w:p>
    <w:p w14:paraId="7A41C85B" w14:textId="77777777" w:rsidR="00262552" w:rsidRPr="00E72B20" w:rsidRDefault="00262552" w:rsidP="004C53DA">
      <w:pPr>
        <w:pStyle w:val="ListParagraph"/>
        <w:ind w:left="0"/>
        <w:rPr>
          <w:sz w:val="24"/>
        </w:rPr>
      </w:pPr>
    </w:p>
    <w:p w14:paraId="48B04857" w14:textId="5A0A145C" w:rsidR="00262552" w:rsidRPr="00E72B20" w:rsidRDefault="00262552" w:rsidP="004C53DA">
      <w:pPr>
        <w:pStyle w:val="Heading2"/>
      </w:pPr>
      <w:r>
        <w:t xml:space="preserve">EESRK apgailestauja, kad ankstesnė regionui skirta ES bendroji politika (2007 m. Juodosios jūros sinergija </w:t>
      </w:r>
      <w:r w:rsidR="00F53D5C" w:rsidRPr="00E72B20">
        <w:rPr>
          <w:rStyle w:val="FootnoteReference"/>
        </w:rPr>
        <w:footnoteReference w:id="3"/>
      </w:r>
      <w:r>
        <w:t>) neapėmė saugumo aspekto, ir pabrėžia, kad ES saugumo iniciatyvos Juodosios jūros regione turi duoti apčiuopiamų rezultatų. Komitetas pabrėžia, kad reikia spręsti veiksmingo strateginio koordinavimo tarp valstybių narių ir ES institucijų, taip pat tarp ES, NATO</w:t>
      </w:r>
      <w:r w:rsidR="00F53D5C" w:rsidRPr="00E72B20">
        <w:rPr>
          <w:rStyle w:val="FootnoteReference"/>
        </w:rPr>
        <w:footnoteReference w:id="4"/>
      </w:r>
      <w:r>
        <w:t xml:space="preserve"> ir kitų susijusių tarptautinių organizacijų (JT, ESBO ir kt.) trūkumo problemą. Tai labai svarbu, atsižvelgiant į didėjantį Juodosios jūros regiono militarizavimą, kuris daro neigiamą poveikį socialiniam ir ekonominiam vystymuisi.</w:t>
      </w:r>
    </w:p>
    <w:p w14:paraId="2DD4000F" w14:textId="77777777" w:rsidR="00262552" w:rsidRPr="00E72B20" w:rsidRDefault="00262552" w:rsidP="004C53DA">
      <w:pPr>
        <w:rPr>
          <w:sz w:val="24"/>
        </w:rPr>
      </w:pPr>
    </w:p>
    <w:p w14:paraId="3912F9BF" w14:textId="76F959CC" w:rsidR="00262552" w:rsidRPr="00E72B20" w:rsidRDefault="00262552" w:rsidP="004C53DA">
      <w:pPr>
        <w:pStyle w:val="Heading2"/>
      </w:pPr>
      <w:r>
        <w:t xml:space="preserve">EESRK pabrėžia, kad reikia skubiai plėtoti ir atnaujinti ankstesnę regionui skirtą politikos programą (Juodosios jūros sinergiją) ir naują ES strateginį požiūrį, siekiant padėti regiono </w:t>
      </w:r>
      <w:r>
        <w:lastRenderedPageBreak/>
        <w:t>subjektams parengti bendrą regioninio bendradarbiavimo Juodosios jūros regione viziją</w:t>
      </w:r>
      <w:r w:rsidR="00F53D5C" w:rsidRPr="00E72B20">
        <w:rPr>
          <w:rStyle w:val="FootnoteReference"/>
        </w:rPr>
        <w:footnoteReference w:id="5"/>
      </w:r>
      <w:r>
        <w:t>. Tai būtina dėl geopolitinių ir geoekonominių interesų, kurie daro poveikį bendrai padėčiai, todėl bet kokie galimi sprendimai viršija regiono šalių gebėjimus ir pajėgumus. Siekiant rasti išeitį, reikėtų parengti ES lygmens strategiją, kurioje būtų pateiktos politinės priemonės regioninių problemų regioniniams sprendimams skatinti ir remti ir nurodyti atitinkami ištekliai ir priemonės jiems įgyvendinti, be kita ko, remiantis tarptautinių sutarčių ir konvencijų taikymu. EESRK pabrėžia, kad reikia bendradarbiauti su tokiomis regioninėmis organizacijomis kaip ESBO, Juodosios jūros regiono ekonominio bendradarbiavimo organizacija, JT organai ir kt., tačiau jos turi įsipareigoti laikytis ES principų ir strateginių gairių</w:t>
      </w:r>
      <w:r w:rsidR="006A5923" w:rsidRPr="00E72B20">
        <w:rPr>
          <w:rStyle w:val="FootnoteReference"/>
        </w:rPr>
        <w:footnoteReference w:id="6"/>
      </w:r>
      <w:r>
        <w:t>.</w:t>
      </w:r>
    </w:p>
    <w:p w14:paraId="2803D401" w14:textId="77777777" w:rsidR="00262552" w:rsidRPr="00E72B20" w:rsidRDefault="00262552" w:rsidP="004C53DA">
      <w:pPr>
        <w:tabs>
          <w:tab w:val="left" w:pos="567"/>
        </w:tabs>
        <w:rPr>
          <w:sz w:val="24"/>
        </w:rPr>
      </w:pPr>
    </w:p>
    <w:p w14:paraId="35E8E602" w14:textId="459A0377" w:rsidR="00262552" w:rsidRPr="00E72B20" w:rsidRDefault="00262552" w:rsidP="004C53DA">
      <w:pPr>
        <w:pStyle w:val="Heading2"/>
      </w:pPr>
      <w:r>
        <w:t>EESRK pabrėžia, kad ilgalaikės taikos užtikrinimas yra būtina ir esminė išankstinė tvaraus ekonominio vystymosi sąlyga, ir apgailestaudamas pažymi, kad šis tikslas nėra įtrauktas į dokumentą. Jei santykiai regione nebus normalizuoti, jo klestėjimas negali būti užtikrintas. Strateginis požiūris turėtų apimti trumpalaikes strategijas, parengtas remiantis alternatyviais scenarijais ir laikantis tarptautinės teisės. Esami ir numatomi iššūkiai, trukdantys pasiekti tvarią ir ilgalaikę taiką, turėtų būti sprendžiami kuo greičiau ir šiuo pagrindu turėtų būti parengti išsamūs ilgalaikio socialinio ir ekonominio bendradarbiavimo regione planai. EESRK ragina dėti daugiau pastangų tarptautinių darbo standartų laikymuisi regione užtikrinti, siekiant visais lygmenimis skatinti socialinį dialogą, kuris yra būtina veikiančios socialinės rinkos ekonomikos sąlyga. Šie tikslai dar kartą patvirtinti spalio 20 d. Liuksemburge įvykusiame ministrų susitikime dėl tarpregioninio saugumo ir junglumo</w:t>
      </w:r>
      <w:r w:rsidR="002500C5" w:rsidRPr="00E72B20">
        <w:rPr>
          <w:rStyle w:val="FootnoteReference"/>
        </w:rPr>
        <w:footnoteReference w:id="7"/>
      </w:r>
      <w:r>
        <w:t>.</w:t>
      </w:r>
    </w:p>
    <w:p w14:paraId="42CCA4AE" w14:textId="77777777" w:rsidR="00262552" w:rsidRPr="00E72B20" w:rsidRDefault="00262552" w:rsidP="004C53DA">
      <w:pPr>
        <w:pStyle w:val="ListParagraph"/>
        <w:ind w:left="0"/>
        <w:rPr>
          <w:sz w:val="24"/>
        </w:rPr>
      </w:pPr>
    </w:p>
    <w:p w14:paraId="7BD06649" w14:textId="77777777" w:rsidR="002500C5" w:rsidRPr="00E72B20" w:rsidRDefault="00262552" w:rsidP="004C53DA">
      <w:pPr>
        <w:pStyle w:val="Heading2"/>
      </w:pPr>
      <w:r>
        <w:t xml:space="preserve">EESRK pabrėžia, kad norint parengti ir įgyvendinti išsamią ir veiksmingą Juodosios jūros strategiją, kuria būtų derinamas saugumas, ekonomika ir aplinkos apsauga sudėtingoje ir dinamiškoje geopolitinėje aplinkoje, būtini šie veiksniai: </w:t>
      </w:r>
    </w:p>
    <w:p w14:paraId="5C88DCEF" w14:textId="77777777" w:rsidR="002500C5" w:rsidRPr="00E72B20" w:rsidRDefault="002500C5" w:rsidP="00083302"/>
    <w:p w14:paraId="44871C9F" w14:textId="1B832481" w:rsidR="002500C5" w:rsidRPr="00E72B20" w:rsidRDefault="00262552" w:rsidP="00083302">
      <w:pPr>
        <w:pStyle w:val="Heading2"/>
        <w:numPr>
          <w:ilvl w:val="0"/>
          <w:numId w:val="8"/>
        </w:numPr>
      </w:pPr>
      <w:r>
        <w:t xml:space="preserve">aiški tarptautinė parama, </w:t>
      </w:r>
    </w:p>
    <w:p w14:paraId="4039441E" w14:textId="111C336C" w:rsidR="002500C5" w:rsidRPr="00E72B20" w:rsidRDefault="005D1169" w:rsidP="00083302">
      <w:pPr>
        <w:pStyle w:val="Heading2"/>
        <w:numPr>
          <w:ilvl w:val="0"/>
          <w:numId w:val="8"/>
        </w:numPr>
      </w:pPr>
      <w:r>
        <w:t xml:space="preserve">išsami finansinė programa, </w:t>
      </w:r>
    </w:p>
    <w:p w14:paraId="4837A194" w14:textId="01ED5F73" w:rsidR="002500C5" w:rsidRPr="00E72B20" w:rsidRDefault="00262552" w:rsidP="00083302">
      <w:pPr>
        <w:pStyle w:val="Heading2"/>
        <w:numPr>
          <w:ilvl w:val="0"/>
          <w:numId w:val="8"/>
        </w:numPr>
      </w:pPr>
      <w:r>
        <w:t xml:space="preserve">nuoseklus požiūris ir veiksmingas koordinavimas nacionaliniu ir regioniniu lygmenimis, </w:t>
      </w:r>
    </w:p>
    <w:p w14:paraId="14B8A7AF" w14:textId="0A736E83" w:rsidR="002500C5" w:rsidRPr="00E72B20" w:rsidRDefault="00262552" w:rsidP="00083302">
      <w:pPr>
        <w:pStyle w:val="Heading2"/>
        <w:numPr>
          <w:ilvl w:val="0"/>
          <w:numId w:val="8"/>
        </w:numPr>
      </w:pPr>
      <w:r>
        <w:t xml:space="preserve">bendradarbiavimas politikos ir infrastruktūros sinchronizavimo srityje, </w:t>
      </w:r>
    </w:p>
    <w:p w14:paraId="720AE89F" w14:textId="09633FC2" w:rsidR="002500C5" w:rsidRPr="00E72B20" w:rsidRDefault="00262552" w:rsidP="00083302">
      <w:pPr>
        <w:pStyle w:val="Heading2"/>
        <w:numPr>
          <w:ilvl w:val="0"/>
          <w:numId w:val="8"/>
        </w:numPr>
      </w:pPr>
      <w:r>
        <w:t xml:space="preserve">darbo grupių kiekvienam ramsčiui sudarymas, </w:t>
      </w:r>
    </w:p>
    <w:p w14:paraId="41D37054" w14:textId="3F91A75F" w:rsidR="002500C5" w:rsidRPr="00E72B20" w:rsidRDefault="00262552" w:rsidP="00083302">
      <w:pPr>
        <w:pStyle w:val="Heading2"/>
        <w:numPr>
          <w:ilvl w:val="0"/>
          <w:numId w:val="8"/>
        </w:numPr>
      </w:pPr>
      <w:r>
        <w:t xml:space="preserve">apibrėžtas konkretus laikotarpis ir, </w:t>
      </w:r>
    </w:p>
    <w:p w14:paraId="377FDD56" w14:textId="51CEB10B" w:rsidR="002500C5" w:rsidRPr="00E72B20" w:rsidRDefault="00262552" w:rsidP="00083302">
      <w:pPr>
        <w:pStyle w:val="Heading2"/>
        <w:numPr>
          <w:ilvl w:val="0"/>
          <w:numId w:val="8"/>
        </w:numPr>
      </w:pPr>
      <w:r>
        <w:t xml:space="preserve">veiksmų planas. </w:t>
      </w:r>
    </w:p>
    <w:p w14:paraId="1CC96F14" w14:textId="77777777" w:rsidR="002500C5" w:rsidRPr="00E72B20" w:rsidRDefault="002500C5" w:rsidP="002500C5">
      <w:pPr>
        <w:pStyle w:val="Heading2"/>
        <w:numPr>
          <w:ilvl w:val="0"/>
          <w:numId w:val="0"/>
        </w:numPr>
        <w:ind w:left="567"/>
      </w:pPr>
    </w:p>
    <w:p w14:paraId="3FD68BC4" w14:textId="6B9213AF" w:rsidR="00262552" w:rsidRPr="00E72B20" w:rsidRDefault="00262552" w:rsidP="00083302">
      <w:pPr>
        <w:pStyle w:val="Heading2"/>
        <w:numPr>
          <w:ilvl w:val="0"/>
          <w:numId w:val="0"/>
        </w:numPr>
        <w:ind w:left="567"/>
      </w:pPr>
      <w:r>
        <w:t xml:space="preserve">Atsižvelgdamas į tai, EESRK pritaria strateginiam požiūriui, kuris yra pirmasis žingsnis bendrame procese, ir ragina greitai jį įgyvendinti ir skirti išteklių bei pajėgumų tai padaryti. </w:t>
      </w:r>
      <w:r>
        <w:lastRenderedPageBreak/>
        <w:t>Pagrindinis sėkmės veiksnys tai, kad Komisija nedelsdama pradės konsultacijas su visomis atitinkamomis tarptautinėmis organizacijomis, valstybių atstovais ir suinteresuotaisiais subjektais.</w:t>
      </w:r>
    </w:p>
    <w:p w14:paraId="24BCAEE7" w14:textId="77777777" w:rsidR="00262552" w:rsidRPr="00E72B20" w:rsidRDefault="00262552" w:rsidP="004C53DA">
      <w:pPr>
        <w:pStyle w:val="ListParagraph"/>
        <w:ind w:left="0"/>
        <w:rPr>
          <w:sz w:val="24"/>
        </w:rPr>
      </w:pPr>
    </w:p>
    <w:p w14:paraId="4CB8FD98" w14:textId="24D51B14" w:rsidR="00476E20" w:rsidRPr="00E72B20" w:rsidRDefault="00262552" w:rsidP="004C53DA">
      <w:pPr>
        <w:pStyle w:val="Heading2"/>
      </w:pPr>
      <w:r>
        <w:t>EESRK mano, kad pagrindinis strateginio požiūrio trūkumas yra tas, kad jis grindžiamas vien esamomis finansinėmis priemonėmis ir biudžeto ištekliais, įtrauktais į 2021–2027 m. daugiametę finansinę programą</w:t>
      </w:r>
      <w:r w:rsidR="002B385F" w:rsidRPr="00E72B20">
        <w:rPr>
          <w:rStyle w:val="FootnoteReference"/>
        </w:rPr>
        <w:footnoteReference w:id="8"/>
      </w:r>
      <w:r>
        <w:t>. Pastaraisiais metais įgyta patirtis rodo, kad siekiant plataus užmojo tikslų ši finansinė programa yra suskaidyta, nepakankama ir neveiksminga. Be to, jos ištekliai jau išnaudoti arba skirti kitiems projektams. Regiono įmonėms, socialiniams partneriams ir pilietinės visuomenės organizacijoms labai sunku orientuotis šioje įvairių programų ir sąlygų sistemoje. Todėl EESRK reikalauja priemones supaprastinti, konsoliduoti ir rūšiuoti pagal svarbą, kad jos turėtų tiesioginį ir matomą poveikį.</w:t>
      </w:r>
    </w:p>
    <w:p w14:paraId="71A6DEB3" w14:textId="77777777" w:rsidR="00476E20" w:rsidRPr="00E72B20" w:rsidRDefault="00476E20" w:rsidP="00BB3718"/>
    <w:p w14:paraId="7BE0A8DA" w14:textId="2CEF0661" w:rsidR="00476E20" w:rsidRPr="00E72B20" w:rsidRDefault="00476E20" w:rsidP="004C53DA">
      <w:pPr>
        <w:pStyle w:val="Heading2"/>
      </w:pPr>
      <w:r>
        <w:t>EESRK rekomenduoja atlikti išsamią visų esamų priemonių poveikio analizę ir tuo remiantis suformuluoti konkretesnius ir aiškesnius įsipareigojimus dėl jų naudojimo ateityje. Jis primygtinai ragina Komisiją 2028–2034 m. DFP rezervuoti skirtas lėšas, kuo geriau išnaudojant įvairias ją sudarančias programas.</w:t>
      </w:r>
    </w:p>
    <w:p w14:paraId="53115F9C" w14:textId="77777777" w:rsidR="00476E20" w:rsidRPr="00E72B20" w:rsidRDefault="00476E20" w:rsidP="00BB3718"/>
    <w:p w14:paraId="5CD8FA56" w14:textId="540F7328" w:rsidR="00476E20" w:rsidRPr="00E72B20" w:rsidRDefault="005D1169" w:rsidP="004C53DA">
      <w:pPr>
        <w:pStyle w:val="Heading2"/>
      </w:pPr>
      <w:r>
        <w:t xml:space="preserve">Siekdami stiprinti demokratinį atsparumą ir ekonominę gerovę Juodosios jūros šalyse, ES politikos formuotojai turėtų laikytis visapusiško požiūrio spręsdami saugumo problemas. Šiuo tikslu reikėtų daugiau dėmesio skirti kovai su hibridinėmis grėsmėmis ir valdymo sutrikimams, kurie gali pakenkti regiono stabilumui. EESRK ragina Komisiją, NATO ir kitas institucijas dėti daugiau pastangų užkertant kelią šioms „švelnioms“ grėsmėms. </w:t>
      </w:r>
    </w:p>
    <w:p w14:paraId="0B50B54C" w14:textId="77777777" w:rsidR="00476E20" w:rsidRPr="00E72B20" w:rsidRDefault="00476E20" w:rsidP="00BB3718"/>
    <w:p w14:paraId="6D76F913" w14:textId="2BC9C49E" w:rsidR="00476E20" w:rsidRPr="00E72B20" w:rsidRDefault="00476E20" w:rsidP="004C53DA">
      <w:pPr>
        <w:pStyle w:val="Heading2"/>
      </w:pPr>
      <w:r>
        <w:t>Kova su hibridinėmis grėsmėmis regione turėtų būti vienas strateginių prioritetų, ypatingą dėmesį skiriant Moldovai, į kurią Rusija visų pirma taikosi manipuliuodama informacija ir kišdamasi bei vykdydama politinę destabilizaciją, ir Sakartvelui, kuriame Rusija daro stiprią įtaką vidaus veikėjams ir naratyvams, kurie kenkia demokratiniams procesams ir vertybėms.</w:t>
      </w:r>
    </w:p>
    <w:p w14:paraId="75886B5B" w14:textId="7C360BCC" w:rsidR="00726755" w:rsidRPr="00E72B20" w:rsidRDefault="00726755" w:rsidP="004C53DA"/>
    <w:p w14:paraId="6E758147" w14:textId="6EB9B10D" w:rsidR="003D6040" w:rsidRPr="00E72B20" w:rsidRDefault="00726755" w:rsidP="004C53DA">
      <w:pPr>
        <w:pStyle w:val="Heading1"/>
        <w:keepNext/>
        <w:keepLines/>
        <w:rPr>
          <w:b/>
          <w:bCs/>
        </w:rPr>
      </w:pPr>
      <w:r>
        <w:rPr>
          <w:b/>
        </w:rPr>
        <w:t>PASIŪLYMO APLINKYBĖS</w:t>
      </w:r>
    </w:p>
    <w:p w14:paraId="64CA2540" w14:textId="77777777" w:rsidR="0027268B" w:rsidRPr="00E72B20" w:rsidRDefault="0027268B" w:rsidP="004C53DA">
      <w:pPr>
        <w:keepNext/>
      </w:pPr>
    </w:p>
    <w:p w14:paraId="6CFFFEAD" w14:textId="59BA9E7E" w:rsidR="003D6040" w:rsidRPr="00E72B20" w:rsidRDefault="00A778D3" w:rsidP="004C53DA">
      <w:pPr>
        <w:pStyle w:val="Heading2"/>
      </w:pPr>
      <w:r>
        <w:t>2024 m. birželio mėn. Europos Vadovų Tarybos prašymu Komisija ir Sąjungos vyriausioji įgaliotinė ir Komisijos pirmininko pavaduotoja priėmė bendrą komunikatą dėl ES strateginio požiūrio į Juodosios jūros regioną. Iniciatyva parengta taip, kad ji būtų grindžiama esama Juodosios jūros sinergijos sistema. EESRK apgailestauja, kad pasiūlymui pateikti prireikė tiek daug laiko ir kad pasirinktas „strateginis požiūris“, o ne strategija su aiškiai apibrėžtais tikslais, nes dėl to naujoji iniciatyva turi mažesnį užmojį ir gali būti praleista galimybė Europos Sąjungai tapti pagrindine veikėja regione.</w:t>
      </w:r>
    </w:p>
    <w:p w14:paraId="3FDAA00A" w14:textId="77777777" w:rsidR="00A778D3" w:rsidRPr="00E72B20" w:rsidRDefault="00A778D3" w:rsidP="004C53DA">
      <w:pPr>
        <w:pStyle w:val="ListParagraph"/>
        <w:ind w:left="0"/>
      </w:pPr>
    </w:p>
    <w:p w14:paraId="25D88214" w14:textId="7C133BE4" w:rsidR="003D6040" w:rsidRPr="00E72B20" w:rsidRDefault="003D6040" w:rsidP="004C53DA">
      <w:pPr>
        <w:pStyle w:val="Heading2"/>
      </w:pPr>
      <w:r>
        <w:t xml:space="preserve">Juodoji jūra yra strateginėje vietoje, nes yra tarp Europos, Artimųjų Rytų ir Kaukazo, prekybos ir energetikos (naftos ir dujų) srautų kryžkelėje. Nuo šaltojo karo pabaigos Rusija nuolat siekė </w:t>
      </w:r>
      <w:r>
        <w:lastRenderedPageBreak/>
        <w:t>atgauti prarastą įtaką ir sukurti naują pusiausvyrą Juodosios jūros baseine, kuri būtų palankesnė jos interesams. Rusija išprovokavo ir įšaldė konfliktus visame regione: Kalnų Karabache (Azerbaidžanas ir Armėnija) iki 2023 m., Abchazijoje ir Pietų Osetijoje (Sakartvelas), Padniestrėje (Moldova), Rusija taip pat steigia naują karinio jūrų laivyno bazę Očamčyrėje</w:t>
      </w:r>
      <w:r w:rsidR="00412B20" w:rsidRPr="00E72B20">
        <w:rPr>
          <w:rStyle w:val="FootnoteReference"/>
        </w:rPr>
        <w:footnoteReference w:id="9"/>
      </w:r>
      <w:r>
        <w:t>). Ji įsipareigojo skatinti regioninį bendradarbiavimą, pavyzdžiui, Juodosios jūros regiono ekonominio bendradarbiavimo organizacijoje (BSEC) ir jos parlamentinėje asamblėjoje (PABSEC), tačiau ėmėsi šiems įsipareigojimams prieštaraujančių veiksmų užpuldama kaimyninę Ukrainą.</w:t>
      </w:r>
    </w:p>
    <w:p w14:paraId="7E030C6F" w14:textId="77777777" w:rsidR="003D6040" w:rsidRPr="00E72B20" w:rsidRDefault="003D6040" w:rsidP="004C53DA">
      <w:pPr>
        <w:pStyle w:val="ListParagraph"/>
        <w:ind w:left="0"/>
      </w:pPr>
    </w:p>
    <w:p w14:paraId="5600EFFD" w14:textId="52E52878" w:rsidR="003D6040" w:rsidRPr="00E72B20" w:rsidRDefault="003D6040" w:rsidP="004C53DA">
      <w:pPr>
        <w:pStyle w:val="Heading2"/>
      </w:pPr>
      <w:r>
        <w:t>EESRK apgailestaudamas pažymi, kad pastaraisiais metais Juodosios jūros regioninis aspektas nebuvo įtrauktas į ES politinę darbotvarkę. Kai kurie suinteresuotieji subjektai tikisi, kad ES pritaikys savo požiūrį prie naujų Juodosios jūros saugumo ir geopolitinių realijų. Tai galėtų apimti grėsmių saugumui tyrimą, regioninio atsparumo didinimą, paramą laivybos laisvei ir kovą su hibridine ir kibernetine veikla. Labai svarbu, kad ES iniciatyvos Juodojoje jūroje būtų suderintos ir nuoseklios, o ES ir panašiai mąstančių partnerių veiksmai regioniniu lygmeniu būtų koordinuojami.</w:t>
      </w:r>
    </w:p>
    <w:p w14:paraId="7D03ABE0" w14:textId="77777777" w:rsidR="003D6040" w:rsidRPr="00E72B20" w:rsidRDefault="003D6040" w:rsidP="004C53DA">
      <w:pPr>
        <w:pStyle w:val="ListParagraph"/>
        <w:ind w:left="0"/>
      </w:pPr>
    </w:p>
    <w:p w14:paraId="10E5B0F5" w14:textId="1B9774F9" w:rsidR="003D6040" w:rsidRPr="00E72B20" w:rsidRDefault="003D6040" w:rsidP="004C53DA">
      <w:pPr>
        <w:pStyle w:val="Heading2"/>
      </w:pPr>
      <w:r>
        <w:t>EESRK atkreipia dėmesį į tai, kad Juodosios jūros sinergijos iniciatyva apibrėžtos bendradarbiavimo sritys iš esmės buvo dar kartą patvirtintos ir dedamos pastangos jas reorganizuoti remiantis dabartiniais prioritetais, būtent saugumu, susisiekimu ir pasirengimu. EESRK ragina daugiau dėmesio skirti saugumui (jūrų saugumui, laivybos laisvei, infrastruktūros apsaugai, neteisėtai migracijai), o ne gynybai ir atgrasymui, nes tikimasi, kad šiose srityse bus pasiekta pažangos vadovaujant NATO. Graikija, Bulgarija ir Rumunija dalyvauja ES karinio mobilumo programoje, o Ukraina, Moldova ir Sakartvelas yra ES bendros saugumo ir gynybos politikos, taip pat Europos taikos priemonės (šiuo metu įšaldytos su Sakartvelu) ir paramos gavėjai, ir įmokų mokėtojai. Juodosios jūros saugumo iššūkiai kyla ne tik dėl tarpvalstybinių konfliktų, bet ir dėl šalyse partnerėse stebimų hibridinių bei autoritarinių tendencijų, kurios silpnina demokratinį teisėtumą ir daro jas pažeidžiamas išorės manipuliacijoms.</w:t>
      </w:r>
    </w:p>
    <w:p w14:paraId="56C24ECA" w14:textId="77777777" w:rsidR="003D6040" w:rsidRPr="00E72B20" w:rsidRDefault="003D6040" w:rsidP="004C53DA">
      <w:pPr>
        <w:pStyle w:val="ListParagraph"/>
        <w:ind w:left="0"/>
      </w:pPr>
    </w:p>
    <w:p w14:paraId="77558687" w14:textId="16118AC1" w:rsidR="003D6040" w:rsidRPr="00E72B20" w:rsidRDefault="0006197D" w:rsidP="004C53DA">
      <w:pPr>
        <w:pStyle w:val="Heading2"/>
      </w:pPr>
      <w:r>
        <w:t>Iniciatyvai nėra skiriamas specialus finansavimas, nes ji priklauso nuo kitų ES politikos sričių ir priemonių, ir nebus parengtas veiksmų planas su aiškiai apibrėžtais įgyvendinimo tikslais, todėl EESRK apgailestaudamas įspėja, kad jos įgyvendinimą bus sunku įvertinti ir stebėti.</w:t>
      </w:r>
    </w:p>
    <w:p w14:paraId="17468A7A" w14:textId="77777777" w:rsidR="00726755" w:rsidRPr="00E72B20" w:rsidRDefault="00726755" w:rsidP="004C53DA"/>
    <w:p w14:paraId="550F2C22" w14:textId="4B264315" w:rsidR="003D6040" w:rsidRPr="00E72B20" w:rsidRDefault="00726755" w:rsidP="004C53DA">
      <w:pPr>
        <w:pStyle w:val="Heading1"/>
        <w:keepNext/>
        <w:keepLines/>
      </w:pPr>
      <w:r>
        <w:rPr>
          <w:b/>
        </w:rPr>
        <w:t>BENDROSIOS PASTABOS</w:t>
      </w:r>
    </w:p>
    <w:p w14:paraId="754D5717" w14:textId="282DF57D" w:rsidR="003D6040" w:rsidRPr="00E72B20" w:rsidRDefault="003D6040" w:rsidP="004C53DA">
      <w:pPr>
        <w:pStyle w:val="ListParagraph"/>
        <w:keepNext/>
        <w:ind w:left="0"/>
        <w:rPr>
          <w:sz w:val="24"/>
        </w:rPr>
      </w:pPr>
    </w:p>
    <w:p w14:paraId="03FE8766" w14:textId="70B1DE1B" w:rsidR="00262552" w:rsidRPr="00E72B20" w:rsidRDefault="00262552" w:rsidP="004C53DA">
      <w:pPr>
        <w:pStyle w:val="Heading2"/>
      </w:pPr>
      <w:r>
        <w:t xml:space="preserve">EESRK apgailestauja, kad, nepaisant tam tikrų įtikinamų pastangų, dabartinės Juodosios jūros regiono ekonominio bendradarbiavimo iniciatyvos nedavė lauktų rezultatų. Didėjant neapibrėžtumui regione, ekonominiai nuostoliai blogina socialines ir ekonomines perspektyvas, todėl regionas negali išnaudoti savo didelio ekonominio potencialo. Be tiesioginių dėl karo patiriamų nuostolių, regione išaugo tiekimo sąnaudos, buvo vertės ir tiekimo grandinių sutrikimų, kilo logistikos ir uostų operacijų problemų, padaryta žala infrastruktūrai ir įvesti nauji prekybos apribojimai, padidėjo jūrų transporto draudimo ir kuro kainos. Todėl Komitetas ragina </w:t>
      </w:r>
      <w:r>
        <w:lastRenderedPageBreak/>
        <w:t>strateginiame požiūryje skirti daugiau dėmesio regiono šalių ekonominiams nuostoliams ir pasiūlyti jų kompensavimo priemones.</w:t>
      </w:r>
    </w:p>
    <w:p w14:paraId="5390DAA1" w14:textId="77777777" w:rsidR="003D6040" w:rsidRPr="00E72B20" w:rsidRDefault="003D6040" w:rsidP="004C53DA"/>
    <w:p w14:paraId="6E522A38" w14:textId="363625B8" w:rsidR="00194B36" w:rsidRPr="00E72B20" w:rsidRDefault="00726755" w:rsidP="004C53DA">
      <w:pPr>
        <w:pStyle w:val="Heading1"/>
        <w:keepNext/>
        <w:keepLines/>
        <w:rPr>
          <w:b/>
          <w:bCs/>
        </w:rPr>
      </w:pPr>
      <w:r>
        <w:rPr>
          <w:b/>
        </w:rPr>
        <w:t>KONKREČIOS PASTABOS</w:t>
      </w:r>
    </w:p>
    <w:p w14:paraId="6E522A39" w14:textId="7E8149AC" w:rsidR="00194B36" w:rsidRPr="00E72B20" w:rsidRDefault="00194B36" w:rsidP="004C53DA">
      <w:pPr>
        <w:keepNext/>
        <w:keepLines/>
      </w:pPr>
    </w:p>
    <w:p w14:paraId="5FF0766C" w14:textId="535B2A21" w:rsidR="00A778D3" w:rsidRPr="00E72B20" w:rsidRDefault="00A778D3" w:rsidP="004C53DA">
      <w:pPr>
        <w:pStyle w:val="Heading2"/>
        <w:keepNext/>
        <w:rPr>
          <w:b/>
          <w:bCs/>
          <w:i/>
          <w:iCs/>
        </w:rPr>
      </w:pPr>
      <w:r>
        <w:rPr>
          <w:b/>
          <w:i/>
        </w:rPr>
        <w:t>Saugumas</w:t>
      </w:r>
    </w:p>
    <w:p w14:paraId="26FBFD54" w14:textId="77777777" w:rsidR="00A778D3" w:rsidRPr="00E72B20" w:rsidRDefault="00A778D3" w:rsidP="004C53DA">
      <w:pPr>
        <w:keepNext/>
        <w:rPr>
          <w:sz w:val="24"/>
        </w:rPr>
      </w:pPr>
    </w:p>
    <w:p w14:paraId="30F45701" w14:textId="02492ECF" w:rsidR="00262552" w:rsidRPr="00E72B20" w:rsidRDefault="00262552" w:rsidP="004C53DA">
      <w:pPr>
        <w:pStyle w:val="Heading3"/>
      </w:pPr>
      <w:r>
        <w:t>EESRK apgailestaudamas pažymi, kad Juodosios jūros sinergijos iniciatyva nebuvo sėkminga dėl kilusio Rusijos ir Sakartvelo karo ir Rusijos agresijos prieš Ukrainą. Šiuo metu nėra nei strategijos, į kurią būtų įtrauktos visos regiono šalys, nei jokio kito dokumento ginklų kontrolės srityje</w:t>
      </w:r>
      <w:r w:rsidRPr="00E72B20">
        <w:rPr>
          <w:rStyle w:val="FootnoteReference"/>
        </w:rPr>
        <w:footnoteReference w:id="10"/>
      </w:r>
      <w:r>
        <w:t xml:space="preserve">. </w:t>
      </w:r>
    </w:p>
    <w:p w14:paraId="28BA9A01" w14:textId="77777777" w:rsidR="00262552" w:rsidRPr="00E72B20" w:rsidRDefault="00262552" w:rsidP="004C53DA">
      <w:pPr>
        <w:pStyle w:val="ListParagraph"/>
        <w:ind w:left="567" w:hanging="567"/>
        <w:rPr>
          <w:sz w:val="24"/>
        </w:rPr>
      </w:pPr>
    </w:p>
    <w:p w14:paraId="19B2EDA2" w14:textId="31098580" w:rsidR="00262552" w:rsidRPr="00E72B20" w:rsidRDefault="00262552" w:rsidP="004C53DA">
      <w:pPr>
        <w:pStyle w:val="Heading3"/>
      </w:pPr>
      <w:r>
        <w:t>EESRK palankiai vertina strateginiame požiūryje pateiktus pasiūlymus dėl jūrų saugumo ir saugos ir rekomenduoja ES remti ir plėsti gerąją patirtį, pavyzdžiui, Bulgarijos, Rumunijos ir Turkijos jūrų laivyno iniciatyvą, kuria siekiama išminuoti trijų šalių nacionalines jūrų zonas. Jis ragina skubiai įgyvendinti pasiūlymą sukurti Juodosios jūros saugumo centrą pasinaudojant esama ES finansuojama infrastruktūra, sukurta jūrų eismui Juodojoje jūroje stebėti.</w:t>
      </w:r>
    </w:p>
    <w:p w14:paraId="00532E75" w14:textId="77777777" w:rsidR="00262552" w:rsidRPr="00E72B20" w:rsidRDefault="00262552" w:rsidP="004C53DA">
      <w:pPr>
        <w:rPr>
          <w:sz w:val="24"/>
        </w:rPr>
      </w:pPr>
    </w:p>
    <w:p w14:paraId="1229E060" w14:textId="77777777" w:rsidR="00262552" w:rsidRPr="00E72B20" w:rsidRDefault="00262552" w:rsidP="004C53DA">
      <w:pPr>
        <w:pStyle w:val="Heading2"/>
        <w:keepNext/>
        <w:keepLines/>
        <w:rPr>
          <w:b/>
          <w:bCs/>
          <w:i/>
          <w:iCs/>
        </w:rPr>
      </w:pPr>
      <w:r>
        <w:rPr>
          <w:b/>
          <w:i/>
        </w:rPr>
        <w:t>Socialinė ir ekonominė aplinka</w:t>
      </w:r>
    </w:p>
    <w:p w14:paraId="6B917A3F" w14:textId="77777777" w:rsidR="00262552" w:rsidRPr="00E72B20" w:rsidRDefault="00262552" w:rsidP="004C53DA">
      <w:pPr>
        <w:keepNext/>
        <w:keepLines/>
        <w:rPr>
          <w:sz w:val="24"/>
        </w:rPr>
      </w:pPr>
    </w:p>
    <w:p w14:paraId="470BB402" w14:textId="2A040D5C" w:rsidR="00262552" w:rsidRPr="00E72B20" w:rsidRDefault="00262552" w:rsidP="004C53DA">
      <w:pPr>
        <w:pStyle w:val="Heading3"/>
      </w:pPr>
      <w:r>
        <w:t>EESRK apgailestaudamas pažymi, kad strateginiu požiūriu nesprendžiama viena didžiausių regiono problemų – migracija. Juodosios jūros regionas patiria spaudimą dėl migracijos (įskaitant darbo jėgos migraciją), iš išorės (iš regionui nepriklausančių šalių) ir viduje (migracija tarp atskirų regiono šalių). Ši dinamika daro ir teigiamą poveikį, ir kelia pavojų, be kita ko, stabilumui, o tai turi tiesioginės įtakos migracijai ES, nes Juodoji jūra vis dažniau pasirenkama neteisėtai migracijai. Siekiant suteikti priemonių šiai padėčiai ištaisyti, būsimoje strategijoje turėtų būti numatytos ankstyvojo perspėjimo sistemos ir protokolai pabėgėlių krizei valdyti, prekybos žmonėmis problemai spręsti ir darbo jėgos migracijai tarp šalių skatinti pasitelkiant tarpvyriausybines užimtumo sutartis ir kitas migraciją padedančias reguliuoti priemones.</w:t>
      </w:r>
    </w:p>
    <w:p w14:paraId="27059D26" w14:textId="77777777" w:rsidR="00262552" w:rsidRPr="00E72B20" w:rsidRDefault="00262552" w:rsidP="004C53DA">
      <w:pPr>
        <w:pStyle w:val="ListParagraph"/>
        <w:ind w:left="0"/>
        <w:rPr>
          <w:sz w:val="24"/>
        </w:rPr>
      </w:pPr>
    </w:p>
    <w:p w14:paraId="1D6A8E47" w14:textId="791B95D6" w:rsidR="00262552" w:rsidRPr="00E72B20" w:rsidRDefault="00262552" w:rsidP="004C53DA">
      <w:pPr>
        <w:pStyle w:val="Heading3"/>
      </w:pPr>
      <w:r>
        <w:t>EESRK ragina nuodugniai įvertinti ir prireikus atnaujinti esamus prekybos susitarimus su regiono šalimis. Šiais susitarimais sukuriama būtina sistema, tačiau, atsižvelgiant į naujas pasaulinės prekybos sąlygas, juos reikia atnaujinti. EESRK pritaria nuomonei, kad būtina išnaudoti visą šių susitarimų potencialą, nustatyti, kokias kliūtis jie gali kelti, ir imtis būtinų pakeitimų joms pašalinti, siekiant sumažinti prekybos disbalansą ir padidinti tarpusavio prekybą</w:t>
      </w:r>
      <w:r w:rsidRPr="00E72B20">
        <w:rPr>
          <w:rStyle w:val="FootnoteReference"/>
        </w:rPr>
        <w:footnoteReference w:id="11"/>
      </w:r>
      <w:r>
        <w:t>.</w:t>
      </w:r>
    </w:p>
    <w:p w14:paraId="1BE0FA9C" w14:textId="77777777" w:rsidR="00262552" w:rsidRPr="00E72B20" w:rsidRDefault="00262552" w:rsidP="004C53DA">
      <w:pPr>
        <w:pStyle w:val="ListParagraph"/>
        <w:ind w:left="0"/>
        <w:rPr>
          <w:sz w:val="24"/>
        </w:rPr>
      </w:pPr>
    </w:p>
    <w:p w14:paraId="20FAEAB8" w14:textId="191EC0C8" w:rsidR="00262552" w:rsidRPr="00E72B20" w:rsidRDefault="00262552" w:rsidP="004C53DA">
      <w:pPr>
        <w:pStyle w:val="Heading3"/>
      </w:pPr>
      <w:r>
        <w:t xml:space="preserve">Prekybai regione kyla rimti iššūkiai, todėl strateginiame požiūryje turi būti atsižvelgiama tiek į bendrus Juodosios jūros regiono ekonomikos nuostolius, patiriamus dėl Rusijos agresijos prieš Ukrainą, tiek į užsienio prekybos srautų restruktūrizavimą. EESRK siūlo strateginiame </w:t>
      </w:r>
      <w:r>
        <w:lastRenderedPageBreak/>
        <w:t>požiūryje įvertinti tai, kad prekybos susiskaidymas regione gali padidėti, jei atskiroms regiono šalims b</w:t>
      </w:r>
      <w:r w:rsidR="007B73D3">
        <w:t>u</w:t>
      </w:r>
      <w:r>
        <w:t>s nustatyti diferencijuoti tarifai prekybai su Jungtinėmis Valstijomis, o tai taip pat turės įtakos ES prekybai su šio regiono šalimis. Tuo remdamasis jis siūlo išnagrinėti ir plėtoti galimybes didinti prekybą tiek regione, tiek tarp regiono ir ES.</w:t>
      </w:r>
    </w:p>
    <w:p w14:paraId="550B6996" w14:textId="77777777" w:rsidR="00262552" w:rsidRPr="00E72B20" w:rsidRDefault="00262552" w:rsidP="004C53DA">
      <w:pPr>
        <w:pStyle w:val="ListParagraph"/>
        <w:ind w:left="0"/>
        <w:rPr>
          <w:sz w:val="24"/>
        </w:rPr>
      </w:pPr>
    </w:p>
    <w:p w14:paraId="31DE8A0B" w14:textId="0F80E09C" w:rsidR="00262552" w:rsidRPr="00E72B20" w:rsidRDefault="00262552" w:rsidP="004C53DA">
      <w:pPr>
        <w:pStyle w:val="Heading3"/>
      </w:pPr>
      <w:r>
        <w:t>EESRK palankiai vertina strateginiame požiūryje pateiktą pasiūlymą skatinti mokslinius tyrimus ir inovacijas bei skaitmenizaciją regione, pratęsiant jau įgyvendinamas priemones. Atsižvelgdamas į tai, kad ypatingos svarbos žaliavos yra didelis ES prioritetas, EESRK siūlo jų tiekimo užtikrinimą laikyti vienu iš pagrindinių strateginio požiūrio tikslų, ES prisiimant aiškius įsipareigojimus dėl investicijų ir strateginių projektų finansavimo. Šiuo požiūriu taip pat reikia atsižvelgti į tam tikras išskirtines Juodosios jūros savybes, pavyzdžiui, į tai, kad ji yra didžiausias vandenilio sulfido telkinys, kuris galėtų būti naudojamas naujiems energijos ištekliams kurti.</w:t>
      </w:r>
    </w:p>
    <w:p w14:paraId="416286B6" w14:textId="77777777" w:rsidR="00262552" w:rsidRPr="00E72B20" w:rsidRDefault="00262552" w:rsidP="004C53DA">
      <w:pPr>
        <w:rPr>
          <w:sz w:val="24"/>
        </w:rPr>
      </w:pPr>
    </w:p>
    <w:p w14:paraId="7BD6CF3A" w14:textId="7C17C405" w:rsidR="00262552" w:rsidRPr="00E72B20" w:rsidRDefault="00262552" w:rsidP="004C53DA">
      <w:pPr>
        <w:pStyle w:val="Heading3"/>
      </w:pPr>
      <w:r>
        <w:t>Strateginiame požiūryje daug dėmesio skiriama nepriklausomos energijos rinkos, apimančios atsinaujinančiuosius energijos išteklius, sukūrimui, taip pat energetikos sistemų stabilumui ir tvarumui. EESRK pritaria šiems tikslams ir energijos rinkos integravimui, tačiau pabrėžia, kad plečiant tarpvalstybinę prekybą energija regione reikia įvertinti poveikį kainoms ir ilgalaikėms investicijoms šiame sektoriuje. Todėl EESRK ragina sukurti mechanizmą, skirtą kompensuoti pernelyg dideles elektros energijos kainas regione, kol bus rastas tvarus sprendimas. Komitetas tikrai nemano, kad strateginiame požiūryje būtų tikslinga sutelkti dėmesį tik į energijos gamybą iš atsinaujinančiųjų išteklių. Teikiant paramą atsinaujinančiųjų išteklių energijos projektams turi būti atsižvelgiama į galimą energetikos sistemų disbalansą. Be to, nėra prasmės užsibrėžti tikslą sumažinti energijos suvartojimą regione, nes pagal energijos suvartojimą vienam asmeniui regionas ir taip gerokai atsilieka. EESRK siūlo ypatingas pastangas dėti siekiant sumažinti energijos nepriteklių regione.</w:t>
      </w:r>
    </w:p>
    <w:p w14:paraId="7AD8DF79" w14:textId="77777777" w:rsidR="00262552" w:rsidRPr="00E72B20" w:rsidRDefault="00262552" w:rsidP="004C53DA">
      <w:pPr>
        <w:rPr>
          <w:sz w:val="24"/>
        </w:rPr>
      </w:pPr>
    </w:p>
    <w:p w14:paraId="6D022B73" w14:textId="1B36DADD" w:rsidR="00262552" w:rsidRPr="00E72B20" w:rsidRDefault="00262552" w:rsidP="004C53DA">
      <w:pPr>
        <w:pStyle w:val="Heading3"/>
      </w:pPr>
      <w:r>
        <w:t>Nors EESRK žaliojo energijos koridoriaus sukūrimo idėja atrodo patraukli, jo nuomone, šiame projekto rengimo ir diskusijų ES etape dar per anksti jį nurodyti privalomu ES reikalavimu regionui</w:t>
      </w:r>
      <w:r w:rsidR="00190571" w:rsidRPr="00E72B20">
        <w:rPr>
          <w:rStyle w:val="FootnoteReference"/>
        </w:rPr>
        <w:footnoteReference w:id="12"/>
      </w:r>
      <w:r>
        <w:t>. Tačiau Komitetas pabrėžia, kad būtina atlikti išsamų įvertinti regiono pajėgumus, išteklius ir pasirengimą būti tvariu transporto ir žaliosios energijos koridoriumi tarp Vidurinės Azijos ir ES.</w:t>
      </w:r>
    </w:p>
    <w:p w14:paraId="0749DCC8" w14:textId="77777777" w:rsidR="00262552" w:rsidRPr="00E72B20" w:rsidRDefault="00262552" w:rsidP="004C53DA">
      <w:pPr>
        <w:rPr>
          <w:sz w:val="24"/>
        </w:rPr>
      </w:pPr>
    </w:p>
    <w:p w14:paraId="37A79DD4" w14:textId="2276FE12" w:rsidR="00262552" w:rsidRPr="00E72B20" w:rsidRDefault="00262552" w:rsidP="004C53DA">
      <w:pPr>
        <w:pStyle w:val="Heading3"/>
      </w:pPr>
      <w:r>
        <w:t>EESRK palankiai vertina paramą „mėlynajai ekonomikai“, kuria siekiama gerinti jūrų sektoriaus suinteresuotųjų subjektų bendradarbiavimo galimybes, skatinti tvarų mėlynąjį augimą ir inovacijas Juodosios jūros regione ir kuri grindžiama Bendra Juodosios jūros darbotvarke. Tačiau ragina suteikti naują postūmį šiai iniciatyvai, kad būtų pasiekta reikšmingų rezultatų. Viena iš kliūčių yra tai, kad kai kurios regiono šalys neturi savo jūrinių teritorinių planų, o jei ir turi, jie per mažai koordinuojami ir trūksta geresnio sinchronizavimo</w:t>
      </w:r>
      <w:r w:rsidRPr="00E72B20">
        <w:rPr>
          <w:rStyle w:val="FootnoteReference"/>
          <w:szCs w:val="24"/>
        </w:rPr>
        <w:footnoteReference w:id="13"/>
      </w:r>
      <w:r>
        <w:t>.</w:t>
      </w:r>
    </w:p>
    <w:p w14:paraId="345E9832" w14:textId="77777777" w:rsidR="00262552" w:rsidRPr="00E72B20" w:rsidRDefault="00262552" w:rsidP="004C53DA">
      <w:pPr>
        <w:pStyle w:val="ListParagraph"/>
        <w:ind w:left="0"/>
        <w:rPr>
          <w:sz w:val="24"/>
        </w:rPr>
      </w:pPr>
    </w:p>
    <w:p w14:paraId="5246D215" w14:textId="3F7BC7A5" w:rsidR="000E4D16" w:rsidRPr="00E72B20" w:rsidRDefault="00262552" w:rsidP="004C53DA">
      <w:pPr>
        <w:pStyle w:val="Heading3"/>
      </w:pPr>
      <w:r>
        <w:lastRenderedPageBreak/>
        <w:t>EESRK mano, kad iki šiol įgyvendintomis ES iniciatyvomis, skirtomis skatinti junglumą regione, buvo nepakankamai remiamos daugiašalės jungtys ir projektai. Jis ragina plėsti iniciatyvas, kuriomis didinamas regiono šalių junglumas, daugiausia dėmesio skiriant dviem svarbioms tarpvalstybinio aspekto sritims – susisiekimui jūra ir greitkelių žiedui. EESRK mano, kad šios iniciatyvos dera su ES strategija „Global Gateway“, pagal kurią numatyta Juodosios jūros regione sukurti skaitmeninę ir transporto infrastruktūrą, plėtojant e. logistikos ir skaitmeninių transporto koridorių platformas bei paslaugas, kuri palengvintų prekybą tarp Kaukazo regiono šalių ir ES. Taip bus užtikrinta suderinta prekyba ir daugiarūšis krovinių vežimas naudojantis sąveikiomis eFTI sertifikuotomis nacionalinėmis e. logistikos platformomis, įskaitant keitimąsi su prekyba susijusiais duomenimis ir dokumentais elektronine forma.</w:t>
      </w:r>
    </w:p>
    <w:p w14:paraId="1C29EAD4" w14:textId="77777777" w:rsidR="000E4D16" w:rsidRPr="00E72B20" w:rsidRDefault="000E4D16" w:rsidP="00BB3718"/>
    <w:p w14:paraId="2C018943" w14:textId="6FC19D6B" w:rsidR="00262552" w:rsidRPr="00E72B20" w:rsidRDefault="000E4D16" w:rsidP="004C53DA">
      <w:pPr>
        <w:pStyle w:val="Heading3"/>
      </w:pPr>
      <w:r>
        <w:t>EESRK apgailestaudamas pažymi, kad dauguma ES nepriklausančių regiono šalių nesilaiko tarptautinių darbo standartų. Todėl socialinis dialogas šiose šalyse dažnai išlieka abstrakčia sąvoka, trišalės institucijos atlieka tik formalų vaidmenį, nerengia reguliarių susitikimų ar darbotvarkės, todėl rezultatai yra parodomojo pobūdžio, nors tuo pat metu kituose kabinetuose vykdoma reali politika, kaip antai, teisingos pertvarkos, energetikos ar saugumo, tarptautinio bendradarbiavimo, prekybos ir investicijų, biudžeto ir mokesčių ar pramonės politika, kuri daro poveikį darbuotojams. Teisiniuose procesuose dažnai neatsižvelgiama į socialinį dialogą, o konsolidavimo politika vykdoma grubiai ir vienašališkai. Tai griauna pasitikėjimą demokratinėmis institucijomis, dar labiau stiprina populistus ir kraštutinę dešiniąją ideologiją, sukuria palankias sąlygas užsienio šalių kišimuisi ir klaidingai informacijai.</w:t>
      </w:r>
    </w:p>
    <w:p w14:paraId="51FB93AC" w14:textId="77777777" w:rsidR="00262552" w:rsidRPr="00E72B20" w:rsidRDefault="00262552" w:rsidP="004C53DA">
      <w:pPr>
        <w:rPr>
          <w:sz w:val="24"/>
        </w:rPr>
      </w:pPr>
    </w:p>
    <w:p w14:paraId="3B5D2080" w14:textId="77777777" w:rsidR="00262552" w:rsidRPr="00E72B20" w:rsidRDefault="00262552" w:rsidP="004C53DA">
      <w:pPr>
        <w:pStyle w:val="Heading2"/>
        <w:keepNext/>
        <w:keepLines/>
        <w:rPr>
          <w:b/>
          <w:bCs/>
          <w:i/>
          <w:iCs/>
        </w:rPr>
      </w:pPr>
      <w:r>
        <w:rPr>
          <w:b/>
          <w:i/>
        </w:rPr>
        <w:t>Žemės ūkis ir aplinka</w:t>
      </w:r>
    </w:p>
    <w:p w14:paraId="7EB4A15E" w14:textId="77777777" w:rsidR="00262552" w:rsidRPr="00E72B20" w:rsidRDefault="00262552" w:rsidP="004C53DA">
      <w:pPr>
        <w:pStyle w:val="ListParagraph"/>
        <w:keepNext/>
        <w:keepLines/>
        <w:ind w:left="0"/>
        <w:rPr>
          <w:sz w:val="24"/>
        </w:rPr>
      </w:pPr>
    </w:p>
    <w:p w14:paraId="729F8F4D" w14:textId="0AA6CA8E" w:rsidR="00262552" w:rsidRPr="00E72B20" w:rsidRDefault="00262552" w:rsidP="004C53DA">
      <w:pPr>
        <w:pStyle w:val="Heading3"/>
      </w:pPr>
      <w:r>
        <w:t>EESRK palankiai vertina tai, kad viena iš pavyzdinių iniciatyvų daug dėmesio skiriama „aplinkos apsaugos, atsparumo klimato kaitai bei pasirengimo jai ir civilinės saugos skatinimui“, taip pat paramos atsparumo klimato kaitai didinimui, prisitaikymui prie temperatūros didėjimo neigiamo poveikio ir jo švelninimui, vandens išteklių apsaugai regione, atskirų aplinkos komponentų (oro, dirvožemio, vandens, biologinės įvairovės) taršos prevencijai ir kontrolei ir perėjimui prie žiedinės ekonomikos. Tačiau reikia pripažinti, kad, nepaisant daugelio iki šiol šioje srityje įgyvendintų iniciatyvų, nepastebėta reikšmingos pažangos. EESRK rekomenduoja strateginiame požiūryje labiau atsižvelgti į atskirų regionų ypatumus, ekonominį ir socialinį įgyvendinamų priemonių poveikį, finansavimo apribojimus ir įvairius bei fragmentiškus technologinius iššūkius, taip pat įtraukti bendrą priemonių programą, taikomą visoms regiono šalims klimato kaitos srityje, siekiant Juodosios jūros pakrantės ir jos bendruomenių tvarumo.</w:t>
      </w:r>
    </w:p>
    <w:p w14:paraId="6E497C6C" w14:textId="77777777" w:rsidR="00262552" w:rsidRPr="00E72B20" w:rsidRDefault="00262552" w:rsidP="004C53DA">
      <w:pPr>
        <w:pStyle w:val="ListParagraph"/>
        <w:ind w:left="0"/>
        <w:rPr>
          <w:sz w:val="24"/>
          <w:szCs w:val="24"/>
        </w:rPr>
      </w:pPr>
    </w:p>
    <w:p w14:paraId="14373A64" w14:textId="46D6498B" w:rsidR="00262552" w:rsidRPr="00E72B20" w:rsidRDefault="00262552" w:rsidP="004C53DA">
      <w:pPr>
        <w:pStyle w:val="Heading3"/>
      </w:pPr>
      <w:r>
        <w:t>EESRK pripažįsta ES sėkmę, nes Rusijos agresijos karo prieš Ukrainą kontekste ji sugebėjo sukurti alternatyvius žemės ūkio produktų tiekimo būdus. Žemės ūkio produktų importo iš Ukrainos liberalizavimas padeda išlaikyti Ukrainos ekonomiką karo veiksmų sąlygomis. EESRK rekomenduoja į strateginį požiūrį įtraukti nuostatas, išdėstytas Bulgarijos, Vengrijos, Lenkijos, Slovakijos ir Rumunijos žemės ūkio ministrų deklaracijoje dėl ES ir Ukrainos prekybos susitarimo pakeitimo žemės ūkio aspektų.</w:t>
      </w:r>
    </w:p>
    <w:p w14:paraId="25C7CB3F" w14:textId="77777777" w:rsidR="00262552" w:rsidRPr="00E72B20" w:rsidRDefault="00262552" w:rsidP="004C53DA">
      <w:pPr>
        <w:pStyle w:val="ListParagraph"/>
        <w:ind w:left="0"/>
        <w:rPr>
          <w:sz w:val="24"/>
        </w:rPr>
      </w:pPr>
    </w:p>
    <w:p w14:paraId="7CCCFD36" w14:textId="25D026F9" w:rsidR="00262552" w:rsidRPr="00E72B20" w:rsidRDefault="00262552" w:rsidP="004C53DA">
      <w:pPr>
        <w:pStyle w:val="Heading2"/>
        <w:keepNext/>
        <w:rPr>
          <w:b/>
          <w:bCs/>
          <w:i/>
          <w:iCs/>
        </w:rPr>
      </w:pPr>
      <w:r>
        <w:rPr>
          <w:b/>
          <w:i/>
        </w:rPr>
        <w:lastRenderedPageBreak/>
        <w:t>Bendradarbiavimas, išteklių teikimas ir reikiamos sąlygos</w:t>
      </w:r>
    </w:p>
    <w:p w14:paraId="5F1AEBD7" w14:textId="77777777" w:rsidR="00262552" w:rsidRPr="00E72B20" w:rsidRDefault="00262552" w:rsidP="004C53DA">
      <w:pPr>
        <w:pStyle w:val="ListParagraph"/>
        <w:keepNext/>
        <w:ind w:left="0"/>
        <w:rPr>
          <w:sz w:val="24"/>
        </w:rPr>
      </w:pPr>
    </w:p>
    <w:p w14:paraId="26D66E40" w14:textId="6DD73EC2" w:rsidR="00262552" w:rsidRPr="00E72B20" w:rsidRDefault="00262552" w:rsidP="004C53DA">
      <w:pPr>
        <w:pStyle w:val="Heading3"/>
        <w:rPr>
          <w:szCs w:val="24"/>
        </w:rPr>
      </w:pPr>
      <w:r>
        <w:t>EESRK ragina Komisiją parengti ir pasiūlyti veiksmingą ir konkrečiai finansuojamą pagal 2028–2034 m. DFP strategiją, grindžiamą siūlomu strateginiu požiūriu. Prieš tai turėtų būti atidžiai peržiūrėti iki šiol įgyvendintų iniciatyvų rezultatai ir įvertintas jų poveikis, taip pat koordinavimo mastas, nustatant pagrindines kliūtis, trukdančias įgyvendinti siūlomą požiūrį. Kai kurios iš šių kliūčių susijusios su nepakankamais instituciniais gebėjimais ir įsipareigojimais vykdyti didelius regioninės svarbos projektus. EESRK ragina sukurti veikimo mechanizmą, kuriuo būtų konsoliduojamos ir koordinuojamos įvairios bet nepakankamai finansuojamos Juodosios jūros bendradarbiavimo sistemos, programos ir iniciatyvos, kad būtų išvengta dabartinio dubliavimosi. Įgyvendinant strateginį požiūrį daugiausia dėmesio turėtų būti skiriama regioniniams sektoriams, kuriems reikalinga aukšto lygio nacionalinių, regioninių, vietos ir nevalstybinių subjektų sąveika ir kurie turi tarpvalstybinį aspektą.</w:t>
      </w:r>
    </w:p>
    <w:p w14:paraId="223D00D2" w14:textId="77777777" w:rsidR="00262552" w:rsidRPr="00E72B20" w:rsidRDefault="00262552" w:rsidP="004C53DA">
      <w:pPr>
        <w:rPr>
          <w:sz w:val="24"/>
        </w:rPr>
      </w:pPr>
    </w:p>
    <w:p w14:paraId="19553908" w14:textId="5C440254" w:rsidR="00262552" w:rsidRPr="00E72B20" w:rsidRDefault="00262552" w:rsidP="004C53DA">
      <w:pPr>
        <w:pStyle w:val="Heading3"/>
      </w:pPr>
      <w:r>
        <w:t>EESRK atkreipia dėmesį į sulėtėjusį tiesioginių užsienio investicijų augimą regione, įskaitant investicijas iš ES, ir ragina laikytis strateginio požiūrio siekiant spręsti šią problemą ir nustatyti priemones, kuriomis būtų skatinamos tarpvalstybinės ir ES investicijos regione, parengiant išsamų Juodosios jūros regiono investicijų planą (investicijų paktą), kuris apimtų tvarius ir deramas darbo vietas kuriančius projektus. Strateginiame požiūryje daug dėmesio skiriama viešosioms iniciatyvoms ir veiksmams, kuriuos turi vykdyti šalys. Tačiau neįtraukus privačiojo sektoriaus ir nedidinant privačių investicijų į iniciatyvas ir daugiašalius projektus, poveikis bus ribotas. Viena iš pagrindinių problemų yra daugiašalių investicinių projektų trūkumas. Todėl EESRK siūlo būsimoje strategijoje numatyti konkrečius ir plataus užmojo pavyzdinius projektus. EESRK pritaria Europos investicijų banko (EIB) dalyvavimui finansuojant veiksmus pagal strateginį požiūrį ir siūlo pritraukti ir kitus daugiašalius plėtros bankus, kurie būtų svarbūs tikslų įgyvendinimo finansavimo šaltiniai, pavyzdžiui, Europos rekonstrukcijos ir plėtros banką (ERPB), Juodosios jūros prekybos ir plėtros banką (BSTDB) ir kt.</w:t>
      </w:r>
    </w:p>
    <w:p w14:paraId="757998FB" w14:textId="77777777" w:rsidR="00262552" w:rsidRPr="00E72B20" w:rsidRDefault="00262552" w:rsidP="004C53DA">
      <w:pPr>
        <w:rPr>
          <w:sz w:val="24"/>
        </w:rPr>
      </w:pPr>
    </w:p>
    <w:p w14:paraId="54EED469" w14:textId="204E4CEF" w:rsidR="00262552" w:rsidRPr="00E72B20" w:rsidRDefault="00262552" w:rsidP="004C53DA">
      <w:pPr>
        <w:pStyle w:val="Heading3"/>
      </w:pPr>
      <w:r>
        <w:t>EESRK palankiai vertina dialogo su šalimis partnerėmis skatinimą, tačiau mano, kad strateginiame požiūryje turėtų būti išplėstas šis dialogas įtraukiant regiono verslo organizacijas, daugelį tarpvalstybinių verslo ir ekonominių organizacijų bei vietos valdžios institucijų asociacijas. Dialoge turi dalyvauti nacionalinės institucijos, darbdavių organizacijos, profesinės sąjungos ir vartotojų organizacijos. Atsižvelgiant į patirtį, įgytą plėtojant bendradarbiavimą Juodosios jūros regione, jų dalyvavimas padės pasiekti strateginio požiūrio tikslus.</w:t>
      </w:r>
    </w:p>
    <w:p w14:paraId="6957AA77" w14:textId="77777777" w:rsidR="00262552" w:rsidRPr="00E72B20" w:rsidRDefault="00262552" w:rsidP="004C53DA">
      <w:pPr>
        <w:pStyle w:val="ListParagraph"/>
        <w:ind w:left="0"/>
        <w:rPr>
          <w:sz w:val="24"/>
        </w:rPr>
      </w:pPr>
    </w:p>
    <w:p w14:paraId="63338DC4" w14:textId="3057C59D" w:rsidR="00262552" w:rsidRPr="00E72B20" w:rsidRDefault="00262552" w:rsidP="004C53DA">
      <w:pPr>
        <w:pStyle w:val="Heading3"/>
      </w:pPr>
      <w:r>
        <w:t>EESRK atkreipia dėmesį į pernelyg didelį reguliavimą ir didelę administracinę naštą</w:t>
      </w:r>
      <w:r w:rsidR="00BB6BD2" w:rsidRPr="00E72B20">
        <w:rPr>
          <w:rStyle w:val="FootnoteReference"/>
        </w:rPr>
        <w:footnoteReference w:id="14"/>
      </w:r>
      <w:r>
        <w:t xml:space="preserve"> bendroje Juodosios jūros regione taikomoje reglamentavimo sistemoje ir ragina dėti daug pastangų </w:t>
      </w:r>
      <w:r>
        <w:lastRenderedPageBreak/>
        <w:t>siekiant tai sumažinti. Taip pat turėtų būti aptartas</w:t>
      </w:r>
      <w:r w:rsidRPr="00E72B20">
        <w:rPr>
          <w:rStyle w:val="FootnoteReference"/>
          <w:szCs w:val="24"/>
        </w:rPr>
        <w:footnoteReference w:id="15"/>
      </w:r>
      <w:r>
        <w:t xml:space="preserve"> poreikis nacionaliniu lygmeniu suderinti ir koordinuoti Europos ir tarptautinius reikalavimus.</w:t>
      </w:r>
    </w:p>
    <w:p w14:paraId="4BD27FAE" w14:textId="77777777" w:rsidR="00262552" w:rsidRPr="00E72B20" w:rsidRDefault="00262552" w:rsidP="004C53DA">
      <w:pPr>
        <w:pStyle w:val="ListParagraph"/>
        <w:ind w:left="0"/>
        <w:rPr>
          <w:sz w:val="24"/>
          <w:szCs w:val="24"/>
        </w:rPr>
      </w:pPr>
    </w:p>
    <w:p w14:paraId="6F867E9C" w14:textId="758F8259" w:rsidR="00262552" w:rsidRPr="00E72B20" w:rsidRDefault="00262552" w:rsidP="004C53DA">
      <w:pPr>
        <w:pStyle w:val="Heading3"/>
      </w:pPr>
      <w:r>
        <w:t>EESRK ragina užtikrinti lankstų įgyvendinimą, įskaitant nuostatas, leidžiančias nukrypti nuo taikytinos reguliavimo sistemos (pvz., Juodosios jūros regiono valstybėms dėl sudėtingiausių žaliojo kurso ir valstybės pagalbos elementų), atsižvelgiant į tai, kad regione vykdomi kariniai veiksmai.</w:t>
      </w:r>
    </w:p>
    <w:p w14:paraId="53AF1A71" w14:textId="77777777" w:rsidR="0017443D" w:rsidRDefault="0017443D" w:rsidP="004C53DA">
      <w:pPr>
        <w:jc w:val="center"/>
      </w:pPr>
    </w:p>
    <w:p w14:paraId="759BD28B" w14:textId="714B2AFF" w:rsidR="0017443D" w:rsidRDefault="0017443D" w:rsidP="00B420D1">
      <w:r>
        <w:t>Briuselis, 2025 m. lapkričio 7 d.</w:t>
      </w:r>
    </w:p>
    <w:p w14:paraId="4DF6D18A" w14:textId="77777777" w:rsidR="0017443D" w:rsidRDefault="0017443D" w:rsidP="00B420D1"/>
    <w:p w14:paraId="3F4FD0E6" w14:textId="77777777" w:rsidR="0017443D" w:rsidRDefault="0017443D" w:rsidP="00B420D1"/>
    <w:p w14:paraId="4D71F5B6" w14:textId="71C1148B" w:rsidR="0017443D" w:rsidRPr="00B420D1" w:rsidRDefault="0017443D" w:rsidP="00B420D1">
      <w:pPr>
        <w:rPr>
          <w:i/>
          <w:iCs/>
        </w:rPr>
      </w:pPr>
      <w:r>
        <w:rPr>
          <w:i/>
        </w:rPr>
        <w:t>Išorės santykių skyriaus pirmininkas</w:t>
      </w:r>
    </w:p>
    <w:p w14:paraId="521516F2" w14:textId="5CB37B14" w:rsidR="0017443D" w:rsidRPr="00955098" w:rsidRDefault="0017443D" w:rsidP="00B420D1">
      <w:r>
        <w:t>Stefano PALMIERI</w:t>
      </w:r>
    </w:p>
    <w:p w14:paraId="0C894A92" w14:textId="77777777" w:rsidR="0017443D" w:rsidRDefault="0017443D" w:rsidP="004C53DA">
      <w:pPr>
        <w:jc w:val="center"/>
      </w:pPr>
    </w:p>
    <w:p w14:paraId="6E522A42" w14:textId="2600ECCD" w:rsidR="00646AC2" w:rsidRPr="00E72B20" w:rsidRDefault="009533AB" w:rsidP="004C53DA">
      <w:pPr>
        <w:jc w:val="center"/>
      </w:pPr>
      <w:r>
        <w:t>___________</w:t>
      </w:r>
    </w:p>
    <w:sectPr w:rsidR="00646AC2" w:rsidRPr="00E72B20" w:rsidSect="00955098">
      <w:headerReference w:type="even" r:id="rId21"/>
      <w:headerReference w:type="default" r:id="rId22"/>
      <w:footerReference w:type="even" r:id="rId23"/>
      <w:footerReference w:type="default" r:id="rId24"/>
      <w:headerReference w:type="first" r:id="rId25"/>
      <w:footerReference w:type="first" r:id="rId26"/>
      <w:pgSz w:w="11907" w:h="16839" w:code="9"/>
      <w:pgMar w:top="1417" w:right="1417" w:bottom="1417" w:left="1417"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41255E" w14:textId="77777777" w:rsidR="00F477C5" w:rsidRDefault="00F477C5">
      <w:r>
        <w:separator/>
      </w:r>
    </w:p>
  </w:endnote>
  <w:endnote w:type="continuationSeparator" w:id="0">
    <w:p w14:paraId="5ED20EDB" w14:textId="77777777" w:rsidR="00F477C5" w:rsidRDefault="00F477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6951F" w14:textId="77777777" w:rsidR="00672134" w:rsidRPr="00955098" w:rsidRDefault="00672134" w:rsidP="0095509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4E" w14:textId="3AB24D31" w:rsidR="00CB5F3C" w:rsidRPr="00955098" w:rsidRDefault="00955098" w:rsidP="00955098">
    <w:pPr>
      <w:pStyle w:val="Footer"/>
    </w:pPr>
    <w:r>
      <w:t xml:space="preserve">REX/609 – EESC-2025-02608-00-00-AS-TRA (LT) </w:t>
    </w:r>
    <w:r>
      <w:fldChar w:fldCharType="begin"/>
    </w:r>
    <w:r>
      <w:instrText xml:space="preserve"> PAGE  \* Arabic  \* MERGEFORMAT </w:instrText>
    </w:r>
    <w:r>
      <w:fldChar w:fldCharType="separate"/>
    </w:r>
    <w:r w:rsidR="00067507">
      <w:t>1</w:t>
    </w:r>
    <w:r>
      <w:fldChar w:fldCharType="end"/>
    </w:r>
    <w:r>
      <w:t>/</w:t>
    </w:r>
    <w:r w:rsidR="006D7EC9">
      <w:fldChar w:fldCharType="begin"/>
    </w:r>
    <w:r w:rsidR="006D7EC9">
      <w:instrText xml:space="preserve"> NUMPAGES </w:instrText>
    </w:r>
    <w:r w:rsidR="006D7EC9">
      <w:fldChar w:fldCharType="separate"/>
    </w:r>
    <w:r w:rsidR="00067507">
      <w:t>1</w:t>
    </w:r>
    <w:r w:rsidR="006D7EC9">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A5BD15" w14:textId="77777777" w:rsidR="00672134" w:rsidRPr="00955098" w:rsidRDefault="00672134" w:rsidP="0095509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3" w14:textId="77777777" w:rsidR="00B43AAA" w:rsidRPr="00955098" w:rsidRDefault="00B43AAA" w:rsidP="00955098">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4" w14:textId="0B65FDA1" w:rsidR="00646AC2" w:rsidRPr="00955098" w:rsidRDefault="00955098" w:rsidP="00955098">
    <w:pPr>
      <w:pStyle w:val="Footer"/>
    </w:pPr>
    <w:r>
      <w:t xml:space="preserve">REX/609 – EESC-2025-02608-00-00-AS-TRA (LT) </w:t>
    </w:r>
    <w:r>
      <w:fldChar w:fldCharType="begin"/>
    </w:r>
    <w:r>
      <w:instrText xml:space="preserve"> PAGE  \* Arabic  \* MERGEFORMAT </w:instrText>
    </w:r>
    <w:r>
      <w:fldChar w:fldCharType="separate"/>
    </w:r>
    <w:r>
      <w:t>2</w:t>
    </w:r>
    <w:r>
      <w:fldChar w:fldCharType="end"/>
    </w:r>
    <w:r>
      <w:t>/</w:t>
    </w:r>
    <w:r w:rsidR="006D7EC9">
      <w:fldChar w:fldCharType="begin"/>
    </w:r>
    <w:r w:rsidR="006D7EC9">
      <w:instrText xml:space="preserve"> NUMPAGES </w:instrText>
    </w:r>
    <w:r w:rsidR="006D7EC9">
      <w:fldChar w:fldCharType="separate"/>
    </w:r>
    <w:r>
      <w:t>11</w:t>
    </w:r>
    <w:r w:rsidR="006D7EC9">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6" w14:textId="77777777" w:rsidR="00B43AAA" w:rsidRPr="00955098" w:rsidRDefault="00B43AAA" w:rsidP="0095509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618336" w14:textId="77777777" w:rsidR="00F477C5" w:rsidRDefault="00F477C5">
      <w:r>
        <w:separator/>
      </w:r>
    </w:p>
  </w:footnote>
  <w:footnote w:type="continuationSeparator" w:id="0">
    <w:p w14:paraId="79C1B079" w14:textId="77777777" w:rsidR="00F477C5" w:rsidRDefault="00F477C5">
      <w:r>
        <w:continuationSeparator/>
      </w:r>
    </w:p>
  </w:footnote>
  <w:footnote w:id="1">
    <w:p w14:paraId="246F4B8D" w14:textId="7372D7A6" w:rsidR="00E83718" w:rsidRPr="00E72B20" w:rsidRDefault="00E83718" w:rsidP="00E83718">
      <w:pPr>
        <w:pStyle w:val="FootnoteText"/>
      </w:pPr>
      <w:r>
        <w:rPr>
          <w:rStyle w:val="FootnoteReference"/>
        </w:rPr>
        <w:footnoteRef/>
      </w:r>
      <w:r>
        <w:tab/>
        <w:t xml:space="preserve"> Europos Vadovų Tarybos išvados, </w:t>
      </w:r>
      <w:hyperlink r:id="rId1" w:history="1">
        <w:r>
          <w:rPr>
            <w:rStyle w:val="Hyperlink"/>
          </w:rPr>
          <w:t>https://www.consilium.europa.eu/media/qa3lblga/euco-conclusions-27062024-en.pdf</w:t>
        </w:r>
      </w:hyperlink>
      <w:r>
        <w:t>, p. 33.</w:t>
      </w:r>
    </w:p>
  </w:footnote>
  <w:footnote w:id="2">
    <w:p w14:paraId="7466EBED" w14:textId="581701CA" w:rsidR="00AA0CB5" w:rsidRPr="00E72B20" w:rsidRDefault="00AA0CB5">
      <w:pPr>
        <w:pStyle w:val="FootnoteText"/>
      </w:pPr>
      <w:r>
        <w:rPr>
          <w:rStyle w:val="FootnoteReference"/>
        </w:rPr>
        <w:footnoteRef/>
      </w:r>
      <w:r>
        <w:t xml:space="preserve"> </w:t>
      </w:r>
      <w:r>
        <w:tab/>
        <w:t>Importas iš Rusijos į Turkiją prieš karą sudarė 29 mlrd. USD, o šiuo metu siekia 44 mlrd. USD.</w:t>
      </w:r>
    </w:p>
  </w:footnote>
  <w:footnote w:id="3">
    <w:p w14:paraId="59A3DA5D" w14:textId="26F07066" w:rsidR="00F53D5C" w:rsidRPr="00E72B20" w:rsidRDefault="00F53D5C" w:rsidP="00F53D5C">
      <w:pPr>
        <w:pStyle w:val="FootnoteText"/>
      </w:pPr>
      <w:r>
        <w:rPr>
          <w:rStyle w:val="FootnoteReference"/>
        </w:rPr>
        <w:footnoteRef/>
      </w:r>
      <w:r>
        <w:t xml:space="preserve"> </w:t>
      </w:r>
      <w:r>
        <w:tab/>
      </w:r>
      <w:hyperlink r:id="rId2" w:history="1">
        <w:r>
          <w:rPr>
            <w:rStyle w:val="Hyperlink"/>
          </w:rPr>
          <w:t>https://eur-lex.europa.eu/legal-content/EN/TXT/PDF/?uri=CELEX:52007DC0160</w:t>
        </w:r>
      </w:hyperlink>
      <w:r>
        <w:t>.</w:t>
      </w:r>
    </w:p>
  </w:footnote>
  <w:footnote w:id="4">
    <w:p w14:paraId="729C3C24" w14:textId="011FA4CE" w:rsidR="00F53D5C" w:rsidRPr="00E72B20" w:rsidRDefault="00F53D5C">
      <w:pPr>
        <w:pStyle w:val="FootnoteText"/>
      </w:pPr>
      <w:r>
        <w:rPr>
          <w:rStyle w:val="FootnoteReference"/>
        </w:rPr>
        <w:footnoteRef/>
      </w:r>
      <w:r>
        <w:t xml:space="preserve"> </w:t>
      </w:r>
      <w:r>
        <w:tab/>
        <w:t xml:space="preserve">Žr. </w:t>
      </w:r>
      <w:hyperlink r:id="rId3" w:history="1">
        <w:r>
          <w:rPr>
            <w:rStyle w:val="Hyperlink"/>
            <w:i/>
          </w:rPr>
          <w:t>Socialinė žiniasklaida ir dirbtinio intelekto algoritmai: užtikrinti teisę į tikslią informaciją ir aukštos kokybės turinio, ypač apie Rytų ir Vidurio Europą, matomumą visoje Europoje.</w:t>
        </w:r>
      </w:hyperlink>
    </w:p>
  </w:footnote>
  <w:footnote w:id="5">
    <w:p w14:paraId="26A5E7FC" w14:textId="6C7980AD" w:rsidR="00F53D5C" w:rsidRPr="00E72B20" w:rsidRDefault="00F53D5C">
      <w:pPr>
        <w:pStyle w:val="FootnoteText"/>
      </w:pPr>
      <w:r>
        <w:rPr>
          <w:rStyle w:val="FootnoteReference"/>
        </w:rPr>
        <w:footnoteRef/>
      </w:r>
      <w:r>
        <w:t xml:space="preserve"> </w:t>
      </w:r>
      <w:r>
        <w:tab/>
        <w:t>Juodosios jūros sinergija buvo sėkmingai įgyvendinama toje sistemoje, kurioje ji buvo sukurta: https://data.consilium.europa.eu/doc/document/ST-11900-2024-INIT/en/pdf ir https://www.eeas.europa.eu/eeas/black-sea-synergy-success-regional-cooperation-despite-challenges_en.</w:t>
      </w:r>
    </w:p>
  </w:footnote>
  <w:footnote w:id="6">
    <w:p w14:paraId="0563C032" w14:textId="43046B42" w:rsidR="006A5923" w:rsidRPr="00E72B20" w:rsidRDefault="006A5923">
      <w:pPr>
        <w:pStyle w:val="FootnoteText"/>
      </w:pPr>
      <w:r>
        <w:rPr>
          <w:rStyle w:val="FootnoteReference"/>
        </w:rPr>
        <w:footnoteRef/>
      </w:r>
      <w:r>
        <w:tab/>
        <w:t xml:space="preserve">Atsižvelgiant į ribotą ES ir Juodosios jūros regiono ekonominio bendradarbiavimo organizacijoje (BSEC) sąveiką dabartinėmis Rusijos agresijos karo prieš Ukrainą aplinkybėmis, kurios daro didesnį poveikį BSEC ir ES ryšių dinamikai, kaip nurodyta Komisijos tarnybų darbiniame dokumente/4-ojoje Juodosios jūros sinergijos įgyvendinimo ataskaitoje (p. 22–23). Kalbant apie sektorius, BSEC ir ES sąveika ir toliau vyko pagal Bendrą jūrų darbotvarkę ir jos mokslinį ramstį – Juodosios jūros strateginę mokslinių tyrimų ir inovacijų darbotvarkę. Tačiau ši sąveika ribota: BSEC nuolatinis tarptautinis sekretoriatas dalyvauja šiose iniciatyvose stebėtojo teisėmis. ES atsakydama (13) sustabdė Rusijos dalyvavimą Juodosios jūros sinergijos iniciatyvoje ir visų formų bendradarbiavimą su Rusijos viešaisiais subjektais regioniniu ir nacionaliniu lygmenimis. </w:t>
      </w:r>
    </w:p>
  </w:footnote>
  <w:footnote w:id="7">
    <w:p w14:paraId="52322E62" w14:textId="36E168B6" w:rsidR="002500C5" w:rsidRPr="00E72B20" w:rsidRDefault="002500C5">
      <w:pPr>
        <w:pStyle w:val="FootnoteText"/>
      </w:pPr>
      <w:r>
        <w:rPr>
          <w:rStyle w:val="FootnoteReference"/>
        </w:rPr>
        <w:footnoteRef/>
      </w:r>
      <w:r>
        <w:t xml:space="preserve"> </w:t>
      </w:r>
      <w:r>
        <w:tab/>
        <w:t>Dalyviai pabrėžė savo pasiryžimą gilinti bendradarbiavimą bendro intereso srityse, didinti abipusį atsparumą ir skatinti labiau sujungtų, saugesnių ir klestinčių regionų plėtrą. Dalyviai aptarė plataus užmojo tarpregioninio junglumo darbotvarkę.</w:t>
      </w:r>
    </w:p>
  </w:footnote>
  <w:footnote w:id="8">
    <w:p w14:paraId="519CC028" w14:textId="05CE8ACB" w:rsidR="002B385F" w:rsidRPr="00E72B20" w:rsidRDefault="002B385F">
      <w:pPr>
        <w:pStyle w:val="FootnoteText"/>
      </w:pPr>
      <w:r>
        <w:rPr>
          <w:rStyle w:val="FootnoteReference"/>
        </w:rPr>
        <w:footnoteRef/>
      </w:r>
      <w:r>
        <w:tab/>
        <w:t>2021–2027 m. daugiametė finansinė programa, įskaitant Kaimynystės, vystomojo ir tarptautinio bendradarbiavimo priemonę (KVTBP), Pasirengimo narystei pagalbos priemonę (PNPP III), Europos infrastruktūros tinklų priemonę, programą „Europos horizontas“, Europos gynybos fondą (EGF) ir ES gynybos inovacijų sistemą, sanglaudos politiką (ERPF), Skaitmeninės Europos programą, programą „InvestEU“, programą LIFE, programą „Erasmus+“, planą „ReArm Europe“, Europos taikos priemonę ir Ukrainos priemonę.</w:t>
      </w:r>
    </w:p>
  </w:footnote>
  <w:footnote w:id="9">
    <w:p w14:paraId="2C76A276" w14:textId="00E79A68" w:rsidR="00412B20" w:rsidRPr="00E72B20" w:rsidRDefault="00412B20" w:rsidP="00412B20">
      <w:pPr>
        <w:pStyle w:val="FootnoteText"/>
      </w:pPr>
      <w:r>
        <w:rPr>
          <w:rStyle w:val="FootnoteReference"/>
        </w:rPr>
        <w:footnoteRef/>
      </w:r>
      <w:r>
        <w:t xml:space="preserve"> </w:t>
      </w:r>
      <w:r>
        <w:tab/>
      </w:r>
      <w:hyperlink r:id="rId4" w:history="1">
        <w:r>
          <w:rPr>
            <w:rStyle w:val="Hyperlink"/>
          </w:rPr>
          <w:t>https://www.eeas.europa.eu/delegations/vienna-international-organisations/eu-statement-response-report-co-chairs-geneva-international-discussions_en</w:t>
        </w:r>
      </w:hyperlink>
      <w:r>
        <w:t>.</w:t>
      </w:r>
    </w:p>
  </w:footnote>
  <w:footnote w:id="10">
    <w:p w14:paraId="2FA27DB8" w14:textId="0F7F37B6" w:rsidR="00262552" w:rsidRPr="00E72B20" w:rsidRDefault="00262552" w:rsidP="00262552">
      <w:pPr>
        <w:pStyle w:val="FootnoteText"/>
      </w:pPr>
      <w:r>
        <w:rPr>
          <w:rStyle w:val="FootnoteReference"/>
        </w:rPr>
        <w:footnoteRef/>
      </w:r>
      <w:r>
        <w:tab/>
        <w:t>Nuo 2024 m. galioja Bulgarijos Respublikos, Rumunijos ir Turkijos Respublikos vyriausybių susitarimo memorandumas dėl Juodosios jūros apsaugos nuo minų (MCM) darbo grupės įsteigimo.</w:t>
      </w:r>
    </w:p>
  </w:footnote>
  <w:footnote w:id="11">
    <w:p w14:paraId="07BDD34A" w14:textId="1B93A489" w:rsidR="00262552" w:rsidRPr="00E72B20" w:rsidRDefault="00262552" w:rsidP="00262552">
      <w:pPr>
        <w:pStyle w:val="FootnoteText"/>
      </w:pPr>
      <w:r>
        <w:rPr>
          <w:rStyle w:val="FootnoteReference"/>
        </w:rPr>
        <w:footnoteRef/>
      </w:r>
      <w:r>
        <w:tab/>
        <w:t>Tarp kai kurių šalių yra didelis disbalansas – didžiulis prekybos deficitas. Tai labai didelė problema: Bulgarijos prekybos deficitas sudaro 1,186 mlrd. mlrd. BGN (vien su Ukraina 606,4 mln. EUR).</w:t>
      </w:r>
    </w:p>
  </w:footnote>
  <w:footnote w:id="12">
    <w:p w14:paraId="63381CD7" w14:textId="7FC6F129" w:rsidR="00190571" w:rsidRPr="00E72B20" w:rsidRDefault="00190571">
      <w:pPr>
        <w:pStyle w:val="FootnoteText"/>
      </w:pPr>
      <w:r>
        <w:rPr>
          <w:rStyle w:val="FootnoteReference"/>
        </w:rPr>
        <w:footnoteRef/>
      </w:r>
      <w:r>
        <w:t xml:space="preserve"> </w:t>
      </w:r>
      <w:r>
        <w:tab/>
        <w:t>Žaliosios energijos koridorius jungia švarios energijos gamybą Kaukazo regione ir ES rinkas, pavyzdžiui, naudojant povandenines elektros energijos linijas.</w:t>
      </w:r>
    </w:p>
  </w:footnote>
  <w:footnote w:id="13">
    <w:p w14:paraId="206749C7" w14:textId="5D251E99" w:rsidR="00262552" w:rsidRPr="00E72B20" w:rsidRDefault="00262552" w:rsidP="00262552">
      <w:pPr>
        <w:pStyle w:val="FootnoteText"/>
      </w:pPr>
      <w:r>
        <w:rPr>
          <w:rStyle w:val="FootnoteReference"/>
        </w:rPr>
        <w:footnoteRef/>
      </w:r>
      <w:r>
        <w:tab/>
        <w:t>Bulgarija priėmė 2021–2035 m. jūrinės teritorijos planą.</w:t>
      </w:r>
    </w:p>
  </w:footnote>
  <w:footnote w:id="14">
    <w:p w14:paraId="3244EA4F" w14:textId="6C8165C1" w:rsidR="00BB6BD2" w:rsidRPr="00E72B20" w:rsidRDefault="00BB6BD2">
      <w:pPr>
        <w:pStyle w:val="FootnoteText"/>
      </w:pPr>
      <w:r>
        <w:rPr>
          <w:rStyle w:val="FootnoteReference"/>
        </w:rPr>
        <w:footnoteRef/>
      </w:r>
      <w:r>
        <w:t xml:space="preserve"> </w:t>
      </w:r>
      <w:r>
        <w:tab/>
        <w:t>Įgyvendinant Europos vandenynų paktą, Komisija taip pat sieks supaprastinti ir sinchronizuoti galiojančiuose teisės aktuose nustatytus su vandenynais susijusius valstybių narių įpareigojimus teikti ataskaitas, kad būtų padidintas teisinis aiškumas ir politikos nuoseklumas, kartu sumažinant administracinę naštą.</w:t>
      </w:r>
    </w:p>
  </w:footnote>
  <w:footnote w:id="15">
    <w:p w14:paraId="35861988" w14:textId="52A51C43" w:rsidR="00262552" w:rsidRPr="00E72B20" w:rsidRDefault="00262552" w:rsidP="00262552">
      <w:pPr>
        <w:pStyle w:val="FootnoteText"/>
      </w:pPr>
      <w:r>
        <w:rPr>
          <w:rStyle w:val="FootnoteReference"/>
        </w:rPr>
        <w:footnoteRef/>
      </w:r>
      <w:r>
        <w:tab/>
      </w:r>
      <w:r>
        <w:rPr>
          <w:u w:val="single"/>
        </w:rPr>
        <w:t xml:space="preserve">Pavyzdžiui: tarptautiniu lygmeniu </w:t>
      </w:r>
      <w:r>
        <w:t xml:space="preserve">1973 m. Tarptautinė konvencija dėl teršimo iš laivų prevencijos (MARPOL), 1982 m. Jungtinių Tautų jūrų teisės konvencija (UNCLOS); </w:t>
      </w:r>
      <w:r>
        <w:rPr>
          <w:u w:val="single"/>
        </w:rPr>
        <w:t>Europos lygmeniu</w:t>
      </w:r>
      <w:r>
        <w:t xml:space="preserve"> – Direktyva 2008/56/EB (Jūrų strategijos pagrindų direktyva), Direktyva 2014/89/ES, kuria nustatoma jūrinių teritorijų planavimo sistema, Direktyva 2000/60/EB, nustatanti Bendrijos veiksmų vandens politikos srityje pagrindus, Europos žaliasis kursas, plastikų strategija, žiedinės ekonomikos strategija; </w:t>
      </w:r>
      <w:r>
        <w:rPr>
          <w:u w:val="single"/>
        </w:rPr>
        <w:t>ir regioniniu lygmeniu</w:t>
      </w:r>
      <w:r>
        <w:t xml:space="preserve"> – 1992 m. Konvencija dėl Juodosios jūros apsaugos nuo taršos, taip pat Juodosios jūros regiono iniciatyvos, pavyzdžiui, strateginė mokslinių tyrimų ir inovacijų darbotvarkė, Juodosios jūros regiono ekonominio bendradarbiavimo organizacija ir kt.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6BDBBF" w14:textId="77777777" w:rsidR="00672134" w:rsidRPr="00955098" w:rsidRDefault="00672134" w:rsidP="0095509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9D14B4" w14:textId="0DFFA155" w:rsidR="00672134" w:rsidRPr="00955098" w:rsidRDefault="00672134" w:rsidP="0095509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A0AE8" w14:textId="77777777" w:rsidR="00672134" w:rsidRPr="00955098" w:rsidRDefault="00672134" w:rsidP="00955098">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1" w14:textId="77777777" w:rsidR="00B43AAA" w:rsidRPr="00955098" w:rsidRDefault="00B43AAA" w:rsidP="00955098">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2" w14:textId="0F28FDA4" w:rsidR="00646AC2" w:rsidRPr="00955098" w:rsidRDefault="00646AC2" w:rsidP="00955098">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5" w14:textId="77777777" w:rsidR="00B43AAA" w:rsidRPr="00955098" w:rsidRDefault="00B43AAA" w:rsidP="0095509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CF1263D0"/>
    <w:lvl w:ilvl="0">
      <w:start w:val="1"/>
      <w:numFmt w:val="decimal"/>
      <w:pStyle w:val="Heading1"/>
      <w:lvlText w:val="%1."/>
      <w:legacy w:legacy="1" w:legacySpace="0" w:legacyIndent="0"/>
      <w:lvlJc w:val="left"/>
      <w:rPr>
        <w:b w:val="0"/>
        <w:bCs w:val="0"/>
      </w:rPr>
    </w:lvl>
    <w:lvl w:ilvl="1">
      <w:start w:val="1"/>
      <w:numFmt w:val="decimal"/>
      <w:pStyle w:val="Heading2"/>
      <w:lvlText w:val="%1.%2"/>
      <w:legacy w:legacy="1" w:legacySpace="144" w:legacyIndent="0"/>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egacy w:legacy="1" w:legacySpace="144" w:legacyIndent="0"/>
      <w:lvlJc w:val="left"/>
      <w:rPr>
        <w:sz w:val="24"/>
        <w:szCs w:val="24"/>
      </w:rPr>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15:restartNumberingAfterBreak="0">
    <w:nsid w:val="179266E4"/>
    <w:multiLevelType w:val="multilevel"/>
    <w:tmpl w:val="055AB57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lang w:val="en-G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6AA1049"/>
    <w:multiLevelType w:val="hybridMultilevel"/>
    <w:tmpl w:val="0804CB3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 w15:restartNumberingAfterBreak="0">
    <w:nsid w:val="272B563D"/>
    <w:multiLevelType w:val="hybridMultilevel"/>
    <w:tmpl w:val="6ACCA8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EEC2C05"/>
    <w:multiLevelType w:val="hybridMultilevel"/>
    <w:tmpl w:val="D52C7A1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D447DCE"/>
    <w:multiLevelType w:val="hybridMultilevel"/>
    <w:tmpl w:val="00729754"/>
    <w:lvl w:ilvl="0" w:tplc="F64660EC">
      <w:start w:val="1"/>
      <w:numFmt w:val="upperRoman"/>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31C2245"/>
    <w:multiLevelType w:val="hybridMultilevel"/>
    <w:tmpl w:val="933E2768"/>
    <w:lvl w:ilvl="0" w:tplc="3948F1F2">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num w:numId="1">
    <w:abstractNumId w:val="5"/>
  </w:num>
  <w:num w:numId="2">
    <w:abstractNumId w:val="0"/>
  </w:num>
  <w:num w:numId="3">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3"/>
  </w:num>
  <w:num w:numId="6">
    <w:abstractNumId w:val="1"/>
  </w:num>
  <w:num w:numId="7">
    <w:abstractNumId w:val="2"/>
  </w:num>
  <w:num w:numId="8">
    <w:abstractNumId w:val="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embedSystemFonts/>
  <w:hideSpellingErrors/>
  <w:hideGrammaticalErrors/>
  <w:proofState w:spelling="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doNotHyphenateCaps/>
  <w:drawingGridHorizontalSpacing w:val="110"/>
  <w:drawingGridVerticalSpacing w:val="299"/>
  <w:displayHorizontalDrawingGridEvery w:val="2"/>
  <w:displayVerticalDrawingGridEvery w:val="0"/>
  <w:noPunctuationKerning/>
  <w:characterSpacingControl w:val="doNotCompress"/>
  <w:doNotValidateAgainstSchema/>
  <w:doNotDemarcateInvalidXml/>
  <w:hdrShapeDefaults>
    <o:shapedefaults v:ext="edit" spidmax="737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F8F"/>
    <w:rsid w:val="00002B9F"/>
    <w:rsid w:val="000052D6"/>
    <w:rsid w:val="00005AB9"/>
    <w:rsid w:val="00005EB9"/>
    <w:rsid w:val="00006912"/>
    <w:rsid w:val="00006BA5"/>
    <w:rsid w:val="00006E24"/>
    <w:rsid w:val="00007A40"/>
    <w:rsid w:val="000128CD"/>
    <w:rsid w:val="00015F68"/>
    <w:rsid w:val="00017B45"/>
    <w:rsid w:val="00020E6E"/>
    <w:rsid w:val="000229C4"/>
    <w:rsid w:val="00026A08"/>
    <w:rsid w:val="00031A4B"/>
    <w:rsid w:val="00033913"/>
    <w:rsid w:val="00033AFC"/>
    <w:rsid w:val="00033DB4"/>
    <w:rsid w:val="00033E5B"/>
    <w:rsid w:val="000357A8"/>
    <w:rsid w:val="000430A6"/>
    <w:rsid w:val="00044923"/>
    <w:rsid w:val="00046BEA"/>
    <w:rsid w:val="00050717"/>
    <w:rsid w:val="0005249C"/>
    <w:rsid w:val="000534A5"/>
    <w:rsid w:val="00055214"/>
    <w:rsid w:val="0005680D"/>
    <w:rsid w:val="0006197D"/>
    <w:rsid w:val="00062AD8"/>
    <w:rsid w:val="00063389"/>
    <w:rsid w:val="00063FB4"/>
    <w:rsid w:val="00067507"/>
    <w:rsid w:val="0006793E"/>
    <w:rsid w:val="000702CD"/>
    <w:rsid w:val="00072E0F"/>
    <w:rsid w:val="000735E5"/>
    <w:rsid w:val="0007392F"/>
    <w:rsid w:val="00083302"/>
    <w:rsid w:val="00087B39"/>
    <w:rsid w:val="00093DE0"/>
    <w:rsid w:val="00095701"/>
    <w:rsid w:val="00096502"/>
    <w:rsid w:val="00097E3F"/>
    <w:rsid w:val="000A3061"/>
    <w:rsid w:val="000A4385"/>
    <w:rsid w:val="000A49BB"/>
    <w:rsid w:val="000A5670"/>
    <w:rsid w:val="000A6430"/>
    <w:rsid w:val="000B68FA"/>
    <w:rsid w:val="000C3441"/>
    <w:rsid w:val="000C6B0C"/>
    <w:rsid w:val="000C6FED"/>
    <w:rsid w:val="000C7582"/>
    <w:rsid w:val="000C7F53"/>
    <w:rsid w:val="000D2215"/>
    <w:rsid w:val="000D2F8E"/>
    <w:rsid w:val="000D4B1D"/>
    <w:rsid w:val="000E4D16"/>
    <w:rsid w:val="000E6D9C"/>
    <w:rsid w:val="000E7397"/>
    <w:rsid w:val="000F196B"/>
    <w:rsid w:val="000F30A0"/>
    <w:rsid w:val="000F72D2"/>
    <w:rsid w:val="00105361"/>
    <w:rsid w:val="001101F8"/>
    <w:rsid w:val="00111995"/>
    <w:rsid w:val="00111BC7"/>
    <w:rsid w:val="0011206F"/>
    <w:rsid w:val="00115815"/>
    <w:rsid w:val="0011656A"/>
    <w:rsid w:val="00120E2F"/>
    <w:rsid w:val="0012220C"/>
    <w:rsid w:val="00131F37"/>
    <w:rsid w:val="00134E8C"/>
    <w:rsid w:val="00136EA3"/>
    <w:rsid w:val="00137575"/>
    <w:rsid w:val="00137CE2"/>
    <w:rsid w:val="00140323"/>
    <w:rsid w:val="00140B67"/>
    <w:rsid w:val="00144231"/>
    <w:rsid w:val="00145470"/>
    <w:rsid w:val="0014781D"/>
    <w:rsid w:val="00150434"/>
    <w:rsid w:val="0015344E"/>
    <w:rsid w:val="001554E5"/>
    <w:rsid w:val="00155721"/>
    <w:rsid w:val="001579E5"/>
    <w:rsid w:val="00162F46"/>
    <w:rsid w:val="0016503F"/>
    <w:rsid w:val="0016674F"/>
    <w:rsid w:val="00167CA0"/>
    <w:rsid w:val="0017120D"/>
    <w:rsid w:val="001714F6"/>
    <w:rsid w:val="0017443D"/>
    <w:rsid w:val="00176168"/>
    <w:rsid w:val="00177158"/>
    <w:rsid w:val="00184FD4"/>
    <w:rsid w:val="00186B04"/>
    <w:rsid w:val="00186F1E"/>
    <w:rsid w:val="001902FB"/>
    <w:rsid w:val="00190571"/>
    <w:rsid w:val="00190836"/>
    <w:rsid w:val="00190B4F"/>
    <w:rsid w:val="00193930"/>
    <w:rsid w:val="00194B36"/>
    <w:rsid w:val="001963A5"/>
    <w:rsid w:val="00196F1E"/>
    <w:rsid w:val="00197FCA"/>
    <w:rsid w:val="001A27DB"/>
    <w:rsid w:val="001A42A2"/>
    <w:rsid w:val="001A6852"/>
    <w:rsid w:val="001B02A8"/>
    <w:rsid w:val="001B286A"/>
    <w:rsid w:val="001B2D02"/>
    <w:rsid w:val="001B3647"/>
    <w:rsid w:val="001B77FA"/>
    <w:rsid w:val="001C0ABE"/>
    <w:rsid w:val="001C205F"/>
    <w:rsid w:val="001C5852"/>
    <w:rsid w:val="001C7B6D"/>
    <w:rsid w:val="001D3DD3"/>
    <w:rsid w:val="001D45F0"/>
    <w:rsid w:val="001D5219"/>
    <w:rsid w:val="001D6F62"/>
    <w:rsid w:val="001E1335"/>
    <w:rsid w:val="001E4A33"/>
    <w:rsid w:val="001E5C27"/>
    <w:rsid w:val="001E6CAF"/>
    <w:rsid w:val="001F0EEB"/>
    <w:rsid w:val="001F110E"/>
    <w:rsid w:val="001F2A2F"/>
    <w:rsid w:val="001F2BEB"/>
    <w:rsid w:val="001F602B"/>
    <w:rsid w:val="001F6AC8"/>
    <w:rsid w:val="002037D5"/>
    <w:rsid w:val="00206F90"/>
    <w:rsid w:val="00207500"/>
    <w:rsid w:val="002110FD"/>
    <w:rsid w:val="00212864"/>
    <w:rsid w:val="00212B03"/>
    <w:rsid w:val="00214410"/>
    <w:rsid w:val="00215C10"/>
    <w:rsid w:val="00215C2D"/>
    <w:rsid w:val="00216433"/>
    <w:rsid w:val="00224AF6"/>
    <w:rsid w:val="002252C4"/>
    <w:rsid w:val="0022541A"/>
    <w:rsid w:val="0023140A"/>
    <w:rsid w:val="0023183E"/>
    <w:rsid w:val="00232B04"/>
    <w:rsid w:val="00233227"/>
    <w:rsid w:val="00235138"/>
    <w:rsid w:val="002434ED"/>
    <w:rsid w:val="00243E36"/>
    <w:rsid w:val="00244393"/>
    <w:rsid w:val="0024507B"/>
    <w:rsid w:val="0024540B"/>
    <w:rsid w:val="00245EF4"/>
    <w:rsid w:val="002500C5"/>
    <w:rsid w:val="00250B06"/>
    <w:rsid w:val="00250E11"/>
    <w:rsid w:val="00251383"/>
    <w:rsid w:val="002522C9"/>
    <w:rsid w:val="00252A21"/>
    <w:rsid w:val="00253E4F"/>
    <w:rsid w:val="002542E4"/>
    <w:rsid w:val="00257E7F"/>
    <w:rsid w:val="00261053"/>
    <w:rsid w:val="0026220E"/>
    <w:rsid w:val="00262552"/>
    <w:rsid w:val="00262FDE"/>
    <w:rsid w:val="00263629"/>
    <w:rsid w:val="002641D0"/>
    <w:rsid w:val="00265D3A"/>
    <w:rsid w:val="0027268B"/>
    <w:rsid w:val="00274D84"/>
    <w:rsid w:val="002769BD"/>
    <w:rsid w:val="002809EA"/>
    <w:rsid w:val="00280BE8"/>
    <w:rsid w:val="0028207A"/>
    <w:rsid w:val="00284962"/>
    <w:rsid w:val="00287B0E"/>
    <w:rsid w:val="0029549C"/>
    <w:rsid w:val="002954B9"/>
    <w:rsid w:val="002977EC"/>
    <w:rsid w:val="002A0B53"/>
    <w:rsid w:val="002A0EEF"/>
    <w:rsid w:val="002A143B"/>
    <w:rsid w:val="002A62C7"/>
    <w:rsid w:val="002B2316"/>
    <w:rsid w:val="002B2DF7"/>
    <w:rsid w:val="002B385F"/>
    <w:rsid w:val="002C01B5"/>
    <w:rsid w:val="002C0E0E"/>
    <w:rsid w:val="002C1D46"/>
    <w:rsid w:val="002C2A0D"/>
    <w:rsid w:val="002C3BF4"/>
    <w:rsid w:val="002C749F"/>
    <w:rsid w:val="002E1BC5"/>
    <w:rsid w:val="002E5AE1"/>
    <w:rsid w:val="002F059B"/>
    <w:rsid w:val="002F12D7"/>
    <w:rsid w:val="002F24B2"/>
    <w:rsid w:val="002F2ED5"/>
    <w:rsid w:val="002F5494"/>
    <w:rsid w:val="002F5B0B"/>
    <w:rsid w:val="00300924"/>
    <w:rsid w:val="00305777"/>
    <w:rsid w:val="0030596E"/>
    <w:rsid w:val="00305C20"/>
    <w:rsid w:val="003073C3"/>
    <w:rsid w:val="003106D7"/>
    <w:rsid w:val="0032283D"/>
    <w:rsid w:val="00323637"/>
    <w:rsid w:val="00324E8A"/>
    <w:rsid w:val="00331D87"/>
    <w:rsid w:val="00332850"/>
    <w:rsid w:val="00334478"/>
    <w:rsid w:val="003346B4"/>
    <w:rsid w:val="00334AE6"/>
    <w:rsid w:val="003365D0"/>
    <w:rsid w:val="00336CCE"/>
    <w:rsid w:val="003439AB"/>
    <w:rsid w:val="0034525B"/>
    <w:rsid w:val="003453E4"/>
    <w:rsid w:val="00352E19"/>
    <w:rsid w:val="00354695"/>
    <w:rsid w:val="0035549B"/>
    <w:rsid w:val="00355563"/>
    <w:rsid w:val="00360A6C"/>
    <w:rsid w:val="00361A7A"/>
    <w:rsid w:val="0036294B"/>
    <w:rsid w:val="003755C8"/>
    <w:rsid w:val="00375687"/>
    <w:rsid w:val="00375C20"/>
    <w:rsid w:val="00380AE0"/>
    <w:rsid w:val="00383324"/>
    <w:rsid w:val="00384FD5"/>
    <w:rsid w:val="00385B6A"/>
    <w:rsid w:val="00387357"/>
    <w:rsid w:val="00387A75"/>
    <w:rsid w:val="003904FD"/>
    <w:rsid w:val="0039246C"/>
    <w:rsid w:val="00394254"/>
    <w:rsid w:val="0039465F"/>
    <w:rsid w:val="003A326E"/>
    <w:rsid w:val="003C2BFB"/>
    <w:rsid w:val="003C3440"/>
    <w:rsid w:val="003C3E2D"/>
    <w:rsid w:val="003C436B"/>
    <w:rsid w:val="003C5337"/>
    <w:rsid w:val="003C5F92"/>
    <w:rsid w:val="003C7FD8"/>
    <w:rsid w:val="003D0F03"/>
    <w:rsid w:val="003D329F"/>
    <w:rsid w:val="003D4C7B"/>
    <w:rsid w:val="003D6040"/>
    <w:rsid w:val="003D7A8C"/>
    <w:rsid w:val="003D7C00"/>
    <w:rsid w:val="003E0EB4"/>
    <w:rsid w:val="003E423D"/>
    <w:rsid w:val="003E56E5"/>
    <w:rsid w:val="003E7051"/>
    <w:rsid w:val="003E7237"/>
    <w:rsid w:val="003E7E60"/>
    <w:rsid w:val="003F00D4"/>
    <w:rsid w:val="003F0592"/>
    <w:rsid w:val="003F2209"/>
    <w:rsid w:val="003F3D39"/>
    <w:rsid w:val="003F646A"/>
    <w:rsid w:val="003F6761"/>
    <w:rsid w:val="003F6A0A"/>
    <w:rsid w:val="004024F5"/>
    <w:rsid w:val="00402896"/>
    <w:rsid w:val="00402DE1"/>
    <w:rsid w:val="00403D8B"/>
    <w:rsid w:val="004058F1"/>
    <w:rsid w:val="00407E7D"/>
    <w:rsid w:val="0041076A"/>
    <w:rsid w:val="0041283D"/>
    <w:rsid w:val="00412B20"/>
    <w:rsid w:val="00413AB4"/>
    <w:rsid w:val="00415EBC"/>
    <w:rsid w:val="0042037B"/>
    <w:rsid w:val="00421373"/>
    <w:rsid w:val="00421FB7"/>
    <w:rsid w:val="0042763B"/>
    <w:rsid w:val="00427D1C"/>
    <w:rsid w:val="0043024C"/>
    <w:rsid w:val="00431A0D"/>
    <w:rsid w:val="004321C9"/>
    <w:rsid w:val="00433FEC"/>
    <w:rsid w:val="004359DD"/>
    <w:rsid w:val="00436706"/>
    <w:rsid w:val="004367EC"/>
    <w:rsid w:val="00443D38"/>
    <w:rsid w:val="00446CEC"/>
    <w:rsid w:val="00447D5F"/>
    <w:rsid w:val="00450E7A"/>
    <w:rsid w:val="00456AF8"/>
    <w:rsid w:val="00464D98"/>
    <w:rsid w:val="00470B15"/>
    <w:rsid w:val="00472BCC"/>
    <w:rsid w:val="00475869"/>
    <w:rsid w:val="00475A77"/>
    <w:rsid w:val="004765AC"/>
    <w:rsid w:val="00476E20"/>
    <w:rsid w:val="004776A8"/>
    <w:rsid w:val="00477EF1"/>
    <w:rsid w:val="004801EB"/>
    <w:rsid w:val="00480C52"/>
    <w:rsid w:val="00482DDC"/>
    <w:rsid w:val="00483E6C"/>
    <w:rsid w:val="00484421"/>
    <w:rsid w:val="00485129"/>
    <w:rsid w:val="004866A9"/>
    <w:rsid w:val="0048687E"/>
    <w:rsid w:val="00490FB8"/>
    <w:rsid w:val="00492774"/>
    <w:rsid w:val="00496D7A"/>
    <w:rsid w:val="004A31BC"/>
    <w:rsid w:val="004A3F1A"/>
    <w:rsid w:val="004A3F45"/>
    <w:rsid w:val="004B1AFA"/>
    <w:rsid w:val="004B1D73"/>
    <w:rsid w:val="004B6047"/>
    <w:rsid w:val="004B7088"/>
    <w:rsid w:val="004C53DA"/>
    <w:rsid w:val="004C5B76"/>
    <w:rsid w:val="004C6EC9"/>
    <w:rsid w:val="004D02CD"/>
    <w:rsid w:val="004D0B24"/>
    <w:rsid w:val="004D4B90"/>
    <w:rsid w:val="004D56A4"/>
    <w:rsid w:val="004D6B95"/>
    <w:rsid w:val="004D7F41"/>
    <w:rsid w:val="004E03A2"/>
    <w:rsid w:val="004E205F"/>
    <w:rsid w:val="004E2765"/>
    <w:rsid w:val="004E317E"/>
    <w:rsid w:val="004E3954"/>
    <w:rsid w:val="004E5856"/>
    <w:rsid w:val="004F2330"/>
    <w:rsid w:val="004F2FAC"/>
    <w:rsid w:val="004F53C6"/>
    <w:rsid w:val="004F619E"/>
    <w:rsid w:val="004F69DB"/>
    <w:rsid w:val="004F6B87"/>
    <w:rsid w:val="005006DE"/>
    <w:rsid w:val="00501C2D"/>
    <w:rsid w:val="00502637"/>
    <w:rsid w:val="005078DF"/>
    <w:rsid w:val="00507EE9"/>
    <w:rsid w:val="00511018"/>
    <w:rsid w:val="00511140"/>
    <w:rsid w:val="00511F86"/>
    <w:rsid w:val="00513CFE"/>
    <w:rsid w:val="00516EDB"/>
    <w:rsid w:val="0052260A"/>
    <w:rsid w:val="0052384A"/>
    <w:rsid w:val="00523B6A"/>
    <w:rsid w:val="00525F6C"/>
    <w:rsid w:val="005264D9"/>
    <w:rsid w:val="005319D8"/>
    <w:rsid w:val="00542BBF"/>
    <w:rsid w:val="00546AB4"/>
    <w:rsid w:val="005514E5"/>
    <w:rsid w:val="005527A6"/>
    <w:rsid w:val="00553500"/>
    <w:rsid w:val="0055723A"/>
    <w:rsid w:val="00563C84"/>
    <w:rsid w:val="00567AF3"/>
    <w:rsid w:val="005762F6"/>
    <w:rsid w:val="00584FBE"/>
    <w:rsid w:val="00585483"/>
    <w:rsid w:val="00587378"/>
    <w:rsid w:val="00587C05"/>
    <w:rsid w:val="00590AAB"/>
    <w:rsid w:val="0059116F"/>
    <w:rsid w:val="005938C3"/>
    <w:rsid w:val="0059468C"/>
    <w:rsid w:val="00595125"/>
    <w:rsid w:val="005957EA"/>
    <w:rsid w:val="00596F21"/>
    <w:rsid w:val="005A7B8E"/>
    <w:rsid w:val="005B1CDD"/>
    <w:rsid w:val="005B1E19"/>
    <w:rsid w:val="005B55FC"/>
    <w:rsid w:val="005B6456"/>
    <w:rsid w:val="005C2D5E"/>
    <w:rsid w:val="005C3B81"/>
    <w:rsid w:val="005C650C"/>
    <w:rsid w:val="005D086C"/>
    <w:rsid w:val="005D1169"/>
    <w:rsid w:val="005D11D3"/>
    <w:rsid w:val="005D2DA9"/>
    <w:rsid w:val="005D4580"/>
    <w:rsid w:val="005D4E1F"/>
    <w:rsid w:val="005D4FB3"/>
    <w:rsid w:val="005E0B58"/>
    <w:rsid w:val="005E2F07"/>
    <w:rsid w:val="005E2FEA"/>
    <w:rsid w:val="005E4F28"/>
    <w:rsid w:val="005E536E"/>
    <w:rsid w:val="005F314B"/>
    <w:rsid w:val="005F722D"/>
    <w:rsid w:val="00600A46"/>
    <w:rsid w:val="00611AF2"/>
    <w:rsid w:val="0061212B"/>
    <w:rsid w:val="006127AF"/>
    <w:rsid w:val="0061311D"/>
    <w:rsid w:val="00615D12"/>
    <w:rsid w:val="00615FB2"/>
    <w:rsid w:val="00617BD1"/>
    <w:rsid w:val="00617CE8"/>
    <w:rsid w:val="006204EC"/>
    <w:rsid w:val="00621D97"/>
    <w:rsid w:val="00622F6F"/>
    <w:rsid w:val="006278A0"/>
    <w:rsid w:val="0063095F"/>
    <w:rsid w:val="006338B0"/>
    <w:rsid w:val="006346DF"/>
    <w:rsid w:val="00642D36"/>
    <w:rsid w:val="00644E36"/>
    <w:rsid w:val="00646AC2"/>
    <w:rsid w:val="00650390"/>
    <w:rsid w:val="00651080"/>
    <w:rsid w:val="00654DAB"/>
    <w:rsid w:val="0066204A"/>
    <w:rsid w:val="00670E3C"/>
    <w:rsid w:val="00672134"/>
    <w:rsid w:val="00675ED3"/>
    <w:rsid w:val="00677092"/>
    <w:rsid w:val="006770E6"/>
    <w:rsid w:val="00677F57"/>
    <w:rsid w:val="00680FC5"/>
    <w:rsid w:val="00681088"/>
    <w:rsid w:val="00682DDD"/>
    <w:rsid w:val="00691264"/>
    <w:rsid w:val="00691276"/>
    <w:rsid w:val="00692E7B"/>
    <w:rsid w:val="0069577E"/>
    <w:rsid w:val="0069634B"/>
    <w:rsid w:val="00696623"/>
    <w:rsid w:val="006A04E9"/>
    <w:rsid w:val="006A268F"/>
    <w:rsid w:val="006A4A03"/>
    <w:rsid w:val="006A531E"/>
    <w:rsid w:val="006A55DB"/>
    <w:rsid w:val="006A585F"/>
    <w:rsid w:val="006A5923"/>
    <w:rsid w:val="006A72FA"/>
    <w:rsid w:val="006A7543"/>
    <w:rsid w:val="006B1B89"/>
    <w:rsid w:val="006B6EDE"/>
    <w:rsid w:val="006B725C"/>
    <w:rsid w:val="006C273D"/>
    <w:rsid w:val="006C5C4F"/>
    <w:rsid w:val="006C6282"/>
    <w:rsid w:val="006C762A"/>
    <w:rsid w:val="006D10CD"/>
    <w:rsid w:val="006D42F5"/>
    <w:rsid w:val="006D5FF9"/>
    <w:rsid w:val="006D7EC9"/>
    <w:rsid w:val="006E0772"/>
    <w:rsid w:val="006E0F86"/>
    <w:rsid w:val="006F0B15"/>
    <w:rsid w:val="006F0DCC"/>
    <w:rsid w:val="006F25F3"/>
    <w:rsid w:val="006F3469"/>
    <w:rsid w:val="00700AC3"/>
    <w:rsid w:val="00703DF9"/>
    <w:rsid w:val="007048EB"/>
    <w:rsid w:val="00704FBB"/>
    <w:rsid w:val="0070726A"/>
    <w:rsid w:val="0070729B"/>
    <w:rsid w:val="00711094"/>
    <w:rsid w:val="00712103"/>
    <w:rsid w:val="007121BC"/>
    <w:rsid w:val="0071226B"/>
    <w:rsid w:val="00717040"/>
    <w:rsid w:val="00717184"/>
    <w:rsid w:val="00723EF4"/>
    <w:rsid w:val="00726755"/>
    <w:rsid w:val="007304EE"/>
    <w:rsid w:val="007339B7"/>
    <w:rsid w:val="00757E08"/>
    <w:rsid w:val="00766CC0"/>
    <w:rsid w:val="00772720"/>
    <w:rsid w:val="00773F5E"/>
    <w:rsid w:val="007750A2"/>
    <w:rsid w:val="00775CDC"/>
    <w:rsid w:val="007817D6"/>
    <w:rsid w:val="00787912"/>
    <w:rsid w:val="0079177A"/>
    <w:rsid w:val="00791CFA"/>
    <w:rsid w:val="00794836"/>
    <w:rsid w:val="007948D5"/>
    <w:rsid w:val="00794D18"/>
    <w:rsid w:val="007A15C9"/>
    <w:rsid w:val="007A21C5"/>
    <w:rsid w:val="007A6676"/>
    <w:rsid w:val="007B73D3"/>
    <w:rsid w:val="007B7FF5"/>
    <w:rsid w:val="007C3FC6"/>
    <w:rsid w:val="007D2CE9"/>
    <w:rsid w:val="007D4951"/>
    <w:rsid w:val="007D4FED"/>
    <w:rsid w:val="007D69DA"/>
    <w:rsid w:val="007D70B1"/>
    <w:rsid w:val="007D7140"/>
    <w:rsid w:val="007E0841"/>
    <w:rsid w:val="007E1C73"/>
    <w:rsid w:val="007E1CDB"/>
    <w:rsid w:val="007E3302"/>
    <w:rsid w:val="007E408C"/>
    <w:rsid w:val="007E42E7"/>
    <w:rsid w:val="007E7E21"/>
    <w:rsid w:val="007F0460"/>
    <w:rsid w:val="007F0DA2"/>
    <w:rsid w:val="007F39CE"/>
    <w:rsid w:val="007F3B1E"/>
    <w:rsid w:val="007F5E0D"/>
    <w:rsid w:val="007F6F3F"/>
    <w:rsid w:val="00801085"/>
    <w:rsid w:val="00801A89"/>
    <w:rsid w:val="00805038"/>
    <w:rsid w:val="00812138"/>
    <w:rsid w:val="008151F2"/>
    <w:rsid w:val="00816A88"/>
    <w:rsid w:val="0081777A"/>
    <w:rsid w:val="008210E0"/>
    <w:rsid w:val="008238A7"/>
    <w:rsid w:val="00824079"/>
    <w:rsid w:val="00824429"/>
    <w:rsid w:val="008246F7"/>
    <w:rsid w:val="00831F0A"/>
    <w:rsid w:val="00833A78"/>
    <w:rsid w:val="008356E6"/>
    <w:rsid w:val="0084585F"/>
    <w:rsid w:val="008462B4"/>
    <w:rsid w:val="00846A62"/>
    <w:rsid w:val="0084764A"/>
    <w:rsid w:val="0085047C"/>
    <w:rsid w:val="008514A9"/>
    <w:rsid w:val="00853E53"/>
    <w:rsid w:val="008615FF"/>
    <w:rsid w:val="00864347"/>
    <w:rsid w:val="00864D76"/>
    <w:rsid w:val="00865159"/>
    <w:rsid w:val="008656C9"/>
    <w:rsid w:val="0086711C"/>
    <w:rsid w:val="00867535"/>
    <w:rsid w:val="00875C5B"/>
    <w:rsid w:val="00883C5F"/>
    <w:rsid w:val="00891C7D"/>
    <w:rsid w:val="00892FA7"/>
    <w:rsid w:val="00896B4D"/>
    <w:rsid w:val="00896F44"/>
    <w:rsid w:val="008A3301"/>
    <w:rsid w:val="008A4DF1"/>
    <w:rsid w:val="008A5636"/>
    <w:rsid w:val="008B0BA0"/>
    <w:rsid w:val="008B125E"/>
    <w:rsid w:val="008B241C"/>
    <w:rsid w:val="008B3658"/>
    <w:rsid w:val="008B408B"/>
    <w:rsid w:val="008B4F11"/>
    <w:rsid w:val="008C139C"/>
    <w:rsid w:val="008C2362"/>
    <w:rsid w:val="008C3049"/>
    <w:rsid w:val="008C6F2C"/>
    <w:rsid w:val="008C7780"/>
    <w:rsid w:val="008D232D"/>
    <w:rsid w:val="008D4AE9"/>
    <w:rsid w:val="008D5CF3"/>
    <w:rsid w:val="008D5E21"/>
    <w:rsid w:val="008D62AF"/>
    <w:rsid w:val="008D7D39"/>
    <w:rsid w:val="008E245E"/>
    <w:rsid w:val="008E3AA1"/>
    <w:rsid w:val="008E4574"/>
    <w:rsid w:val="008F4016"/>
    <w:rsid w:val="008F42FE"/>
    <w:rsid w:val="008F4A00"/>
    <w:rsid w:val="008F5402"/>
    <w:rsid w:val="0090053A"/>
    <w:rsid w:val="00900EB3"/>
    <w:rsid w:val="00901C2A"/>
    <w:rsid w:val="00902F72"/>
    <w:rsid w:val="00904D49"/>
    <w:rsid w:val="009076F9"/>
    <w:rsid w:val="009118C7"/>
    <w:rsid w:val="009201A0"/>
    <w:rsid w:val="009223A1"/>
    <w:rsid w:val="009225B6"/>
    <w:rsid w:val="009243A0"/>
    <w:rsid w:val="00925397"/>
    <w:rsid w:val="00933A21"/>
    <w:rsid w:val="00934C10"/>
    <w:rsid w:val="0093662A"/>
    <w:rsid w:val="009375C3"/>
    <w:rsid w:val="00940345"/>
    <w:rsid w:val="0094060C"/>
    <w:rsid w:val="00944075"/>
    <w:rsid w:val="00947E32"/>
    <w:rsid w:val="009533AB"/>
    <w:rsid w:val="00955098"/>
    <w:rsid w:val="00955A4A"/>
    <w:rsid w:val="00955A7E"/>
    <w:rsid w:val="009606A5"/>
    <w:rsid w:val="00961F31"/>
    <w:rsid w:val="00962F1F"/>
    <w:rsid w:val="00963702"/>
    <w:rsid w:val="00965304"/>
    <w:rsid w:val="00971293"/>
    <w:rsid w:val="00973609"/>
    <w:rsid w:val="00973A3B"/>
    <w:rsid w:val="00973C8C"/>
    <w:rsid w:val="009808AB"/>
    <w:rsid w:val="00982532"/>
    <w:rsid w:val="00982B0B"/>
    <w:rsid w:val="00983EAE"/>
    <w:rsid w:val="00984816"/>
    <w:rsid w:val="0098760B"/>
    <w:rsid w:val="00991EF7"/>
    <w:rsid w:val="0099406B"/>
    <w:rsid w:val="009A11DD"/>
    <w:rsid w:val="009B30AA"/>
    <w:rsid w:val="009B49FD"/>
    <w:rsid w:val="009B5217"/>
    <w:rsid w:val="009C4798"/>
    <w:rsid w:val="009C48DE"/>
    <w:rsid w:val="009C677B"/>
    <w:rsid w:val="009C7861"/>
    <w:rsid w:val="009E1E1E"/>
    <w:rsid w:val="009E20D2"/>
    <w:rsid w:val="009E33E3"/>
    <w:rsid w:val="009E4846"/>
    <w:rsid w:val="009E5590"/>
    <w:rsid w:val="009E7F16"/>
    <w:rsid w:val="009F12B6"/>
    <w:rsid w:val="009F2957"/>
    <w:rsid w:val="009F4871"/>
    <w:rsid w:val="009F5052"/>
    <w:rsid w:val="00A00842"/>
    <w:rsid w:val="00A02A1C"/>
    <w:rsid w:val="00A04C85"/>
    <w:rsid w:val="00A06639"/>
    <w:rsid w:val="00A100F0"/>
    <w:rsid w:val="00A13C4C"/>
    <w:rsid w:val="00A156E6"/>
    <w:rsid w:val="00A220E8"/>
    <w:rsid w:val="00A2481F"/>
    <w:rsid w:val="00A257C5"/>
    <w:rsid w:val="00A26218"/>
    <w:rsid w:val="00A27D86"/>
    <w:rsid w:val="00A316C0"/>
    <w:rsid w:val="00A33151"/>
    <w:rsid w:val="00A36970"/>
    <w:rsid w:val="00A36F09"/>
    <w:rsid w:val="00A37A76"/>
    <w:rsid w:val="00A41EB4"/>
    <w:rsid w:val="00A4250D"/>
    <w:rsid w:val="00A44BFF"/>
    <w:rsid w:val="00A47B55"/>
    <w:rsid w:val="00A501E3"/>
    <w:rsid w:val="00A50F0C"/>
    <w:rsid w:val="00A53A5D"/>
    <w:rsid w:val="00A56441"/>
    <w:rsid w:val="00A579F4"/>
    <w:rsid w:val="00A57FAE"/>
    <w:rsid w:val="00A616D7"/>
    <w:rsid w:val="00A628A4"/>
    <w:rsid w:val="00A651B7"/>
    <w:rsid w:val="00A72CAE"/>
    <w:rsid w:val="00A736DD"/>
    <w:rsid w:val="00A73A82"/>
    <w:rsid w:val="00A76E78"/>
    <w:rsid w:val="00A774EA"/>
    <w:rsid w:val="00A778D3"/>
    <w:rsid w:val="00A809FF"/>
    <w:rsid w:val="00A82869"/>
    <w:rsid w:val="00A8758C"/>
    <w:rsid w:val="00A87CF0"/>
    <w:rsid w:val="00A91006"/>
    <w:rsid w:val="00A92BAF"/>
    <w:rsid w:val="00A93381"/>
    <w:rsid w:val="00A96BF0"/>
    <w:rsid w:val="00AA0CB5"/>
    <w:rsid w:val="00AA127E"/>
    <w:rsid w:val="00AA19AE"/>
    <w:rsid w:val="00AA2215"/>
    <w:rsid w:val="00AA423D"/>
    <w:rsid w:val="00AA5F03"/>
    <w:rsid w:val="00AA6A95"/>
    <w:rsid w:val="00AB10DE"/>
    <w:rsid w:val="00AB3460"/>
    <w:rsid w:val="00AB3668"/>
    <w:rsid w:val="00AB4940"/>
    <w:rsid w:val="00AB5ED7"/>
    <w:rsid w:val="00AC0B4C"/>
    <w:rsid w:val="00AD0AEE"/>
    <w:rsid w:val="00AD3750"/>
    <w:rsid w:val="00AD49E3"/>
    <w:rsid w:val="00AD4B4F"/>
    <w:rsid w:val="00AD7E8C"/>
    <w:rsid w:val="00AE1114"/>
    <w:rsid w:val="00AE48F5"/>
    <w:rsid w:val="00AE6985"/>
    <w:rsid w:val="00AF0616"/>
    <w:rsid w:val="00AF0E28"/>
    <w:rsid w:val="00AF6AB3"/>
    <w:rsid w:val="00AF6F9B"/>
    <w:rsid w:val="00B01409"/>
    <w:rsid w:val="00B068BF"/>
    <w:rsid w:val="00B10DBD"/>
    <w:rsid w:val="00B15629"/>
    <w:rsid w:val="00B17C17"/>
    <w:rsid w:val="00B22ED8"/>
    <w:rsid w:val="00B2372C"/>
    <w:rsid w:val="00B32F70"/>
    <w:rsid w:val="00B3365D"/>
    <w:rsid w:val="00B341DE"/>
    <w:rsid w:val="00B35D0B"/>
    <w:rsid w:val="00B373D0"/>
    <w:rsid w:val="00B37F84"/>
    <w:rsid w:val="00B420D1"/>
    <w:rsid w:val="00B43AAA"/>
    <w:rsid w:val="00B43F79"/>
    <w:rsid w:val="00B44A10"/>
    <w:rsid w:val="00B51630"/>
    <w:rsid w:val="00B53139"/>
    <w:rsid w:val="00B547D7"/>
    <w:rsid w:val="00B562CE"/>
    <w:rsid w:val="00B60B84"/>
    <w:rsid w:val="00B62DE2"/>
    <w:rsid w:val="00B650AB"/>
    <w:rsid w:val="00B70412"/>
    <w:rsid w:val="00B74417"/>
    <w:rsid w:val="00B74D36"/>
    <w:rsid w:val="00B757F4"/>
    <w:rsid w:val="00B77246"/>
    <w:rsid w:val="00B819E8"/>
    <w:rsid w:val="00B82982"/>
    <w:rsid w:val="00B82A90"/>
    <w:rsid w:val="00B857CC"/>
    <w:rsid w:val="00B86350"/>
    <w:rsid w:val="00B866CD"/>
    <w:rsid w:val="00B93034"/>
    <w:rsid w:val="00B96F3F"/>
    <w:rsid w:val="00B97C5D"/>
    <w:rsid w:val="00BA1290"/>
    <w:rsid w:val="00BA2BE8"/>
    <w:rsid w:val="00BA3101"/>
    <w:rsid w:val="00BB2792"/>
    <w:rsid w:val="00BB3718"/>
    <w:rsid w:val="00BB4398"/>
    <w:rsid w:val="00BB6BD2"/>
    <w:rsid w:val="00BB76BF"/>
    <w:rsid w:val="00BC1AD1"/>
    <w:rsid w:val="00BC4167"/>
    <w:rsid w:val="00BC4A58"/>
    <w:rsid w:val="00BC5878"/>
    <w:rsid w:val="00BC5AB9"/>
    <w:rsid w:val="00BC613B"/>
    <w:rsid w:val="00BC6C7B"/>
    <w:rsid w:val="00BD0343"/>
    <w:rsid w:val="00BD51D9"/>
    <w:rsid w:val="00BD5C76"/>
    <w:rsid w:val="00BD64E2"/>
    <w:rsid w:val="00BE1818"/>
    <w:rsid w:val="00BE3320"/>
    <w:rsid w:val="00BE4995"/>
    <w:rsid w:val="00BF429A"/>
    <w:rsid w:val="00BF62BE"/>
    <w:rsid w:val="00BF6E19"/>
    <w:rsid w:val="00C07126"/>
    <w:rsid w:val="00C155BD"/>
    <w:rsid w:val="00C16853"/>
    <w:rsid w:val="00C21827"/>
    <w:rsid w:val="00C23554"/>
    <w:rsid w:val="00C263F0"/>
    <w:rsid w:val="00C33D41"/>
    <w:rsid w:val="00C40106"/>
    <w:rsid w:val="00C40AFD"/>
    <w:rsid w:val="00C41E20"/>
    <w:rsid w:val="00C42E3E"/>
    <w:rsid w:val="00C474C0"/>
    <w:rsid w:val="00C51C13"/>
    <w:rsid w:val="00C51ECB"/>
    <w:rsid w:val="00C525A5"/>
    <w:rsid w:val="00C5300F"/>
    <w:rsid w:val="00C53986"/>
    <w:rsid w:val="00C5558F"/>
    <w:rsid w:val="00C57A3C"/>
    <w:rsid w:val="00C57BF3"/>
    <w:rsid w:val="00C6035D"/>
    <w:rsid w:val="00C61739"/>
    <w:rsid w:val="00C66CE0"/>
    <w:rsid w:val="00C7035A"/>
    <w:rsid w:val="00C70486"/>
    <w:rsid w:val="00C717C5"/>
    <w:rsid w:val="00C71BED"/>
    <w:rsid w:val="00C747C0"/>
    <w:rsid w:val="00C76B75"/>
    <w:rsid w:val="00C81B53"/>
    <w:rsid w:val="00C82AD2"/>
    <w:rsid w:val="00C90AF8"/>
    <w:rsid w:val="00C90FB6"/>
    <w:rsid w:val="00C9220E"/>
    <w:rsid w:val="00C932BD"/>
    <w:rsid w:val="00C93429"/>
    <w:rsid w:val="00CA16C5"/>
    <w:rsid w:val="00CA415A"/>
    <w:rsid w:val="00CA5F85"/>
    <w:rsid w:val="00CA7A35"/>
    <w:rsid w:val="00CB1536"/>
    <w:rsid w:val="00CB18D3"/>
    <w:rsid w:val="00CB22D3"/>
    <w:rsid w:val="00CB5F3C"/>
    <w:rsid w:val="00CB7FB8"/>
    <w:rsid w:val="00CB7FE8"/>
    <w:rsid w:val="00CC1B75"/>
    <w:rsid w:val="00CC1F71"/>
    <w:rsid w:val="00CC27C4"/>
    <w:rsid w:val="00CC5EB3"/>
    <w:rsid w:val="00CD0E7B"/>
    <w:rsid w:val="00CD2ABD"/>
    <w:rsid w:val="00CD4024"/>
    <w:rsid w:val="00CD4617"/>
    <w:rsid w:val="00CD4855"/>
    <w:rsid w:val="00CD4B84"/>
    <w:rsid w:val="00CD4C3C"/>
    <w:rsid w:val="00CD716A"/>
    <w:rsid w:val="00CE347D"/>
    <w:rsid w:val="00CE6D43"/>
    <w:rsid w:val="00CE7644"/>
    <w:rsid w:val="00CE7888"/>
    <w:rsid w:val="00CF2D02"/>
    <w:rsid w:val="00D00BD6"/>
    <w:rsid w:val="00D06B82"/>
    <w:rsid w:val="00D10E1C"/>
    <w:rsid w:val="00D14774"/>
    <w:rsid w:val="00D161A3"/>
    <w:rsid w:val="00D20C3B"/>
    <w:rsid w:val="00D22E49"/>
    <w:rsid w:val="00D23716"/>
    <w:rsid w:val="00D237F5"/>
    <w:rsid w:val="00D25ED8"/>
    <w:rsid w:val="00D27F8F"/>
    <w:rsid w:val="00D316B8"/>
    <w:rsid w:val="00D31CFC"/>
    <w:rsid w:val="00D3255D"/>
    <w:rsid w:val="00D340C3"/>
    <w:rsid w:val="00D409CD"/>
    <w:rsid w:val="00D4195A"/>
    <w:rsid w:val="00D423D4"/>
    <w:rsid w:val="00D42CAF"/>
    <w:rsid w:val="00D4763B"/>
    <w:rsid w:val="00D53136"/>
    <w:rsid w:val="00D54E13"/>
    <w:rsid w:val="00D57311"/>
    <w:rsid w:val="00D601EF"/>
    <w:rsid w:val="00D61533"/>
    <w:rsid w:val="00D6277E"/>
    <w:rsid w:val="00D63B2F"/>
    <w:rsid w:val="00D642F4"/>
    <w:rsid w:val="00D70747"/>
    <w:rsid w:val="00D70BF4"/>
    <w:rsid w:val="00D71E1A"/>
    <w:rsid w:val="00D7261D"/>
    <w:rsid w:val="00D72E81"/>
    <w:rsid w:val="00D74CF8"/>
    <w:rsid w:val="00D755FC"/>
    <w:rsid w:val="00D75FEF"/>
    <w:rsid w:val="00D76B6D"/>
    <w:rsid w:val="00D77863"/>
    <w:rsid w:val="00D84191"/>
    <w:rsid w:val="00D84D07"/>
    <w:rsid w:val="00D8526A"/>
    <w:rsid w:val="00D875BC"/>
    <w:rsid w:val="00D90E17"/>
    <w:rsid w:val="00D90E91"/>
    <w:rsid w:val="00DA4C38"/>
    <w:rsid w:val="00DA6B21"/>
    <w:rsid w:val="00DA7816"/>
    <w:rsid w:val="00DA7D7A"/>
    <w:rsid w:val="00DB34B3"/>
    <w:rsid w:val="00DB3C80"/>
    <w:rsid w:val="00DB3E80"/>
    <w:rsid w:val="00DB504A"/>
    <w:rsid w:val="00DB53C1"/>
    <w:rsid w:val="00DB7AF7"/>
    <w:rsid w:val="00DC1347"/>
    <w:rsid w:val="00DC205E"/>
    <w:rsid w:val="00DC39F1"/>
    <w:rsid w:val="00DD31A7"/>
    <w:rsid w:val="00DE20F2"/>
    <w:rsid w:val="00DE4B35"/>
    <w:rsid w:val="00DE6DAE"/>
    <w:rsid w:val="00DF19C1"/>
    <w:rsid w:val="00DF3C65"/>
    <w:rsid w:val="00DF54CA"/>
    <w:rsid w:val="00DF5B64"/>
    <w:rsid w:val="00E0267D"/>
    <w:rsid w:val="00E02794"/>
    <w:rsid w:val="00E03410"/>
    <w:rsid w:val="00E043E3"/>
    <w:rsid w:val="00E0505B"/>
    <w:rsid w:val="00E11280"/>
    <w:rsid w:val="00E12359"/>
    <w:rsid w:val="00E12A2C"/>
    <w:rsid w:val="00E15009"/>
    <w:rsid w:val="00E152FF"/>
    <w:rsid w:val="00E2461B"/>
    <w:rsid w:val="00E24886"/>
    <w:rsid w:val="00E276FB"/>
    <w:rsid w:val="00E32595"/>
    <w:rsid w:val="00E33A74"/>
    <w:rsid w:val="00E33D8D"/>
    <w:rsid w:val="00E33F30"/>
    <w:rsid w:val="00E4030B"/>
    <w:rsid w:val="00E41D56"/>
    <w:rsid w:val="00E457DF"/>
    <w:rsid w:val="00E4653D"/>
    <w:rsid w:val="00E46642"/>
    <w:rsid w:val="00E5139A"/>
    <w:rsid w:val="00E5413D"/>
    <w:rsid w:val="00E57977"/>
    <w:rsid w:val="00E57AAD"/>
    <w:rsid w:val="00E61E79"/>
    <w:rsid w:val="00E635D7"/>
    <w:rsid w:val="00E67B8E"/>
    <w:rsid w:val="00E70576"/>
    <w:rsid w:val="00E72527"/>
    <w:rsid w:val="00E72B20"/>
    <w:rsid w:val="00E83718"/>
    <w:rsid w:val="00E83954"/>
    <w:rsid w:val="00E91730"/>
    <w:rsid w:val="00E96F04"/>
    <w:rsid w:val="00E97AEC"/>
    <w:rsid w:val="00EA20FE"/>
    <w:rsid w:val="00EA6D67"/>
    <w:rsid w:val="00EA7CA4"/>
    <w:rsid w:val="00EB491E"/>
    <w:rsid w:val="00EB5031"/>
    <w:rsid w:val="00EB681B"/>
    <w:rsid w:val="00EC011B"/>
    <w:rsid w:val="00EC2C54"/>
    <w:rsid w:val="00EC2DAC"/>
    <w:rsid w:val="00EC4FAD"/>
    <w:rsid w:val="00ED05ED"/>
    <w:rsid w:val="00EE3CFA"/>
    <w:rsid w:val="00EE69E4"/>
    <w:rsid w:val="00EF1115"/>
    <w:rsid w:val="00EF236E"/>
    <w:rsid w:val="00EF2A7F"/>
    <w:rsid w:val="00EF68E9"/>
    <w:rsid w:val="00EF7E90"/>
    <w:rsid w:val="00F002B6"/>
    <w:rsid w:val="00F02B52"/>
    <w:rsid w:val="00F05080"/>
    <w:rsid w:val="00F10AFE"/>
    <w:rsid w:val="00F13E69"/>
    <w:rsid w:val="00F15C6C"/>
    <w:rsid w:val="00F17173"/>
    <w:rsid w:val="00F224DC"/>
    <w:rsid w:val="00F23826"/>
    <w:rsid w:val="00F2687F"/>
    <w:rsid w:val="00F27F29"/>
    <w:rsid w:val="00F32D54"/>
    <w:rsid w:val="00F36C54"/>
    <w:rsid w:val="00F418EA"/>
    <w:rsid w:val="00F41A29"/>
    <w:rsid w:val="00F44C1C"/>
    <w:rsid w:val="00F45214"/>
    <w:rsid w:val="00F4645F"/>
    <w:rsid w:val="00F465EA"/>
    <w:rsid w:val="00F477C5"/>
    <w:rsid w:val="00F50BEA"/>
    <w:rsid w:val="00F518DF"/>
    <w:rsid w:val="00F53D5C"/>
    <w:rsid w:val="00F544DB"/>
    <w:rsid w:val="00F6502E"/>
    <w:rsid w:val="00F65663"/>
    <w:rsid w:val="00F73610"/>
    <w:rsid w:val="00F7506E"/>
    <w:rsid w:val="00F756C0"/>
    <w:rsid w:val="00F75A40"/>
    <w:rsid w:val="00F77637"/>
    <w:rsid w:val="00F8088B"/>
    <w:rsid w:val="00F80E3F"/>
    <w:rsid w:val="00F81BD5"/>
    <w:rsid w:val="00F8435D"/>
    <w:rsid w:val="00F87DD0"/>
    <w:rsid w:val="00F91CA8"/>
    <w:rsid w:val="00F93360"/>
    <w:rsid w:val="00F93FE4"/>
    <w:rsid w:val="00F969AD"/>
    <w:rsid w:val="00F97E4E"/>
    <w:rsid w:val="00F97FEE"/>
    <w:rsid w:val="00FA217B"/>
    <w:rsid w:val="00FB0BC5"/>
    <w:rsid w:val="00FB0BCC"/>
    <w:rsid w:val="00FC0FE5"/>
    <w:rsid w:val="00FC3AA1"/>
    <w:rsid w:val="00FD1ABC"/>
    <w:rsid w:val="00FD48E4"/>
    <w:rsid w:val="00FD4DFE"/>
    <w:rsid w:val="00FD7DDF"/>
    <w:rsid w:val="00FE4C92"/>
    <w:rsid w:val="00FF0FAA"/>
    <w:rsid w:val="00FF12D9"/>
    <w:rsid w:val="00FF1FDA"/>
    <w:rsid w:val="00FF4396"/>
    <w:rsid w:val="00FF7F4E"/>
    <w:rsid w:val="4CF6D56A"/>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73729"/>
    <o:shapelayout v:ext="edit">
      <o:idmap v:ext="edit" data="1"/>
    </o:shapelayout>
  </w:shapeDefaults>
  <w:decimalSymbol w:val=","/>
  <w:listSeparator w:val=";"/>
  <w14:docId w14:val="6E5229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lt-LT" w:eastAsia="en-GB" w:bidi="en-GB"/>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nhideWhenUsed="1" w:qFormat="1"/>
    <w:lsdException w:name="annotation text" w:semiHidden="1" w:uiPriority="0" w:unhideWhenUsed="1"/>
    <w:lsdException w:name="header" w:locked="1" w:semiHidden="1" w:uiPriority="0" w:unhideWhenUsed="1" w:qFormat="1"/>
    <w:lsdException w:name="footer" w:locked="1" w:semiHidden="1" w:uiPriority="0" w:unhideWhenUsed="1"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0C52"/>
    <w:pPr>
      <w:spacing w:line="288" w:lineRule="auto"/>
      <w:jc w:val="both"/>
    </w:pPr>
    <w:rPr>
      <w:lang w:eastAsia="en-US" w:bidi="ar-SA"/>
    </w:rPr>
  </w:style>
  <w:style w:type="paragraph" w:styleId="Heading1">
    <w:name w:val="heading 1"/>
    <w:basedOn w:val="Normal"/>
    <w:next w:val="Normal"/>
    <w:link w:val="Heading1Char"/>
    <w:qFormat/>
    <w:rsid w:val="00480C52"/>
    <w:pPr>
      <w:numPr>
        <w:numId w:val="2"/>
      </w:numPr>
      <w:ind w:left="567" w:hanging="567"/>
      <w:outlineLvl w:val="0"/>
    </w:pPr>
    <w:rPr>
      <w:kern w:val="28"/>
    </w:rPr>
  </w:style>
  <w:style w:type="paragraph" w:styleId="Heading2">
    <w:name w:val="heading 2"/>
    <w:basedOn w:val="Normal"/>
    <w:next w:val="Normal"/>
    <w:link w:val="Heading2Char"/>
    <w:qFormat/>
    <w:rsid w:val="00480C52"/>
    <w:pPr>
      <w:numPr>
        <w:ilvl w:val="1"/>
        <w:numId w:val="2"/>
      </w:numPr>
      <w:ind w:left="567" w:hanging="567"/>
      <w:outlineLvl w:val="1"/>
    </w:pPr>
  </w:style>
  <w:style w:type="paragraph" w:styleId="Heading3">
    <w:name w:val="heading 3"/>
    <w:basedOn w:val="Normal"/>
    <w:next w:val="Normal"/>
    <w:link w:val="Heading3Char"/>
    <w:qFormat/>
    <w:rsid w:val="00480C52"/>
    <w:pPr>
      <w:numPr>
        <w:ilvl w:val="2"/>
        <w:numId w:val="2"/>
      </w:numPr>
      <w:ind w:left="567" w:hanging="567"/>
      <w:outlineLvl w:val="2"/>
    </w:pPr>
  </w:style>
  <w:style w:type="paragraph" w:styleId="Heading4">
    <w:name w:val="heading 4"/>
    <w:basedOn w:val="Normal"/>
    <w:next w:val="Normal"/>
    <w:link w:val="Heading4Char"/>
    <w:qFormat/>
    <w:rsid w:val="00480C52"/>
    <w:pPr>
      <w:numPr>
        <w:ilvl w:val="3"/>
        <w:numId w:val="2"/>
      </w:numPr>
      <w:ind w:left="567" w:hanging="567"/>
      <w:outlineLvl w:val="3"/>
    </w:pPr>
  </w:style>
  <w:style w:type="paragraph" w:styleId="Heading5">
    <w:name w:val="heading 5"/>
    <w:basedOn w:val="Normal"/>
    <w:next w:val="Normal"/>
    <w:link w:val="Heading5Char"/>
    <w:qFormat/>
    <w:rsid w:val="00480C52"/>
    <w:pPr>
      <w:numPr>
        <w:ilvl w:val="4"/>
        <w:numId w:val="2"/>
      </w:numPr>
      <w:ind w:left="567" w:hanging="567"/>
      <w:outlineLvl w:val="4"/>
    </w:pPr>
  </w:style>
  <w:style w:type="paragraph" w:styleId="Heading6">
    <w:name w:val="heading 6"/>
    <w:basedOn w:val="Normal"/>
    <w:next w:val="Normal"/>
    <w:link w:val="Heading6Char"/>
    <w:qFormat/>
    <w:rsid w:val="00480C52"/>
    <w:pPr>
      <w:numPr>
        <w:ilvl w:val="5"/>
        <w:numId w:val="2"/>
      </w:numPr>
      <w:ind w:left="567" w:hanging="567"/>
      <w:outlineLvl w:val="5"/>
    </w:pPr>
  </w:style>
  <w:style w:type="paragraph" w:styleId="Heading7">
    <w:name w:val="heading 7"/>
    <w:basedOn w:val="Normal"/>
    <w:next w:val="Normal"/>
    <w:link w:val="Heading7Char"/>
    <w:qFormat/>
    <w:rsid w:val="00480C52"/>
    <w:pPr>
      <w:numPr>
        <w:ilvl w:val="6"/>
        <w:numId w:val="2"/>
      </w:numPr>
      <w:ind w:left="567" w:hanging="567"/>
      <w:outlineLvl w:val="6"/>
    </w:pPr>
  </w:style>
  <w:style w:type="paragraph" w:styleId="Heading8">
    <w:name w:val="heading 8"/>
    <w:basedOn w:val="Normal"/>
    <w:next w:val="Normal"/>
    <w:link w:val="Heading8Char"/>
    <w:qFormat/>
    <w:rsid w:val="00480C52"/>
    <w:pPr>
      <w:numPr>
        <w:ilvl w:val="7"/>
        <w:numId w:val="2"/>
      </w:numPr>
      <w:ind w:left="567" w:hanging="567"/>
      <w:outlineLvl w:val="7"/>
    </w:pPr>
  </w:style>
  <w:style w:type="paragraph" w:styleId="Heading9">
    <w:name w:val="heading 9"/>
    <w:basedOn w:val="Normal"/>
    <w:next w:val="Normal"/>
    <w:link w:val="Heading9Char"/>
    <w:qFormat/>
    <w:rsid w:val="00480C52"/>
    <w:pPr>
      <w:numPr>
        <w:ilvl w:val="8"/>
        <w:numId w:val="2"/>
      </w:numPr>
      <w:ind w:left="567" w:hanging="567"/>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B1536"/>
    <w:rPr>
      <w:kern w:val="28"/>
      <w:lang w:val="lt-LT" w:eastAsia="en-US" w:bidi="ar-SA"/>
    </w:rPr>
  </w:style>
  <w:style w:type="character" w:customStyle="1" w:styleId="Heading2Char">
    <w:name w:val="Heading 2 Char"/>
    <w:basedOn w:val="DefaultParagraphFont"/>
    <w:link w:val="Heading2"/>
    <w:locked/>
    <w:rsid w:val="00CB1536"/>
    <w:rPr>
      <w:lang w:val="lt-LT" w:eastAsia="en-US" w:bidi="ar-SA"/>
    </w:rPr>
  </w:style>
  <w:style w:type="character" w:customStyle="1" w:styleId="Heading3Char">
    <w:name w:val="Heading 3 Char"/>
    <w:basedOn w:val="DefaultParagraphFont"/>
    <w:link w:val="Heading3"/>
    <w:locked/>
    <w:rsid w:val="00CB1536"/>
    <w:rPr>
      <w:lang w:val="lt-LT" w:eastAsia="en-US" w:bidi="ar-SA"/>
    </w:rPr>
  </w:style>
  <w:style w:type="character" w:customStyle="1" w:styleId="Heading4Char">
    <w:name w:val="Heading 4 Char"/>
    <w:basedOn w:val="DefaultParagraphFont"/>
    <w:link w:val="Heading4"/>
    <w:locked/>
    <w:rsid w:val="00CB1536"/>
    <w:rPr>
      <w:lang w:val="lt-LT" w:eastAsia="en-US" w:bidi="ar-SA"/>
    </w:rPr>
  </w:style>
  <w:style w:type="character" w:customStyle="1" w:styleId="Heading5Char">
    <w:name w:val="Heading 5 Char"/>
    <w:basedOn w:val="DefaultParagraphFont"/>
    <w:link w:val="Heading5"/>
    <w:locked/>
    <w:rsid w:val="00CB1536"/>
    <w:rPr>
      <w:lang w:val="lt-LT" w:eastAsia="en-US" w:bidi="ar-SA"/>
    </w:rPr>
  </w:style>
  <w:style w:type="character" w:customStyle="1" w:styleId="Heading6Char">
    <w:name w:val="Heading 6 Char"/>
    <w:basedOn w:val="DefaultParagraphFont"/>
    <w:link w:val="Heading6"/>
    <w:locked/>
    <w:rsid w:val="00CB1536"/>
    <w:rPr>
      <w:lang w:val="lt-LT" w:eastAsia="en-US" w:bidi="ar-SA"/>
    </w:rPr>
  </w:style>
  <w:style w:type="character" w:customStyle="1" w:styleId="Heading7Char">
    <w:name w:val="Heading 7 Char"/>
    <w:basedOn w:val="DefaultParagraphFont"/>
    <w:link w:val="Heading7"/>
    <w:locked/>
    <w:rsid w:val="00CB1536"/>
    <w:rPr>
      <w:lang w:val="lt-LT" w:eastAsia="en-US" w:bidi="ar-SA"/>
    </w:rPr>
  </w:style>
  <w:style w:type="character" w:customStyle="1" w:styleId="Heading8Char">
    <w:name w:val="Heading 8 Char"/>
    <w:basedOn w:val="DefaultParagraphFont"/>
    <w:link w:val="Heading8"/>
    <w:locked/>
    <w:rsid w:val="00CB1536"/>
    <w:rPr>
      <w:lang w:val="lt-LT" w:eastAsia="en-US" w:bidi="ar-SA"/>
    </w:rPr>
  </w:style>
  <w:style w:type="character" w:customStyle="1" w:styleId="Heading9Char">
    <w:name w:val="Heading 9 Char"/>
    <w:basedOn w:val="DefaultParagraphFont"/>
    <w:link w:val="Heading9"/>
    <w:locked/>
    <w:rsid w:val="00CB1536"/>
    <w:rPr>
      <w:lang w:val="lt-LT" w:eastAsia="en-US" w:bidi="ar-SA"/>
    </w:rPr>
  </w:style>
  <w:style w:type="paragraph" w:styleId="Footer">
    <w:name w:val="footer"/>
    <w:basedOn w:val="Normal"/>
    <w:link w:val="FooterChar"/>
    <w:qFormat/>
    <w:rsid w:val="00480C52"/>
  </w:style>
  <w:style w:type="character" w:customStyle="1" w:styleId="FooterChar">
    <w:name w:val="Footer Char"/>
    <w:basedOn w:val="DefaultParagraphFont"/>
    <w:link w:val="Footer"/>
    <w:locked/>
    <w:rsid w:val="00CB1536"/>
    <w:rPr>
      <w:lang w:eastAsia="en-US" w:bidi="ar-SA"/>
    </w:rPr>
  </w:style>
  <w:style w:type="paragraph" w:styleId="FootnoteText">
    <w:name w:val="footnote text"/>
    <w:basedOn w:val="Normal"/>
    <w:link w:val="FootnoteTextChar"/>
    <w:uiPriority w:val="99"/>
    <w:qFormat/>
    <w:rsid w:val="00480C52"/>
    <w:pPr>
      <w:keepLines/>
      <w:spacing w:after="60" w:line="240" w:lineRule="auto"/>
      <w:ind w:left="567" w:hanging="567"/>
    </w:pPr>
    <w:rPr>
      <w:sz w:val="16"/>
    </w:rPr>
  </w:style>
  <w:style w:type="character" w:customStyle="1" w:styleId="FootnoteTextChar">
    <w:name w:val="Footnote Text Char"/>
    <w:basedOn w:val="DefaultParagraphFont"/>
    <w:link w:val="FootnoteText"/>
    <w:uiPriority w:val="99"/>
    <w:locked/>
    <w:rsid w:val="00CB1536"/>
    <w:rPr>
      <w:sz w:val="16"/>
      <w:lang w:val="lt-LT" w:eastAsia="en-US" w:bidi="ar-SA"/>
    </w:rPr>
  </w:style>
  <w:style w:type="paragraph" w:styleId="Header">
    <w:name w:val="header"/>
    <w:basedOn w:val="Normal"/>
    <w:link w:val="HeaderChar"/>
    <w:qFormat/>
    <w:rsid w:val="00480C52"/>
  </w:style>
  <w:style w:type="character" w:customStyle="1" w:styleId="HeaderChar">
    <w:name w:val="Header Char"/>
    <w:basedOn w:val="DefaultParagraphFont"/>
    <w:link w:val="Header"/>
    <w:locked/>
    <w:rsid w:val="00CB1536"/>
    <w:rPr>
      <w:lang w:eastAsia="en-US" w:bidi="ar-SA"/>
    </w:rPr>
  </w:style>
  <w:style w:type="character" w:styleId="Hyperlink">
    <w:name w:val="Hyperlink"/>
    <w:basedOn w:val="DefaultParagraphFont"/>
    <w:uiPriority w:val="99"/>
    <w:rsid w:val="00934C10"/>
    <w:rPr>
      <w:color w:val="0000FF"/>
      <w:u w:val="single"/>
    </w:rPr>
  </w:style>
  <w:style w:type="character" w:styleId="FootnoteReference">
    <w:name w:val="footnote reference"/>
    <w:aliases w:val="Footnote symbol"/>
    <w:basedOn w:val="DefaultParagraphFont"/>
    <w:uiPriority w:val="99"/>
    <w:unhideWhenUsed/>
    <w:qFormat/>
    <w:rsid w:val="00480C52"/>
    <w:rPr>
      <w:sz w:val="24"/>
      <w:vertAlign w:val="superscript"/>
    </w:rPr>
  </w:style>
  <w:style w:type="character" w:styleId="FollowedHyperlink">
    <w:name w:val="FollowedHyperlink"/>
    <w:basedOn w:val="DefaultParagraphFont"/>
    <w:uiPriority w:val="99"/>
    <w:rsid w:val="00934C10"/>
    <w:rPr>
      <w:color w:val="800080"/>
      <w:u w:val="single"/>
    </w:rPr>
  </w:style>
  <w:style w:type="paragraph" w:customStyle="1" w:styleId="LOGO">
    <w:name w:val="LOGO"/>
    <w:basedOn w:val="Normal"/>
    <w:uiPriority w:val="99"/>
    <w:rsid w:val="00934C10"/>
    <w:pPr>
      <w:jc w:val="center"/>
    </w:pPr>
    <w:rPr>
      <w:rFonts w:ascii="Arial" w:hAnsi="Arial" w:cs="Arial"/>
      <w:b/>
      <w:bCs/>
      <w:i/>
      <w:iCs/>
      <w:sz w:val="20"/>
    </w:rPr>
  </w:style>
  <w:style w:type="paragraph" w:styleId="Revision">
    <w:name w:val="Revision"/>
    <w:hidden/>
    <w:uiPriority w:val="99"/>
    <w:semiHidden/>
    <w:rsid w:val="00B2372C"/>
  </w:style>
  <w:style w:type="paragraph" w:styleId="ListParagraph">
    <w:name w:val="List Paragraph"/>
    <w:basedOn w:val="Normal"/>
    <w:uiPriority w:val="34"/>
    <w:qFormat/>
    <w:rsid w:val="000B68FA"/>
    <w:pPr>
      <w:ind w:left="720"/>
      <w:contextualSpacing/>
    </w:pPr>
  </w:style>
  <w:style w:type="paragraph" w:customStyle="1" w:styleId="quotes">
    <w:name w:val="quotes"/>
    <w:basedOn w:val="Normal"/>
    <w:next w:val="Normal"/>
    <w:rsid w:val="00480C52"/>
    <w:pPr>
      <w:ind w:left="720"/>
    </w:pPr>
    <w:rPr>
      <w:i/>
    </w:rPr>
  </w:style>
  <w:style w:type="character" w:customStyle="1" w:styleId="UnresolvedMention1">
    <w:name w:val="Unresolved Mention1"/>
    <w:basedOn w:val="DefaultParagraphFont"/>
    <w:uiPriority w:val="99"/>
    <w:semiHidden/>
    <w:unhideWhenUsed/>
    <w:rsid w:val="00E83718"/>
    <w:rPr>
      <w:color w:val="605E5C"/>
      <w:shd w:val="clear" w:color="auto" w:fill="E1DFDD"/>
    </w:rPr>
  </w:style>
  <w:style w:type="character" w:customStyle="1" w:styleId="UnresolvedMention2">
    <w:name w:val="Unresolved Mention2"/>
    <w:basedOn w:val="DefaultParagraphFont"/>
    <w:uiPriority w:val="99"/>
    <w:semiHidden/>
    <w:unhideWhenUsed/>
    <w:rsid w:val="00D20C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304500">
      <w:bodyDiv w:val="1"/>
      <w:marLeft w:val="0"/>
      <w:marRight w:val="0"/>
      <w:marTop w:val="0"/>
      <w:marBottom w:val="0"/>
      <w:divBdr>
        <w:top w:val="none" w:sz="0" w:space="0" w:color="auto"/>
        <w:left w:val="none" w:sz="0" w:space="0" w:color="auto"/>
        <w:bottom w:val="none" w:sz="0" w:space="0" w:color="auto"/>
        <w:right w:val="none" w:sz="0" w:space="0" w:color="auto"/>
      </w:divBdr>
      <w:divsChild>
        <w:div w:id="1241595141">
          <w:marLeft w:val="0"/>
          <w:marRight w:val="0"/>
          <w:marTop w:val="0"/>
          <w:marBottom w:val="0"/>
          <w:divBdr>
            <w:top w:val="none" w:sz="0" w:space="0" w:color="auto"/>
            <w:left w:val="none" w:sz="0" w:space="0" w:color="auto"/>
            <w:bottom w:val="none" w:sz="0" w:space="0" w:color="auto"/>
            <w:right w:val="none" w:sz="0" w:space="0" w:color="auto"/>
          </w:divBdr>
          <w:divsChild>
            <w:div w:id="1277365832">
              <w:marLeft w:val="0"/>
              <w:marRight w:val="0"/>
              <w:marTop w:val="0"/>
              <w:marBottom w:val="0"/>
              <w:divBdr>
                <w:top w:val="none" w:sz="0" w:space="0" w:color="auto"/>
                <w:left w:val="none" w:sz="0" w:space="0" w:color="auto"/>
                <w:bottom w:val="none" w:sz="0" w:space="0" w:color="auto"/>
                <w:right w:val="none" w:sz="0" w:space="0" w:color="auto"/>
              </w:divBdr>
            </w:div>
            <w:div w:id="2046952548">
              <w:marLeft w:val="0"/>
              <w:marRight w:val="0"/>
              <w:marTop w:val="0"/>
              <w:marBottom w:val="0"/>
              <w:divBdr>
                <w:top w:val="none" w:sz="0" w:space="0" w:color="auto"/>
                <w:left w:val="none" w:sz="0" w:space="0" w:color="auto"/>
                <w:bottom w:val="none" w:sz="0" w:space="0" w:color="auto"/>
                <w:right w:val="none" w:sz="0" w:space="0" w:color="auto"/>
              </w:divBdr>
            </w:div>
            <w:div w:id="117846161">
              <w:marLeft w:val="0"/>
              <w:marRight w:val="0"/>
              <w:marTop w:val="0"/>
              <w:marBottom w:val="0"/>
              <w:divBdr>
                <w:top w:val="none" w:sz="0" w:space="0" w:color="auto"/>
                <w:left w:val="none" w:sz="0" w:space="0" w:color="auto"/>
                <w:bottom w:val="none" w:sz="0" w:space="0" w:color="auto"/>
                <w:right w:val="none" w:sz="0" w:space="0" w:color="auto"/>
              </w:divBdr>
            </w:div>
            <w:div w:id="1145925578">
              <w:marLeft w:val="0"/>
              <w:marRight w:val="0"/>
              <w:marTop w:val="0"/>
              <w:marBottom w:val="0"/>
              <w:divBdr>
                <w:top w:val="none" w:sz="0" w:space="0" w:color="auto"/>
                <w:left w:val="none" w:sz="0" w:space="0" w:color="auto"/>
                <w:bottom w:val="none" w:sz="0" w:space="0" w:color="auto"/>
                <w:right w:val="none" w:sz="0" w:space="0" w:color="auto"/>
              </w:divBdr>
            </w:div>
            <w:div w:id="1395005617">
              <w:marLeft w:val="0"/>
              <w:marRight w:val="0"/>
              <w:marTop w:val="0"/>
              <w:marBottom w:val="0"/>
              <w:divBdr>
                <w:top w:val="none" w:sz="0" w:space="0" w:color="auto"/>
                <w:left w:val="none" w:sz="0" w:space="0" w:color="auto"/>
                <w:bottom w:val="none" w:sz="0" w:space="0" w:color="auto"/>
                <w:right w:val="none" w:sz="0" w:space="0" w:color="auto"/>
              </w:divBdr>
            </w:div>
          </w:divsChild>
        </w:div>
        <w:div w:id="1088770290">
          <w:marLeft w:val="0"/>
          <w:marRight w:val="0"/>
          <w:marTop w:val="0"/>
          <w:marBottom w:val="0"/>
          <w:divBdr>
            <w:top w:val="none" w:sz="0" w:space="0" w:color="auto"/>
            <w:left w:val="none" w:sz="0" w:space="0" w:color="auto"/>
            <w:bottom w:val="none" w:sz="0" w:space="0" w:color="auto"/>
            <w:right w:val="none" w:sz="0" w:space="0" w:color="auto"/>
          </w:divBdr>
          <w:divsChild>
            <w:div w:id="903494865">
              <w:marLeft w:val="-75"/>
              <w:marRight w:val="0"/>
              <w:marTop w:val="30"/>
              <w:marBottom w:val="30"/>
              <w:divBdr>
                <w:top w:val="none" w:sz="0" w:space="0" w:color="auto"/>
                <w:left w:val="none" w:sz="0" w:space="0" w:color="auto"/>
                <w:bottom w:val="none" w:sz="0" w:space="0" w:color="auto"/>
                <w:right w:val="none" w:sz="0" w:space="0" w:color="auto"/>
              </w:divBdr>
              <w:divsChild>
                <w:div w:id="384841762">
                  <w:marLeft w:val="0"/>
                  <w:marRight w:val="0"/>
                  <w:marTop w:val="0"/>
                  <w:marBottom w:val="0"/>
                  <w:divBdr>
                    <w:top w:val="none" w:sz="0" w:space="0" w:color="auto"/>
                    <w:left w:val="none" w:sz="0" w:space="0" w:color="auto"/>
                    <w:bottom w:val="none" w:sz="0" w:space="0" w:color="auto"/>
                    <w:right w:val="none" w:sz="0" w:space="0" w:color="auto"/>
                  </w:divBdr>
                  <w:divsChild>
                    <w:div w:id="78647945">
                      <w:marLeft w:val="0"/>
                      <w:marRight w:val="0"/>
                      <w:marTop w:val="0"/>
                      <w:marBottom w:val="0"/>
                      <w:divBdr>
                        <w:top w:val="none" w:sz="0" w:space="0" w:color="auto"/>
                        <w:left w:val="none" w:sz="0" w:space="0" w:color="auto"/>
                        <w:bottom w:val="none" w:sz="0" w:space="0" w:color="auto"/>
                        <w:right w:val="none" w:sz="0" w:space="0" w:color="auto"/>
                      </w:divBdr>
                    </w:div>
                  </w:divsChild>
                </w:div>
                <w:div w:id="2019237185">
                  <w:marLeft w:val="0"/>
                  <w:marRight w:val="0"/>
                  <w:marTop w:val="0"/>
                  <w:marBottom w:val="0"/>
                  <w:divBdr>
                    <w:top w:val="none" w:sz="0" w:space="0" w:color="auto"/>
                    <w:left w:val="none" w:sz="0" w:space="0" w:color="auto"/>
                    <w:bottom w:val="none" w:sz="0" w:space="0" w:color="auto"/>
                    <w:right w:val="none" w:sz="0" w:space="0" w:color="auto"/>
                  </w:divBdr>
                  <w:divsChild>
                    <w:div w:id="1996838574">
                      <w:marLeft w:val="0"/>
                      <w:marRight w:val="0"/>
                      <w:marTop w:val="0"/>
                      <w:marBottom w:val="0"/>
                      <w:divBdr>
                        <w:top w:val="none" w:sz="0" w:space="0" w:color="auto"/>
                        <w:left w:val="none" w:sz="0" w:space="0" w:color="auto"/>
                        <w:bottom w:val="none" w:sz="0" w:space="0" w:color="auto"/>
                        <w:right w:val="none" w:sz="0" w:space="0" w:color="auto"/>
                      </w:divBdr>
                    </w:div>
                  </w:divsChild>
                </w:div>
                <w:div w:id="1534490734">
                  <w:marLeft w:val="0"/>
                  <w:marRight w:val="0"/>
                  <w:marTop w:val="0"/>
                  <w:marBottom w:val="0"/>
                  <w:divBdr>
                    <w:top w:val="none" w:sz="0" w:space="0" w:color="auto"/>
                    <w:left w:val="none" w:sz="0" w:space="0" w:color="auto"/>
                    <w:bottom w:val="none" w:sz="0" w:space="0" w:color="auto"/>
                    <w:right w:val="none" w:sz="0" w:space="0" w:color="auto"/>
                  </w:divBdr>
                  <w:divsChild>
                    <w:div w:id="1465078362">
                      <w:marLeft w:val="0"/>
                      <w:marRight w:val="0"/>
                      <w:marTop w:val="0"/>
                      <w:marBottom w:val="0"/>
                      <w:divBdr>
                        <w:top w:val="none" w:sz="0" w:space="0" w:color="auto"/>
                        <w:left w:val="none" w:sz="0" w:space="0" w:color="auto"/>
                        <w:bottom w:val="none" w:sz="0" w:space="0" w:color="auto"/>
                        <w:right w:val="none" w:sz="0" w:space="0" w:color="auto"/>
                      </w:divBdr>
                    </w:div>
                  </w:divsChild>
                </w:div>
                <w:div w:id="1881934417">
                  <w:marLeft w:val="0"/>
                  <w:marRight w:val="0"/>
                  <w:marTop w:val="0"/>
                  <w:marBottom w:val="0"/>
                  <w:divBdr>
                    <w:top w:val="none" w:sz="0" w:space="0" w:color="auto"/>
                    <w:left w:val="none" w:sz="0" w:space="0" w:color="auto"/>
                    <w:bottom w:val="none" w:sz="0" w:space="0" w:color="auto"/>
                    <w:right w:val="none" w:sz="0" w:space="0" w:color="auto"/>
                  </w:divBdr>
                  <w:divsChild>
                    <w:div w:id="115653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839279">
          <w:marLeft w:val="0"/>
          <w:marRight w:val="0"/>
          <w:marTop w:val="0"/>
          <w:marBottom w:val="0"/>
          <w:divBdr>
            <w:top w:val="none" w:sz="0" w:space="0" w:color="auto"/>
            <w:left w:val="none" w:sz="0" w:space="0" w:color="auto"/>
            <w:bottom w:val="none" w:sz="0" w:space="0" w:color="auto"/>
            <w:right w:val="none" w:sz="0" w:space="0" w:color="auto"/>
          </w:divBdr>
        </w:div>
        <w:div w:id="1253198023">
          <w:marLeft w:val="0"/>
          <w:marRight w:val="0"/>
          <w:marTop w:val="0"/>
          <w:marBottom w:val="0"/>
          <w:divBdr>
            <w:top w:val="none" w:sz="0" w:space="0" w:color="auto"/>
            <w:left w:val="none" w:sz="0" w:space="0" w:color="auto"/>
            <w:bottom w:val="none" w:sz="0" w:space="0" w:color="auto"/>
            <w:right w:val="none" w:sz="0" w:space="0" w:color="auto"/>
          </w:divBdr>
          <w:divsChild>
            <w:div w:id="1032265375">
              <w:marLeft w:val="-75"/>
              <w:marRight w:val="0"/>
              <w:marTop w:val="30"/>
              <w:marBottom w:val="30"/>
              <w:divBdr>
                <w:top w:val="none" w:sz="0" w:space="0" w:color="auto"/>
                <w:left w:val="none" w:sz="0" w:space="0" w:color="auto"/>
                <w:bottom w:val="none" w:sz="0" w:space="0" w:color="auto"/>
                <w:right w:val="none" w:sz="0" w:space="0" w:color="auto"/>
              </w:divBdr>
              <w:divsChild>
                <w:div w:id="869882954">
                  <w:marLeft w:val="0"/>
                  <w:marRight w:val="0"/>
                  <w:marTop w:val="0"/>
                  <w:marBottom w:val="0"/>
                  <w:divBdr>
                    <w:top w:val="none" w:sz="0" w:space="0" w:color="auto"/>
                    <w:left w:val="none" w:sz="0" w:space="0" w:color="auto"/>
                    <w:bottom w:val="none" w:sz="0" w:space="0" w:color="auto"/>
                    <w:right w:val="none" w:sz="0" w:space="0" w:color="auto"/>
                  </w:divBdr>
                  <w:divsChild>
                    <w:div w:id="1032001996">
                      <w:marLeft w:val="0"/>
                      <w:marRight w:val="0"/>
                      <w:marTop w:val="0"/>
                      <w:marBottom w:val="0"/>
                      <w:divBdr>
                        <w:top w:val="none" w:sz="0" w:space="0" w:color="auto"/>
                        <w:left w:val="none" w:sz="0" w:space="0" w:color="auto"/>
                        <w:bottom w:val="none" w:sz="0" w:space="0" w:color="auto"/>
                        <w:right w:val="none" w:sz="0" w:space="0" w:color="auto"/>
                      </w:divBdr>
                    </w:div>
                  </w:divsChild>
                </w:div>
                <w:div w:id="1750351379">
                  <w:marLeft w:val="0"/>
                  <w:marRight w:val="0"/>
                  <w:marTop w:val="0"/>
                  <w:marBottom w:val="0"/>
                  <w:divBdr>
                    <w:top w:val="none" w:sz="0" w:space="0" w:color="auto"/>
                    <w:left w:val="none" w:sz="0" w:space="0" w:color="auto"/>
                    <w:bottom w:val="none" w:sz="0" w:space="0" w:color="auto"/>
                    <w:right w:val="none" w:sz="0" w:space="0" w:color="auto"/>
                  </w:divBdr>
                  <w:divsChild>
                    <w:div w:id="50660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202416">
          <w:marLeft w:val="0"/>
          <w:marRight w:val="0"/>
          <w:marTop w:val="0"/>
          <w:marBottom w:val="0"/>
          <w:divBdr>
            <w:top w:val="none" w:sz="0" w:space="0" w:color="auto"/>
            <w:left w:val="none" w:sz="0" w:space="0" w:color="auto"/>
            <w:bottom w:val="none" w:sz="0" w:space="0" w:color="auto"/>
            <w:right w:val="none" w:sz="0" w:space="0" w:color="auto"/>
          </w:divBdr>
        </w:div>
        <w:div w:id="926841864">
          <w:marLeft w:val="0"/>
          <w:marRight w:val="0"/>
          <w:marTop w:val="0"/>
          <w:marBottom w:val="0"/>
          <w:divBdr>
            <w:top w:val="none" w:sz="0" w:space="0" w:color="auto"/>
            <w:left w:val="none" w:sz="0" w:space="0" w:color="auto"/>
            <w:bottom w:val="none" w:sz="0" w:space="0" w:color="auto"/>
            <w:right w:val="none" w:sz="0" w:space="0" w:color="auto"/>
          </w:divBdr>
        </w:div>
        <w:div w:id="2029601939">
          <w:marLeft w:val="0"/>
          <w:marRight w:val="0"/>
          <w:marTop w:val="0"/>
          <w:marBottom w:val="0"/>
          <w:divBdr>
            <w:top w:val="none" w:sz="0" w:space="0" w:color="auto"/>
            <w:left w:val="none" w:sz="0" w:space="0" w:color="auto"/>
            <w:bottom w:val="none" w:sz="0" w:space="0" w:color="auto"/>
            <w:right w:val="none" w:sz="0" w:space="0" w:color="auto"/>
          </w:divBdr>
        </w:div>
        <w:div w:id="1713111492">
          <w:marLeft w:val="0"/>
          <w:marRight w:val="0"/>
          <w:marTop w:val="0"/>
          <w:marBottom w:val="0"/>
          <w:divBdr>
            <w:top w:val="none" w:sz="0" w:space="0" w:color="auto"/>
            <w:left w:val="none" w:sz="0" w:space="0" w:color="auto"/>
            <w:bottom w:val="none" w:sz="0" w:space="0" w:color="auto"/>
            <w:right w:val="none" w:sz="0" w:space="0" w:color="auto"/>
          </w:divBdr>
        </w:div>
        <w:div w:id="1097097468">
          <w:marLeft w:val="0"/>
          <w:marRight w:val="0"/>
          <w:marTop w:val="0"/>
          <w:marBottom w:val="0"/>
          <w:divBdr>
            <w:top w:val="none" w:sz="0" w:space="0" w:color="auto"/>
            <w:left w:val="none" w:sz="0" w:space="0" w:color="auto"/>
            <w:bottom w:val="none" w:sz="0" w:space="0" w:color="auto"/>
            <w:right w:val="none" w:sz="0" w:space="0" w:color="auto"/>
          </w:divBdr>
          <w:divsChild>
            <w:div w:id="2092576736">
              <w:marLeft w:val="-75"/>
              <w:marRight w:val="0"/>
              <w:marTop w:val="30"/>
              <w:marBottom w:val="30"/>
              <w:divBdr>
                <w:top w:val="none" w:sz="0" w:space="0" w:color="auto"/>
                <w:left w:val="none" w:sz="0" w:space="0" w:color="auto"/>
                <w:bottom w:val="none" w:sz="0" w:space="0" w:color="auto"/>
                <w:right w:val="none" w:sz="0" w:space="0" w:color="auto"/>
              </w:divBdr>
              <w:divsChild>
                <w:div w:id="1437673744">
                  <w:marLeft w:val="0"/>
                  <w:marRight w:val="0"/>
                  <w:marTop w:val="0"/>
                  <w:marBottom w:val="0"/>
                  <w:divBdr>
                    <w:top w:val="none" w:sz="0" w:space="0" w:color="auto"/>
                    <w:left w:val="none" w:sz="0" w:space="0" w:color="auto"/>
                    <w:bottom w:val="none" w:sz="0" w:space="0" w:color="auto"/>
                    <w:right w:val="none" w:sz="0" w:space="0" w:color="auto"/>
                  </w:divBdr>
                  <w:divsChild>
                    <w:div w:id="1199704467">
                      <w:marLeft w:val="0"/>
                      <w:marRight w:val="0"/>
                      <w:marTop w:val="0"/>
                      <w:marBottom w:val="0"/>
                      <w:divBdr>
                        <w:top w:val="none" w:sz="0" w:space="0" w:color="auto"/>
                        <w:left w:val="none" w:sz="0" w:space="0" w:color="auto"/>
                        <w:bottom w:val="none" w:sz="0" w:space="0" w:color="auto"/>
                        <w:right w:val="none" w:sz="0" w:space="0" w:color="auto"/>
                      </w:divBdr>
                    </w:div>
                  </w:divsChild>
                </w:div>
                <w:div w:id="1823236175">
                  <w:marLeft w:val="0"/>
                  <w:marRight w:val="0"/>
                  <w:marTop w:val="0"/>
                  <w:marBottom w:val="0"/>
                  <w:divBdr>
                    <w:top w:val="none" w:sz="0" w:space="0" w:color="auto"/>
                    <w:left w:val="none" w:sz="0" w:space="0" w:color="auto"/>
                    <w:bottom w:val="none" w:sz="0" w:space="0" w:color="auto"/>
                    <w:right w:val="none" w:sz="0" w:space="0" w:color="auto"/>
                  </w:divBdr>
                  <w:divsChild>
                    <w:div w:id="1449548169">
                      <w:marLeft w:val="0"/>
                      <w:marRight w:val="0"/>
                      <w:marTop w:val="0"/>
                      <w:marBottom w:val="0"/>
                      <w:divBdr>
                        <w:top w:val="none" w:sz="0" w:space="0" w:color="auto"/>
                        <w:left w:val="none" w:sz="0" w:space="0" w:color="auto"/>
                        <w:bottom w:val="none" w:sz="0" w:space="0" w:color="auto"/>
                        <w:right w:val="none" w:sz="0" w:space="0" w:color="auto"/>
                      </w:divBdr>
                    </w:div>
                  </w:divsChild>
                </w:div>
                <w:div w:id="2066830890">
                  <w:marLeft w:val="0"/>
                  <w:marRight w:val="0"/>
                  <w:marTop w:val="0"/>
                  <w:marBottom w:val="0"/>
                  <w:divBdr>
                    <w:top w:val="none" w:sz="0" w:space="0" w:color="auto"/>
                    <w:left w:val="none" w:sz="0" w:space="0" w:color="auto"/>
                    <w:bottom w:val="none" w:sz="0" w:space="0" w:color="auto"/>
                    <w:right w:val="none" w:sz="0" w:space="0" w:color="auto"/>
                  </w:divBdr>
                  <w:divsChild>
                    <w:div w:id="1837573810">
                      <w:marLeft w:val="0"/>
                      <w:marRight w:val="0"/>
                      <w:marTop w:val="0"/>
                      <w:marBottom w:val="0"/>
                      <w:divBdr>
                        <w:top w:val="none" w:sz="0" w:space="0" w:color="auto"/>
                        <w:left w:val="none" w:sz="0" w:space="0" w:color="auto"/>
                        <w:bottom w:val="none" w:sz="0" w:space="0" w:color="auto"/>
                        <w:right w:val="none" w:sz="0" w:space="0" w:color="auto"/>
                      </w:divBdr>
                    </w:div>
                  </w:divsChild>
                </w:div>
                <w:div w:id="862598018">
                  <w:marLeft w:val="0"/>
                  <w:marRight w:val="0"/>
                  <w:marTop w:val="0"/>
                  <w:marBottom w:val="0"/>
                  <w:divBdr>
                    <w:top w:val="none" w:sz="0" w:space="0" w:color="auto"/>
                    <w:left w:val="none" w:sz="0" w:space="0" w:color="auto"/>
                    <w:bottom w:val="none" w:sz="0" w:space="0" w:color="auto"/>
                    <w:right w:val="none" w:sz="0" w:space="0" w:color="auto"/>
                  </w:divBdr>
                  <w:divsChild>
                    <w:div w:id="781265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7130486">
          <w:marLeft w:val="0"/>
          <w:marRight w:val="0"/>
          <w:marTop w:val="0"/>
          <w:marBottom w:val="0"/>
          <w:divBdr>
            <w:top w:val="none" w:sz="0" w:space="0" w:color="auto"/>
            <w:left w:val="none" w:sz="0" w:space="0" w:color="auto"/>
            <w:bottom w:val="none" w:sz="0" w:space="0" w:color="auto"/>
            <w:right w:val="none" w:sz="0" w:space="0" w:color="auto"/>
          </w:divBdr>
        </w:div>
        <w:div w:id="77101897">
          <w:marLeft w:val="0"/>
          <w:marRight w:val="0"/>
          <w:marTop w:val="0"/>
          <w:marBottom w:val="0"/>
          <w:divBdr>
            <w:top w:val="none" w:sz="0" w:space="0" w:color="auto"/>
            <w:left w:val="none" w:sz="0" w:space="0" w:color="auto"/>
            <w:bottom w:val="none" w:sz="0" w:space="0" w:color="auto"/>
            <w:right w:val="none" w:sz="0" w:space="0" w:color="auto"/>
          </w:divBdr>
          <w:divsChild>
            <w:div w:id="207911718">
              <w:marLeft w:val="-75"/>
              <w:marRight w:val="0"/>
              <w:marTop w:val="30"/>
              <w:marBottom w:val="30"/>
              <w:divBdr>
                <w:top w:val="none" w:sz="0" w:space="0" w:color="auto"/>
                <w:left w:val="none" w:sz="0" w:space="0" w:color="auto"/>
                <w:bottom w:val="none" w:sz="0" w:space="0" w:color="auto"/>
                <w:right w:val="none" w:sz="0" w:space="0" w:color="auto"/>
              </w:divBdr>
              <w:divsChild>
                <w:div w:id="1728456931">
                  <w:marLeft w:val="0"/>
                  <w:marRight w:val="0"/>
                  <w:marTop w:val="0"/>
                  <w:marBottom w:val="0"/>
                  <w:divBdr>
                    <w:top w:val="none" w:sz="0" w:space="0" w:color="auto"/>
                    <w:left w:val="none" w:sz="0" w:space="0" w:color="auto"/>
                    <w:bottom w:val="none" w:sz="0" w:space="0" w:color="auto"/>
                    <w:right w:val="none" w:sz="0" w:space="0" w:color="auto"/>
                  </w:divBdr>
                  <w:divsChild>
                    <w:div w:id="1334838238">
                      <w:marLeft w:val="0"/>
                      <w:marRight w:val="0"/>
                      <w:marTop w:val="0"/>
                      <w:marBottom w:val="0"/>
                      <w:divBdr>
                        <w:top w:val="none" w:sz="0" w:space="0" w:color="auto"/>
                        <w:left w:val="none" w:sz="0" w:space="0" w:color="auto"/>
                        <w:bottom w:val="none" w:sz="0" w:space="0" w:color="auto"/>
                        <w:right w:val="none" w:sz="0" w:space="0" w:color="auto"/>
                      </w:divBdr>
                    </w:div>
                  </w:divsChild>
                </w:div>
                <w:div w:id="1679229970">
                  <w:marLeft w:val="0"/>
                  <w:marRight w:val="0"/>
                  <w:marTop w:val="0"/>
                  <w:marBottom w:val="0"/>
                  <w:divBdr>
                    <w:top w:val="none" w:sz="0" w:space="0" w:color="auto"/>
                    <w:left w:val="none" w:sz="0" w:space="0" w:color="auto"/>
                    <w:bottom w:val="none" w:sz="0" w:space="0" w:color="auto"/>
                    <w:right w:val="none" w:sz="0" w:space="0" w:color="auto"/>
                  </w:divBdr>
                  <w:divsChild>
                    <w:div w:id="375356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994851">
          <w:marLeft w:val="0"/>
          <w:marRight w:val="0"/>
          <w:marTop w:val="0"/>
          <w:marBottom w:val="0"/>
          <w:divBdr>
            <w:top w:val="none" w:sz="0" w:space="0" w:color="auto"/>
            <w:left w:val="none" w:sz="0" w:space="0" w:color="auto"/>
            <w:bottom w:val="none" w:sz="0" w:space="0" w:color="auto"/>
            <w:right w:val="none" w:sz="0" w:space="0" w:color="auto"/>
          </w:divBdr>
        </w:div>
        <w:div w:id="241960356">
          <w:marLeft w:val="0"/>
          <w:marRight w:val="0"/>
          <w:marTop w:val="0"/>
          <w:marBottom w:val="0"/>
          <w:divBdr>
            <w:top w:val="none" w:sz="0" w:space="0" w:color="auto"/>
            <w:left w:val="none" w:sz="0" w:space="0" w:color="auto"/>
            <w:bottom w:val="none" w:sz="0" w:space="0" w:color="auto"/>
            <w:right w:val="none" w:sz="0" w:space="0" w:color="auto"/>
          </w:divBdr>
        </w:div>
        <w:div w:id="1639259846">
          <w:marLeft w:val="0"/>
          <w:marRight w:val="0"/>
          <w:marTop w:val="0"/>
          <w:marBottom w:val="0"/>
          <w:divBdr>
            <w:top w:val="none" w:sz="0" w:space="0" w:color="auto"/>
            <w:left w:val="none" w:sz="0" w:space="0" w:color="auto"/>
            <w:bottom w:val="none" w:sz="0" w:space="0" w:color="auto"/>
            <w:right w:val="none" w:sz="0" w:space="0" w:color="auto"/>
          </w:divBdr>
        </w:div>
        <w:div w:id="341977377">
          <w:marLeft w:val="0"/>
          <w:marRight w:val="0"/>
          <w:marTop w:val="0"/>
          <w:marBottom w:val="0"/>
          <w:divBdr>
            <w:top w:val="none" w:sz="0" w:space="0" w:color="auto"/>
            <w:left w:val="none" w:sz="0" w:space="0" w:color="auto"/>
            <w:bottom w:val="none" w:sz="0" w:space="0" w:color="auto"/>
            <w:right w:val="none" w:sz="0" w:space="0" w:color="auto"/>
          </w:divBdr>
        </w:div>
        <w:div w:id="1600094101">
          <w:marLeft w:val="0"/>
          <w:marRight w:val="0"/>
          <w:marTop w:val="0"/>
          <w:marBottom w:val="0"/>
          <w:divBdr>
            <w:top w:val="none" w:sz="0" w:space="0" w:color="auto"/>
            <w:left w:val="none" w:sz="0" w:space="0" w:color="auto"/>
            <w:bottom w:val="none" w:sz="0" w:space="0" w:color="auto"/>
            <w:right w:val="none" w:sz="0" w:space="0" w:color="auto"/>
          </w:divBdr>
          <w:divsChild>
            <w:div w:id="1400900001">
              <w:marLeft w:val="-75"/>
              <w:marRight w:val="0"/>
              <w:marTop w:val="30"/>
              <w:marBottom w:val="30"/>
              <w:divBdr>
                <w:top w:val="none" w:sz="0" w:space="0" w:color="auto"/>
                <w:left w:val="none" w:sz="0" w:space="0" w:color="auto"/>
                <w:bottom w:val="none" w:sz="0" w:space="0" w:color="auto"/>
                <w:right w:val="none" w:sz="0" w:space="0" w:color="auto"/>
              </w:divBdr>
              <w:divsChild>
                <w:div w:id="1091121428">
                  <w:marLeft w:val="0"/>
                  <w:marRight w:val="0"/>
                  <w:marTop w:val="0"/>
                  <w:marBottom w:val="0"/>
                  <w:divBdr>
                    <w:top w:val="none" w:sz="0" w:space="0" w:color="auto"/>
                    <w:left w:val="none" w:sz="0" w:space="0" w:color="auto"/>
                    <w:bottom w:val="none" w:sz="0" w:space="0" w:color="auto"/>
                    <w:right w:val="none" w:sz="0" w:space="0" w:color="auto"/>
                  </w:divBdr>
                  <w:divsChild>
                    <w:div w:id="2002737313">
                      <w:marLeft w:val="0"/>
                      <w:marRight w:val="0"/>
                      <w:marTop w:val="0"/>
                      <w:marBottom w:val="0"/>
                      <w:divBdr>
                        <w:top w:val="none" w:sz="0" w:space="0" w:color="auto"/>
                        <w:left w:val="none" w:sz="0" w:space="0" w:color="auto"/>
                        <w:bottom w:val="none" w:sz="0" w:space="0" w:color="auto"/>
                        <w:right w:val="none" w:sz="0" w:space="0" w:color="auto"/>
                      </w:divBdr>
                    </w:div>
                  </w:divsChild>
                </w:div>
                <w:div w:id="866672889">
                  <w:marLeft w:val="0"/>
                  <w:marRight w:val="0"/>
                  <w:marTop w:val="0"/>
                  <w:marBottom w:val="0"/>
                  <w:divBdr>
                    <w:top w:val="none" w:sz="0" w:space="0" w:color="auto"/>
                    <w:left w:val="none" w:sz="0" w:space="0" w:color="auto"/>
                    <w:bottom w:val="none" w:sz="0" w:space="0" w:color="auto"/>
                    <w:right w:val="none" w:sz="0" w:space="0" w:color="auto"/>
                  </w:divBdr>
                  <w:divsChild>
                    <w:div w:id="1971519756">
                      <w:marLeft w:val="0"/>
                      <w:marRight w:val="0"/>
                      <w:marTop w:val="0"/>
                      <w:marBottom w:val="0"/>
                      <w:divBdr>
                        <w:top w:val="none" w:sz="0" w:space="0" w:color="auto"/>
                        <w:left w:val="none" w:sz="0" w:space="0" w:color="auto"/>
                        <w:bottom w:val="none" w:sz="0" w:space="0" w:color="auto"/>
                        <w:right w:val="none" w:sz="0" w:space="0" w:color="auto"/>
                      </w:divBdr>
                    </w:div>
                  </w:divsChild>
                </w:div>
                <w:div w:id="599720890">
                  <w:marLeft w:val="0"/>
                  <w:marRight w:val="0"/>
                  <w:marTop w:val="0"/>
                  <w:marBottom w:val="0"/>
                  <w:divBdr>
                    <w:top w:val="none" w:sz="0" w:space="0" w:color="auto"/>
                    <w:left w:val="none" w:sz="0" w:space="0" w:color="auto"/>
                    <w:bottom w:val="none" w:sz="0" w:space="0" w:color="auto"/>
                    <w:right w:val="none" w:sz="0" w:space="0" w:color="auto"/>
                  </w:divBdr>
                  <w:divsChild>
                    <w:div w:id="1654063972">
                      <w:marLeft w:val="0"/>
                      <w:marRight w:val="0"/>
                      <w:marTop w:val="0"/>
                      <w:marBottom w:val="0"/>
                      <w:divBdr>
                        <w:top w:val="none" w:sz="0" w:space="0" w:color="auto"/>
                        <w:left w:val="none" w:sz="0" w:space="0" w:color="auto"/>
                        <w:bottom w:val="none" w:sz="0" w:space="0" w:color="auto"/>
                        <w:right w:val="none" w:sz="0" w:space="0" w:color="auto"/>
                      </w:divBdr>
                    </w:div>
                  </w:divsChild>
                </w:div>
                <w:div w:id="1160584331">
                  <w:marLeft w:val="0"/>
                  <w:marRight w:val="0"/>
                  <w:marTop w:val="0"/>
                  <w:marBottom w:val="0"/>
                  <w:divBdr>
                    <w:top w:val="none" w:sz="0" w:space="0" w:color="auto"/>
                    <w:left w:val="none" w:sz="0" w:space="0" w:color="auto"/>
                    <w:bottom w:val="none" w:sz="0" w:space="0" w:color="auto"/>
                    <w:right w:val="none" w:sz="0" w:space="0" w:color="auto"/>
                  </w:divBdr>
                  <w:divsChild>
                    <w:div w:id="262996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698623">
          <w:marLeft w:val="0"/>
          <w:marRight w:val="0"/>
          <w:marTop w:val="0"/>
          <w:marBottom w:val="0"/>
          <w:divBdr>
            <w:top w:val="none" w:sz="0" w:space="0" w:color="auto"/>
            <w:left w:val="none" w:sz="0" w:space="0" w:color="auto"/>
            <w:bottom w:val="none" w:sz="0" w:space="0" w:color="auto"/>
            <w:right w:val="none" w:sz="0" w:space="0" w:color="auto"/>
          </w:divBdr>
        </w:div>
        <w:div w:id="1300958237">
          <w:marLeft w:val="0"/>
          <w:marRight w:val="0"/>
          <w:marTop w:val="0"/>
          <w:marBottom w:val="0"/>
          <w:divBdr>
            <w:top w:val="none" w:sz="0" w:space="0" w:color="auto"/>
            <w:left w:val="none" w:sz="0" w:space="0" w:color="auto"/>
            <w:bottom w:val="none" w:sz="0" w:space="0" w:color="auto"/>
            <w:right w:val="none" w:sz="0" w:space="0" w:color="auto"/>
          </w:divBdr>
          <w:divsChild>
            <w:div w:id="1083798021">
              <w:marLeft w:val="-75"/>
              <w:marRight w:val="0"/>
              <w:marTop w:val="30"/>
              <w:marBottom w:val="30"/>
              <w:divBdr>
                <w:top w:val="none" w:sz="0" w:space="0" w:color="auto"/>
                <w:left w:val="none" w:sz="0" w:space="0" w:color="auto"/>
                <w:bottom w:val="none" w:sz="0" w:space="0" w:color="auto"/>
                <w:right w:val="none" w:sz="0" w:space="0" w:color="auto"/>
              </w:divBdr>
              <w:divsChild>
                <w:div w:id="261913413">
                  <w:marLeft w:val="0"/>
                  <w:marRight w:val="0"/>
                  <w:marTop w:val="0"/>
                  <w:marBottom w:val="0"/>
                  <w:divBdr>
                    <w:top w:val="none" w:sz="0" w:space="0" w:color="auto"/>
                    <w:left w:val="none" w:sz="0" w:space="0" w:color="auto"/>
                    <w:bottom w:val="none" w:sz="0" w:space="0" w:color="auto"/>
                    <w:right w:val="none" w:sz="0" w:space="0" w:color="auto"/>
                  </w:divBdr>
                  <w:divsChild>
                    <w:div w:id="1152411509">
                      <w:marLeft w:val="0"/>
                      <w:marRight w:val="0"/>
                      <w:marTop w:val="0"/>
                      <w:marBottom w:val="0"/>
                      <w:divBdr>
                        <w:top w:val="none" w:sz="0" w:space="0" w:color="auto"/>
                        <w:left w:val="none" w:sz="0" w:space="0" w:color="auto"/>
                        <w:bottom w:val="none" w:sz="0" w:space="0" w:color="auto"/>
                        <w:right w:val="none" w:sz="0" w:space="0" w:color="auto"/>
                      </w:divBdr>
                    </w:div>
                  </w:divsChild>
                </w:div>
                <w:div w:id="774710644">
                  <w:marLeft w:val="0"/>
                  <w:marRight w:val="0"/>
                  <w:marTop w:val="0"/>
                  <w:marBottom w:val="0"/>
                  <w:divBdr>
                    <w:top w:val="none" w:sz="0" w:space="0" w:color="auto"/>
                    <w:left w:val="none" w:sz="0" w:space="0" w:color="auto"/>
                    <w:bottom w:val="none" w:sz="0" w:space="0" w:color="auto"/>
                    <w:right w:val="none" w:sz="0" w:space="0" w:color="auto"/>
                  </w:divBdr>
                  <w:divsChild>
                    <w:div w:id="815991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242021">
          <w:marLeft w:val="0"/>
          <w:marRight w:val="0"/>
          <w:marTop w:val="0"/>
          <w:marBottom w:val="0"/>
          <w:divBdr>
            <w:top w:val="none" w:sz="0" w:space="0" w:color="auto"/>
            <w:left w:val="none" w:sz="0" w:space="0" w:color="auto"/>
            <w:bottom w:val="none" w:sz="0" w:space="0" w:color="auto"/>
            <w:right w:val="none" w:sz="0" w:space="0" w:color="auto"/>
          </w:divBdr>
          <w:divsChild>
            <w:div w:id="306782878">
              <w:marLeft w:val="0"/>
              <w:marRight w:val="0"/>
              <w:marTop w:val="0"/>
              <w:marBottom w:val="0"/>
              <w:divBdr>
                <w:top w:val="none" w:sz="0" w:space="0" w:color="auto"/>
                <w:left w:val="none" w:sz="0" w:space="0" w:color="auto"/>
                <w:bottom w:val="none" w:sz="0" w:space="0" w:color="auto"/>
                <w:right w:val="none" w:sz="0" w:space="0" w:color="auto"/>
              </w:divBdr>
            </w:div>
            <w:div w:id="225604204">
              <w:marLeft w:val="0"/>
              <w:marRight w:val="0"/>
              <w:marTop w:val="0"/>
              <w:marBottom w:val="0"/>
              <w:divBdr>
                <w:top w:val="none" w:sz="0" w:space="0" w:color="auto"/>
                <w:left w:val="none" w:sz="0" w:space="0" w:color="auto"/>
                <w:bottom w:val="none" w:sz="0" w:space="0" w:color="auto"/>
                <w:right w:val="none" w:sz="0" w:space="0" w:color="auto"/>
              </w:divBdr>
            </w:div>
            <w:div w:id="836308734">
              <w:marLeft w:val="0"/>
              <w:marRight w:val="0"/>
              <w:marTop w:val="0"/>
              <w:marBottom w:val="0"/>
              <w:divBdr>
                <w:top w:val="none" w:sz="0" w:space="0" w:color="auto"/>
                <w:left w:val="none" w:sz="0" w:space="0" w:color="auto"/>
                <w:bottom w:val="none" w:sz="0" w:space="0" w:color="auto"/>
                <w:right w:val="none" w:sz="0" w:space="0" w:color="auto"/>
              </w:divBdr>
            </w:div>
            <w:div w:id="846529254">
              <w:marLeft w:val="0"/>
              <w:marRight w:val="0"/>
              <w:marTop w:val="0"/>
              <w:marBottom w:val="0"/>
              <w:divBdr>
                <w:top w:val="none" w:sz="0" w:space="0" w:color="auto"/>
                <w:left w:val="none" w:sz="0" w:space="0" w:color="auto"/>
                <w:bottom w:val="none" w:sz="0" w:space="0" w:color="auto"/>
                <w:right w:val="none" w:sz="0" w:space="0" w:color="auto"/>
              </w:divBdr>
            </w:div>
            <w:div w:id="948044886">
              <w:marLeft w:val="0"/>
              <w:marRight w:val="0"/>
              <w:marTop w:val="0"/>
              <w:marBottom w:val="0"/>
              <w:divBdr>
                <w:top w:val="none" w:sz="0" w:space="0" w:color="auto"/>
                <w:left w:val="none" w:sz="0" w:space="0" w:color="auto"/>
                <w:bottom w:val="none" w:sz="0" w:space="0" w:color="auto"/>
                <w:right w:val="none" w:sz="0" w:space="0" w:color="auto"/>
              </w:divBdr>
            </w:div>
            <w:div w:id="1751003382">
              <w:marLeft w:val="0"/>
              <w:marRight w:val="0"/>
              <w:marTop w:val="0"/>
              <w:marBottom w:val="0"/>
              <w:divBdr>
                <w:top w:val="none" w:sz="0" w:space="0" w:color="auto"/>
                <w:left w:val="none" w:sz="0" w:space="0" w:color="auto"/>
                <w:bottom w:val="none" w:sz="0" w:space="0" w:color="auto"/>
                <w:right w:val="none" w:sz="0" w:space="0" w:color="auto"/>
              </w:divBdr>
            </w:div>
            <w:div w:id="1821388102">
              <w:marLeft w:val="0"/>
              <w:marRight w:val="0"/>
              <w:marTop w:val="0"/>
              <w:marBottom w:val="0"/>
              <w:divBdr>
                <w:top w:val="none" w:sz="0" w:space="0" w:color="auto"/>
                <w:left w:val="none" w:sz="0" w:space="0" w:color="auto"/>
                <w:bottom w:val="none" w:sz="0" w:space="0" w:color="auto"/>
                <w:right w:val="none" w:sz="0" w:space="0" w:color="auto"/>
              </w:divBdr>
            </w:div>
            <w:div w:id="1496149060">
              <w:marLeft w:val="0"/>
              <w:marRight w:val="0"/>
              <w:marTop w:val="0"/>
              <w:marBottom w:val="0"/>
              <w:divBdr>
                <w:top w:val="none" w:sz="0" w:space="0" w:color="auto"/>
                <w:left w:val="none" w:sz="0" w:space="0" w:color="auto"/>
                <w:bottom w:val="none" w:sz="0" w:space="0" w:color="auto"/>
                <w:right w:val="none" w:sz="0" w:space="0" w:color="auto"/>
              </w:divBdr>
            </w:div>
            <w:div w:id="67003743">
              <w:marLeft w:val="0"/>
              <w:marRight w:val="0"/>
              <w:marTop w:val="0"/>
              <w:marBottom w:val="0"/>
              <w:divBdr>
                <w:top w:val="none" w:sz="0" w:space="0" w:color="auto"/>
                <w:left w:val="none" w:sz="0" w:space="0" w:color="auto"/>
                <w:bottom w:val="none" w:sz="0" w:space="0" w:color="auto"/>
                <w:right w:val="none" w:sz="0" w:space="0" w:color="auto"/>
              </w:divBdr>
            </w:div>
            <w:div w:id="579826640">
              <w:marLeft w:val="0"/>
              <w:marRight w:val="0"/>
              <w:marTop w:val="0"/>
              <w:marBottom w:val="0"/>
              <w:divBdr>
                <w:top w:val="none" w:sz="0" w:space="0" w:color="auto"/>
                <w:left w:val="none" w:sz="0" w:space="0" w:color="auto"/>
                <w:bottom w:val="none" w:sz="0" w:space="0" w:color="auto"/>
                <w:right w:val="none" w:sz="0" w:space="0" w:color="auto"/>
              </w:divBdr>
            </w:div>
            <w:div w:id="1611626738">
              <w:marLeft w:val="0"/>
              <w:marRight w:val="0"/>
              <w:marTop w:val="0"/>
              <w:marBottom w:val="0"/>
              <w:divBdr>
                <w:top w:val="none" w:sz="0" w:space="0" w:color="auto"/>
                <w:left w:val="none" w:sz="0" w:space="0" w:color="auto"/>
                <w:bottom w:val="none" w:sz="0" w:space="0" w:color="auto"/>
                <w:right w:val="none" w:sz="0" w:space="0" w:color="auto"/>
              </w:divBdr>
            </w:div>
            <w:div w:id="89785285">
              <w:marLeft w:val="0"/>
              <w:marRight w:val="0"/>
              <w:marTop w:val="0"/>
              <w:marBottom w:val="0"/>
              <w:divBdr>
                <w:top w:val="none" w:sz="0" w:space="0" w:color="auto"/>
                <w:left w:val="none" w:sz="0" w:space="0" w:color="auto"/>
                <w:bottom w:val="none" w:sz="0" w:space="0" w:color="auto"/>
                <w:right w:val="none" w:sz="0" w:space="0" w:color="auto"/>
              </w:divBdr>
            </w:div>
            <w:div w:id="728381547">
              <w:marLeft w:val="0"/>
              <w:marRight w:val="0"/>
              <w:marTop w:val="0"/>
              <w:marBottom w:val="0"/>
              <w:divBdr>
                <w:top w:val="none" w:sz="0" w:space="0" w:color="auto"/>
                <w:left w:val="none" w:sz="0" w:space="0" w:color="auto"/>
                <w:bottom w:val="none" w:sz="0" w:space="0" w:color="auto"/>
                <w:right w:val="none" w:sz="0" w:space="0" w:color="auto"/>
              </w:divBdr>
            </w:div>
            <w:div w:id="2075007407">
              <w:marLeft w:val="0"/>
              <w:marRight w:val="0"/>
              <w:marTop w:val="0"/>
              <w:marBottom w:val="0"/>
              <w:divBdr>
                <w:top w:val="none" w:sz="0" w:space="0" w:color="auto"/>
                <w:left w:val="none" w:sz="0" w:space="0" w:color="auto"/>
                <w:bottom w:val="none" w:sz="0" w:space="0" w:color="auto"/>
                <w:right w:val="none" w:sz="0" w:space="0" w:color="auto"/>
              </w:divBdr>
            </w:div>
            <w:div w:id="1309506821">
              <w:marLeft w:val="0"/>
              <w:marRight w:val="0"/>
              <w:marTop w:val="0"/>
              <w:marBottom w:val="0"/>
              <w:divBdr>
                <w:top w:val="none" w:sz="0" w:space="0" w:color="auto"/>
                <w:left w:val="none" w:sz="0" w:space="0" w:color="auto"/>
                <w:bottom w:val="none" w:sz="0" w:space="0" w:color="auto"/>
                <w:right w:val="none" w:sz="0" w:space="0" w:color="auto"/>
              </w:divBdr>
            </w:div>
            <w:div w:id="1317487884">
              <w:marLeft w:val="0"/>
              <w:marRight w:val="0"/>
              <w:marTop w:val="0"/>
              <w:marBottom w:val="0"/>
              <w:divBdr>
                <w:top w:val="none" w:sz="0" w:space="0" w:color="auto"/>
                <w:left w:val="none" w:sz="0" w:space="0" w:color="auto"/>
                <w:bottom w:val="none" w:sz="0" w:space="0" w:color="auto"/>
                <w:right w:val="none" w:sz="0" w:space="0" w:color="auto"/>
              </w:divBdr>
            </w:div>
            <w:div w:id="2019650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57162">
      <w:bodyDiv w:val="1"/>
      <w:marLeft w:val="0"/>
      <w:marRight w:val="0"/>
      <w:marTop w:val="0"/>
      <w:marBottom w:val="0"/>
      <w:divBdr>
        <w:top w:val="none" w:sz="0" w:space="0" w:color="auto"/>
        <w:left w:val="none" w:sz="0" w:space="0" w:color="auto"/>
        <w:bottom w:val="none" w:sz="0" w:space="0" w:color="auto"/>
        <w:right w:val="none" w:sz="0" w:space="0" w:color="auto"/>
      </w:divBdr>
    </w:div>
    <w:div w:id="436950852">
      <w:bodyDiv w:val="1"/>
      <w:marLeft w:val="0"/>
      <w:marRight w:val="0"/>
      <w:marTop w:val="0"/>
      <w:marBottom w:val="0"/>
      <w:divBdr>
        <w:top w:val="none" w:sz="0" w:space="0" w:color="auto"/>
        <w:left w:val="none" w:sz="0" w:space="0" w:color="auto"/>
        <w:bottom w:val="none" w:sz="0" w:space="0" w:color="auto"/>
        <w:right w:val="none" w:sz="0" w:space="0" w:color="auto"/>
      </w:divBdr>
      <w:divsChild>
        <w:div w:id="1219440805">
          <w:marLeft w:val="0"/>
          <w:marRight w:val="0"/>
          <w:marTop w:val="0"/>
          <w:marBottom w:val="0"/>
          <w:divBdr>
            <w:top w:val="none" w:sz="0" w:space="0" w:color="auto"/>
            <w:left w:val="none" w:sz="0" w:space="0" w:color="auto"/>
            <w:bottom w:val="none" w:sz="0" w:space="0" w:color="auto"/>
            <w:right w:val="none" w:sz="0" w:space="0" w:color="auto"/>
          </w:divBdr>
        </w:div>
        <w:div w:id="944188944">
          <w:marLeft w:val="0"/>
          <w:marRight w:val="0"/>
          <w:marTop w:val="0"/>
          <w:marBottom w:val="0"/>
          <w:divBdr>
            <w:top w:val="none" w:sz="0" w:space="0" w:color="auto"/>
            <w:left w:val="none" w:sz="0" w:space="0" w:color="auto"/>
            <w:bottom w:val="none" w:sz="0" w:space="0" w:color="auto"/>
            <w:right w:val="none" w:sz="0" w:space="0" w:color="auto"/>
          </w:divBdr>
        </w:div>
        <w:div w:id="796874719">
          <w:marLeft w:val="0"/>
          <w:marRight w:val="0"/>
          <w:marTop w:val="0"/>
          <w:marBottom w:val="0"/>
          <w:divBdr>
            <w:top w:val="none" w:sz="0" w:space="0" w:color="auto"/>
            <w:left w:val="none" w:sz="0" w:space="0" w:color="auto"/>
            <w:bottom w:val="none" w:sz="0" w:space="0" w:color="auto"/>
            <w:right w:val="none" w:sz="0" w:space="0" w:color="auto"/>
          </w:divBdr>
        </w:div>
        <w:div w:id="683095631">
          <w:marLeft w:val="0"/>
          <w:marRight w:val="0"/>
          <w:marTop w:val="0"/>
          <w:marBottom w:val="0"/>
          <w:divBdr>
            <w:top w:val="none" w:sz="0" w:space="0" w:color="auto"/>
            <w:left w:val="none" w:sz="0" w:space="0" w:color="auto"/>
            <w:bottom w:val="none" w:sz="0" w:space="0" w:color="auto"/>
            <w:right w:val="none" w:sz="0" w:space="0" w:color="auto"/>
          </w:divBdr>
        </w:div>
      </w:divsChild>
    </w:div>
    <w:div w:id="472334041">
      <w:bodyDiv w:val="1"/>
      <w:marLeft w:val="0"/>
      <w:marRight w:val="0"/>
      <w:marTop w:val="0"/>
      <w:marBottom w:val="0"/>
      <w:divBdr>
        <w:top w:val="none" w:sz="0" w:space="0" w:color="auto"/>
        <w:left w:val="none" w:sz="0" w:space="0" w:color="auto"/>
        <w:bottom w:val="none" w:sz="0" w:space="0" w:color="auto"/>
        <w:right w:val="none" w:sz="0" w:space="0" w:color="auto"/>
      </w:divBdr>
    </w:div>
    <w:div w:id="672949853">
      <w:bodyDiv w:val="1"/>
      <w:marLeft w:val="0"/>
      <w:marRight w:val="0"/>
      <w:marTop w:val="0"/>
      <w:marBottom w:val="0"/>
      <w:divBdr>
        <w:top w:val="none" w:sz="0" w:space="0" w:color="auto"/>
        <w:left w:val="none" w:sz="0" w:space="0" w:color="auto"/>
        <w:bottom w:val="none" w:sz="0" w:space="0" w:color="auto"/>
        <w:right w:val="none" w:sz="0" w:space="0" w:color="auto"/>
      </w:divBdr>
    </w:div>
    <w:div w:id="2101020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footer" Target="footer6.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yperlink" Target="mailto:Marie-Laurence.Drillon@eesc.europa.eu" TargetMode="External"/><Relationship Id="rId17" Type="http://schemas.openxmlformats.org/officeDocument/2006/relationships/header" Target="header3.xml"/><Relationship Id="rId25"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s://sdgs.un.org/goal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footer" Target="footer4.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law-tracker.europa.eu/joint-legislative-portal/homepage?lang=en"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eader" Target="header5.xm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eesc.europa.eu/lt/our-work/opinions-information-reports/information-reports/social-media-and-ai-algorithms-ensuring-right-accurate-information-and-visibility-high-quality-content-across-europe" TargetMode="External"/><Relationship Id="rId2" Type="http://schemas.openxmlformats.org/officeDocument/2006/relationships/hyperlink" Target="https://eur-lex.europa.eu/legal-content/lt/TXT/PDF/?uri=CELEX:52007DC0160" TargetMode="External"/><Relationship Id="rId1" Type="http://schemas.openxmlformats.org/officeDocument/2006/relationships/hyperlink" Target="https://www.consilium.europa.eu/media/qa3lblga/euco-conclusions-27062024-en.pdf" TargetMode="External"/><Relationship Id="rId4" Type="http://schemas.openxmlformats.org/officeDocument/2006/relationships/hyperlink" Target="https://www.eeas.europa.eu/delegations/vienna-international-organisations/eu-statement-response-report-co-chairs-geneva-international-discussions_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M Document" ma:contentTypeID="0x010100EA97B91038054C99906057A708A1480A004B94E0CD93B68F4F96D67EEBEC8A7176" ma:contentTypeVersion="4" ma:contentTypeDescription="Defines the documents for Document Manager V2" ma:contentTypeScope="" ma:versionID="56661591a508277d6262203e4557b8ae">
  <xsd:schema xmlns:xsd="http://www.w3.org/2001/XMLSchema" xmlns:xs="http://www.w3.org/2001/XMLSchema" xmlns:p="http://schemas.microsoft.com/office/2006/metadata/properties" xmlns:ns2="1a33af13-4045-4f88-9d7b-618e30f79918" xmlns:ns3="http://schemas.microsoft.com/sharepoint/v3/fields" xmlns:ns4="a3e83899-37aa-47c6-ba54-4ea80e9c17cf" targetNamespace="http://schemas.microsoft.com/office/2006/metadata/properties" ma:root="true" ma:fieldsID="1ddc428e300a307dc1c6e67e6931f8cc" ns2:_="" ns3:_="" ns4:_="">
    <xsd:import namespace="1a33af13-4045-4f88-9d7b-618e30f79918"/>
    <xsd:import namespace="http://schemas.microsoft.com/sharepoint/v3/fields"/>
    <xsd:import namespace="a3e83899-37aa-47c6-ba54-4ea80e9c17cf"/>
    <xsd:element name="properties">
      <xsd:complexType>
        <xsd:sequence>
          <xsd:element name="documentManagement">
            <xsd:complexType>
              <xsd:all>
                <xsd:element ref="ns2:_dlc_DocId" minOccurs="0"/>
                <xsd:element ref="ns2:_dlc_DocIdUrl" minOccurs="0"/>
                <xsd:element ref="ns2:_dlc_DocIdPersistId" minOccurs="0"/>
                <xsd:element ref="ns2:ProductionDate" minOccurs="0"/>
                <xsd:element ref="ns2:OriginalSender" minOccurs="0"/>
                <xsd:element ref="ns3:DocumentLanguage_0" minOccurs="0"/>
                <xsd:element ref="ns2:DossierNumber" minOccurs="0"/>
                <xsd:element ref="ns4:MeetingNumber" minOccurs="0"/>
                <xsd:element ref="ns2:Rapporteur" minOccurs="0"/>
                <xsd:element ref="ns2:AdoptionDate" minOccurs="0"/>
                <xsd:element ref="ns3:Confidentiality_0" minOccurs="0"/>
                <xsd:element ref="ns2:TaxCatchAll" minOccurs="0"/>
                <xsd:element ref="ns2:TaxCatchAllLabel" minOccurs="0"/>
                <xsd:element ref="ns3:DocumentSource_0" minOccurs="0"/>
                <xsd:element ref="ns4:DocumentNumber" minOccurs="0"/>
                <xsd:element ref="ns2:MeetingDate" minOccurs="0"/>
                <xsd:element ref="ns3:OriginalLanguage_0" minOccurs="0"/>
                <xsd:element ref="ns2:Procedure" minOccurs="0"/>
                <xsd:element ref="ns3:VersionStatus_0" minOccurs="0"/>
                <xsd:element ref="ns3:DocumentStatus_0" minOccurs="0"/>
                <xsd:element ref="ns2:DocumentYear"/>
                <xsd:element ref="ns3:DocumentType_0" minOccurs="0"/>
                <xsd:element ref="ns2:DocumentPart" minOccurs="0"/>
                <xsd:element ref="ns3:MeetingName_0" minOccurs="0"/>
                <xsd:element ref="ns3:AvailableTranslations_0" minOccurs="0"/>
                <xsd:element ref="ns2:FicheYear" minOccurs="0"/>
                <xsd:element ref="ns2:RequestingService" minOccurs="0"/>
                <xsd:element ref="ns2:FicheNumber" minOccurs="0"/>
                <xsd:element ref="ns3:DossierName_0" minOccurs="0"/>
                <xsd:element ref="ns2:Documen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33af13-4045-4f88-9d7b-618e30f7991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ProductionDate" ma:index="12" nillable="true" ma:displayName="Production Date" ma:format="DateOnly" ma:internalName="ProductionDate">
      <xsd:simpleType>
        <xsd:restriction base="dms:DateTime"/>
      </xsd:simpleType>
    </xsd:element>
    <xsd:element name="OriginalSender" ma:index="13" nillable="true" ma:displayName="Original Sender" ma:internalName="OriginalSend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ssierNumber" ma:index="15" nillable="true" ma:displayName="Dossier Number" ma:decimals="0" ma:internalName="DossierNumber">
      <xsd:simpleType>
        <xsd:restriction base="dms:Unknown"/>
      </xsd:simpleType>
    </xsd:element>
    <xsd:element name="Rapporteur" ma:index="17" nillable="true" ma:displayName="Rapporteur" ma:internalName="Rapporteur">
      <xsd:simpleType>
        <xsd:restriction base="dms:Text"/>
      </xsd:simpleType>
    </xsd:element>
    <xsd:element name="AdoptionDate" ma:index="18" nillable="true" ma:displayName="Adoption Date" ma:format="DateOnly" ma:internalName="AdoptionDate">
      <xsd:simpleType>
        <xsd:restriction base="dms:DateTime"/>
      </xsd:simpleType>
    </xsd:element>
    <xsd:element name="TaxCatchAll" ma:index="20" nillable="true" ma:displayName="Taxonomy Catch All Column" ma:hidden="true" ma:list="{c795c8aa-ad9d-4177-b7c3-7e58e1f2dfdf}" ma:internalName="TaxCatchAll" ma:showField="CatchAllData"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TaxCatchAllLabel" ma:index="21" nillable="true" ma:displayName="Taxonomy Catch All Column1" ma:hidden="true" ma:list="{c795c8aa-ad9d-4177-b7c3-7e58e1f2dfdf}" ma:internalName="TaxCatchAllLabel" ma:readOnly="true" ma:showField="CatchAllDataLabel"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MeetingDate" ma:index="26" nillable="true" ma:displayName="Meeting Date" ma:format="DateOnly" ma:internalName="MeetingDate">
      <xsd:simpleType>
        <xsd:restriction base="dms:DateTime"/>
      </xsd:simpleType>
    </xsd:element>
    <xsd:element name="Procedure" ma:index="29" nillable="true" ma:displayName="Procedure" ma:internalName="Procedure">
      <xsd:simpleType>
        <xsd:restriction base="dms:Text"/>
      </xsd:simpleType>
    </xsd:element>
    <xsd:element name="DocumentYear" ma:index="34" ma:displayName="Document Year" ma:decimals="0" ma:internalName="DocumentYear">
      <xsd:simpleType>
        <xsd:restriction base="dms:Unknown"/>
      </xsd:simpleType>
    </xsd:element>
    <xsd:element name="DocumentPart" ma:index="37" nillable="true" ma:displayName="Document Part" ma:decimals="0" ma:internalName="DocumentPart">
      <xsd:simpleType>
        <xsd:restriction base="dms:Unknown"/>
      </xsd:simpleType>
    </xsd:element>
    <xsd:element name="FicheYear" ma:index="42" nillable="true" ma:displayName="Fiche Year" ma:decimals="0" ma:internalName="FicheYear">
      <xsd:simpleType>
        <xsd:restriction base="dms:Unknown"/>
      </xsd:simpleType>
    </xsd:element>
    <xsd:element name="RequestingService" ma:index="43" nillable="true" ma:displayName="Requesting Service" ma:internalName="RequestingService">
      <xsd:simpleType>
        <xsd:restriction base="dms:Text"/>
      </xsd:simpleType>
    </xsd:element>
    <xsd:element name="FicheNumber" ma:index="44" nillable="true" ma:displayName="Fiche Number" ma:decimals="0" ma:internalName="FicheNumber">
      <xsd:simpleType>
        <xsd:restriction base="dms:Unknown"/>
      </xsd:simpleType>
    </xsd:element>
    <xsd:element name="DocumentVersion" ma:index="47" nillable="true" ma:displayName="Document Version" ma:decimals="0" ma:internalName="DocumentVersion">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DocumentLanguage_0" ma:index="14" nillable="true" ma:taxonomy="true" ma:internalName="DocumentLanguage_0" ma:taxonomyFieldName="DocumentLanguage" ma:displayName="Document Language" ma:fieldId="{ee5c55ab-e8dd-441f-8840-fdce66906fe3}"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Confidentiality_0" ma:index="19" nillable="true" ma:taxonomy="true" ma:internalName="Confidentiality_0" ma:taxonomyFieldName="Confidentiality" ma:displayName="Confidentiality" ma:fieldId="{ee5c4bfe-2b62-4831-9131-22edf8f3665c}" ma:sspId="5004ddca-ed1a-45fa-b2df-508b3c5dfc98" ma:termSetId="11d040ac-3a9a-4d4c-b9cf-922342a701d6" ma:anchorId="00000000-0000-0000-0000-000000000000" ma:open="false" ma:isKeyword="false">
      <xsd:complexType>
        <xsd:sequence>
          <xsd:element ref="pc:Terms" minOccurs="0" maxOccurs="1"/>
        </xsd:sequence>
      </xsd:complexType>
    </xsd:element>
    <xsd:element name="DocumentSource_0" ma:index="23" ma:taxonomy="true" ma:internalName="DocumentSource_0" ma:taxonomyFieldName="DocumentSource" ma:displayName="Document Source" ma:fieldId="{ee5c1c29-f257-4aae-8e5e-529c0040e17a}" ma:sspId="5004ddca-ed1a-45fa-b2df-508b3c5dfc98" ma:termSetId="ca143256-a90d-4d26-b249-02646b17c0c5" ma:anchorId="00000000-0000-0000-0000-000000000000" ma:open="false" ma:isKeyword="false">
      <xsd:complexType>
        <xsd:sequence>
          <xsd:element ref="pc:Terms" minOccurs="0" maxOccurs="1"/>
        </xsd:sequence>
      </xsd:complexType>
    </xsd:element>
    <xsd:element name="OriginalLanguage_0" ma:index="27" nillable="true" ma:taxonomy="true" ma:internalName="OriginalLanguage_0" ma:taxonomyFieldName="OriginalLanguage" ma:displayName="Original Language" ma:fieldId="{ee5ce750-ff6c-4875-8192-ef11fb51efba}"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VersionStatus_0" ma:index="30" ma:taxonomy="true" ma:internalName="VersionStatus_0" ma:taxonomyFieldName="VersionStatus" ma:displayName="Version Status" ma:indexed="true" ma:fieldId="{ee5cb94b-3df1-4df3-b49b-6e47ce2a7e87}" ma:sspId="5004ddca-ed1a-45fa-b2df-508b3c5dfc98" ma:termSetId="adeca67b-2bdd-4d0f-b3af-a690b4c6d95d" ma:anchorId="00000000-0000-0000-0000-000000000000" ma:open="false" ma:isKeyword="false">
      <xsd:complexType>
        <xsd:sequence>
          <xsd:element ref="pc:Terms" minOccurs="0" maxOccurs="1"/>
        </xsd:sequence>
      </xsd:complexType>
    </xsd:element>
    <xsd:element name="DocumentStatus_0" ma:index="32" nillable="true" ma:taxonomy="true" ma:internalName="DocumentStatus_0" ma:taxonomyFieldName="DocumentStatus" ma:displayName="Document Status" ma:fieldId="{ee5cab93-ac4d-4e2f-b298-e5342324388c}" ma:sspId="5004ddca-ed1a-45fa-b2df-508b3c5dfc98" ma:termSetId="54b85ca4-9023-4cbf-8e96-81af7735228f" ma:anchorId="00000000-0000-0000-0000-000000000000" ma:open="false" ma:isKeyword="false">
      <xsd:complexType>
        <xsd:sequence>
          <xsd:element ref="pc:Terms" minOccurs="0" maxOccurs="1"/>
        </xsd:sequence>
      </xsd:complexType>
    </xsd:element>
    <xsd:element name="DocumentType_0" ma:index="35" nillable="true" ma:taxonomy="true" ma:internalName="DocumentType_0" ma:taxonomyFieldName="DocumentType" ma:displayName="Document Type" ma:indexed="true" ma:fieldId="{ee5cf431-2d10-41e6-bd88-1b6bd5b84f5f}" ma:sspId="5004ddca-ed1a-45fa-b2df-508b3c5dfc98" ma:termSetId="67a76952-94e0-437b-9a60-5085083dde02" ma:anchorId="00000000-0000-0000-0000-000000000000" ma:open="false" ma:isKeyword="false">
      <xsd:complexType>
        <xsd:sequence>
          <xsd:element ref="pc:Terms" minOccurs="0" maxOccurs="1"/>
        </xsd:sequence>
      </xsd:complexType>
    </xsd:element>
    <xsd:element name="MeetingName_0" ma:index="38" nillable="true" ma:taxonomy="true" ma:internalName="MeetingName_0" ma:taxonomyFieldName="MeetingName" ma:displayName="Meeting Name" ma:indexed="true" ma:fieldId="{ee5c9b55-8403-4f9e-a156-b6ce5b7b9456}" ma:sspId="5004ddca-ed1a-45fa-b2df-508b3c5dfc98" ma:termSetId="a04e9634-de73-4a41-8cb5-e1efdb89060c" ma:anchorId="00000000-0000-0000-0000-000000000000" ma:open="false" ma:isKeyword="false">
      <xsd:complexType>
        <xsd:sequence>
          <xsd:element ref="pc:Terms" minOccurs="0" maxOccurs="1"/>
        </xsd:sequence>
      </xsd:complexType>
    </xsd:element>
    <xsd:element name="AvailableTranslations_0" ma:index="40" nillable="true" ma:taxonomy="true" ma:internalName="AvailableTranslations_0" ma:taxonomyFieldName="AvailableTranslations" ma:displayName="Available Translations" ma:fieldId="{ee5c7c01-1a65-4138-aa64-80e01e34d799}"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DossierName_0" ma:index="45" nillable="true" ma:taxonomy="true" ma:internalName="DossierName_0" ma:taxonomyFieldName="DossierName" ma:displayName="Dossier Name" ma:fieldId="{ee5cf7da-503b-4593-8db2-4f0e09c901fd}" ma:sspId="5004ddca-ed1a-45fa-b2df-508b3c5dfc98" ma:termSetId="2b392f04-1222-4352-87c1-6fd60ec33b64"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e83899-37aa-47c6-ba54-4ea80e9c17cf" elementFormDefault="qualified">
    <xsd:import namespace="http://schemas.microsoft.com/office/2006/documentManagement/types"/>
    <xsd:import namespace="http://schemas.microsoft.com/office/infopath/2007/PartnerControls"/>
    <xsd:element name="MeetingNumber" ma:index="16" nillable="true" ma:displayName="Meeting Number" ma:decimals="0" ma:indexed="true" ma:internalName="MeetingNumber">
      <xsd:simpleType>
        <xsd:restriction base="dms:Unknown"/>
      </xsd:simpleType>
    </xsd:element>
    <xsd:element name="DocumentNumber" ma:index="25" nillable="true" ma:displayName="Document Number" ma:decimals="0" ma:indexed="true" ma:internalName="DocumentNumber">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1a33af13-4045-4f88-9d7b-618e30f79918">A6WAAD5KZT2Q-235352946-8271</_dlc_DocId>
    <_dlc_DocIdUrl xmlns="1a33af13-4045-4f88-9d7b-618e30f79918">
      <Url>http://dm/eesc/2025/_layouts/15/DocIdRedir.aspx?ID=A6WAAD5KZT2Q-235352946-8271</Url>
      <Description>A6WAAD5KZT2Q-235352946-8271</Description>
    </_dlc_DocIdUrl>
    <DocumentType_0 xmlns="http://schemas.microsoft.com/sharepoint/v3/fields">
      <Terms xmlns="http://schemas.microsoft.com/office/infopath/2007/PartnerControls">
        <TermInfo xmlns="http://schemas.microsoft.com/office/infopath/2007/PartnerControls">
          <TermName xmlns="http://schemas.microsoft.com/office/infopath/2007/PartnerControls">AS</TermName>
          <TermId xmlns="http://schemas.microsoft.com/office/infopath/2007/PartnerControls">c7a748eb-f6f2-4d9d-8b5a-af0cafebc224</TermId>
        </TermInfo>
      </Terms>
    </DocumentType_0>
    <Procedure xmlns="1a33af13-4045-4f88-9d7b-618e30f79918" xsi:nil="true"/>
    <DocumentSource_0 xmlns="http://schemas.microsoft.com/sharepoint/v3/fields">
      <Terms xmlns="http://schemas.microsoft.com/office/infopath/2007/PartnerControls">
        <TermInfo xmlns="http://schemas.microsoft.com/office/infopath/2007/PartnerControls">
          <TermName xmlns="http://schemas.microsoft.com/office/infopath/2007/PartnerControls">EESC</TermName>
          <TermId xmlns="http://schemas.microsoft.com/office/infopath/2007/PartnerControls">422833ec-8d7e-4e65-8e4e-8bed07ffb729</TermId>
        </TermInfo>
      </Terms>
    </DocumentSource_0>
    <ProductionDate xmlns="1a33af13-4045-4f88-9d7b-618e30f79918">2025-11-11T12:00:00+00:00</ProductionDate>
    <DocumentNumber xmlns="a3e83899-37aa-47c6-ba54-4ea80e9c17cf">2608</DocumentNumber>
    <FicheYear xmlns="1a33af13-4045-4f88-9d7b-618e30f79918" xsi:nil="true"/>
    <DossierNumber xmlns="1a33af13-4045-4f88-9d7b-618e30f79918">609</DossierNumber>
    <Confidentiality_0 xmlns="http://schemas.microsoft.com/sharepoint/v3/fields">
      <Terms xmlns="http://schemas.microsoft.com/office/infopath/2007/PartnerControls">
        <TermInfo xmlns="http://schemas.microsoft.com/office/infopath/2007/PartnerControls">
          <TermName xmlns="http://schemas.microsoft.com/office/infopath/2007/PartnerControls">Unrestricted</TermName>
          <TermId xmlns="http://schemas.microsoft.com/office/infopath/2007/PartnerControls">826e22d7-d029-4ec0-a450-0c28ff673572</TermId>
        </TermInfo>
      </Terms>
    </Confidentiality_0>
    <MeetingDate xmlns="1a33af13-4045-4f88-9d7b-618e30f79918" xsi:nil="true"/>
    <TaxCatchAll xmlns="1a33af13-4045-4f88-9d7b-618e30f79918">
      <Value>37</Value>
      <Value>67</Value>
      <Value>50</Value>
      <Value>47</Value>
      <Value>46</Value>
      <Value>43</Value>
      <Value>42</Value>
      <Value>41</Value>
      <Value>40</Value>
      <Value>39</Value>
      <Value>126</Value>
      <Value>36</Value>
      <Value>35</Value>
      <Value>34</Value>
      <Value>33</Value>
      <Value>32</Value>
      <Value>31</Value>
      <Value>30</Value>
      <Value>29</Value>
      <Value>28</Value>
      <Value>27</Value>
      <Value>24</Value>
      <Value>23</Value>
      <Value>16</Value>
      <Value>15</Value>
      <Value>13</Value>
      <Value>12</Value>
      <Value>8</Value>
      <Value>5</Value>
      <Value>2</Value>
      <Value>1</Value>
    </TaxCatchAll>
    <DocumentLanguage_0 xmlns="http://schemas.microsoft.com/sharepoint/v3/fields">
      <Terms xmlns="http://schemas.microsoft.com/office/infopath/2007/PartnerControls">
        <TermInfo xmlns="http://schemas.microsoft.com/office/infopath/2007/PartnerControls">
          <TermName xmlns="http://schemas.microsoft.com/office/infopath/2007/PartnerControls">LT</TermName>
          <TermId xmlns="http://schemas.microsoft.com/office/infopath/2007/PartnerControls">a7ff5ce7-6123-4f68-865a-a57c31810414</TermId>
        </TermInfo>
      </Terms>
    </DocumentLanguage_0>
    <Rapporteur xmlns="1a33af13-4045-4f88-9d7b-618e30f79918">ANGELOVA</Rapporteur>
    <VersionStatus_0 xmlns="http://schemas.microsoft.com/sharepoint/v3/fields">
      <Terms xmlns="http://schemas.microsoft.com/office/infopath/2007/PartnerControls">
        <TermInfo xmlns="http://schemas.microsoft.com/office/infopath/2007/PartnerControls">
          <TermName xmlns="http://schemas.microsoft.com/office/infopath/2007/PartnerControls">Final</TermName>
          <TermId xmlns="http://schemas.microsoft.com/office/infopath/2007/PartnerControls">ea5e6674-7b27-4bac-b091-73adbb394efe</TermId>
        </TermInfo>
      </Terms>
    </VersionStatus_0>
    <DocumentYear xmlns="1a33af13-4045-4f88-9d7b-618e30f79918">2025</DocumentYear>
    <FicheNumber xmlns="1a33af13-4045-4f88-9d7b-618e30f79918">296257</FicheNumber>
    <OriginalSender xmlns="1a33af13-4045-4f88-9d7b-618e30f79918">
      <UserInfo>
        <DisplayName>Acaite Ugne</DisplayName>
        <AccountId>1492</AccountId>
        <AccountType/>
      </UserInfo>
    </OriginalSender>
    <DocumentPart xmlns="1a33af13-4045-4f88-9d7b-618e30f79918">0</DocumentPart>
    <AdoptionDate xmlns="1a33af13-4045-4f88-9d7b-618e30f79918" xsi:nil="true"/>
    <RequestingService xmlns="1a33af13-4045-4f88-9d7b-618e30f79918">Relations extérieures</RequestingService>
    <MeetingName_0 xmlns="http://schemas.microsoft.com/sharepoint/v3/fields">
      <Terms xmlns="http://schemas.microsoft.com/office/infopath/2007/PartnerControls">
        <TermInfo xmlns="http://schemas.microsoft.com/office/infopath/2007/PartnerControls">
          <TermName xmlns="http://schemas.microsoft.com/office/infopath/2007/PartnerControls">SPL-CES</TermName>
          <TermId xmlns="http://schemas.microsoft.com/office/infopath/2007/PartnerControls">32d8cb1f-c9ec-4365-95c7-8385a18618ac</TermId>
        </TermInfo>
      </Terms>
    </MeetingName_0>
    <AvailableTranslations_0 xmlns="http://schemas.microsoft.com/sharepoint/v3/fields">
      <Terms xmlns="http://schemas.microsoft.com/office/infopath/2007/PartnerControls">
        <TermInfo xmlns="http://schemas.microsoft.com/office/infopath/2007/PartnerControls">
          <TermName xmlns="http://schemas.microsoft.com/office/infopath/2007/PartnerControls">NL</TermName>
          <TermId xmlns="http://schemas.microsoft.com/office/infopath/2007/PartnerControls">55c6556c-b4f4-441d-9acf-c498d4f838bd</TermId>
        </TermInfo>
        <TermInfo xmlns="http://schemas.microsoft.com/office/infopath/2007/PartnerControls">
          <TermName xmlns="http://schemas.microsoft.com/office/infopath/2007/PartnerControls">ES</TermName>
          <TermId xmlns="http://schemas.microsoft.com/office/infopath/2007/PartnerControls">e7a6b05b-ae16-40c8-add9-68b64b03aeba</TermId>
        </TermInfo>
        <TermInfo xmlns="http://schemas.microsoft.com/office/infopath/2007/PartnerControls">
          <TermName xmlns="http://schemas.microsoft.com/office/infopath/2007/PartnerControls">DA</TermName>
          <TermId xmlns="http://schemas.microsoft.com/office/infopath/2007/PartnerControls">5d49c027-8956-412b-aa16-e85a0f96ad0e</TermId>
        </TermInfo>
        <TermInfo xmlns="http://schemas.microsoft.com/office/infopath/2007/PartnerControls">
          <TermName xmlns="http://schemas.microsoft.com/office/infopath/2007/PartnerControls">MT</TermName>
          <TermId xmlns="http://schemas.microsoft.com/office/infopath/2007/PartnerControls">7df99101-6854-4a26-b53a-b88c0da02c26</TermId>
        </TermInfo>
        <TermInfo xmlns="http://schemas.microsoft.com/office/infopath/2007/PartnerControls">
          <TermName xmlns="http://schemas.microsoft.com/office/infopath/2007/PartnerControls">SL</TermName>
          <TermId xmlns="http://schemas.microsoft.com/office/infopath/2007/PartnerControls">98a412ae-eb01-49e9-ae3d-585a81724cfc</TermId>
        </TermInfo>
        <TermInfo xmlns="http://schemas.microsoft.com/office/infopath/2007/PartnerControls">
          <TermName xmlns="http://schemas.microsoft.com/office/infopath/2007/PartnerControls">SV</TermName>
          <TermId xmlns="http://schemas.microsoft.com/office/infopath/2007/PartnerControls">c2ed69e7-a339-43d7-8f22-d93680a92aa0</TermId>
        </TermInfo>
        <TermInfo xmlns="http://schemas.microsoft.com/office/infopath/2007/PartnerControls">
          <TermName xmlns="http://schemas.microsoft.com/office/infopath/2007/PartnerControls">EN</TermName>
          <TermId xmlns="http://schemas.microsoft.com/office/infopath/2007/PartnerControls">f2175f21-25d7-44a3-96da-d6a61b075e1b</TermId>
        </TermInfo>
        <TermInfo xmlns="http://schemas.microsoft.com/office/infopath/2007/PartnerControls">
          <TermName xmlns="http://schemas.microsoft.com/office/infopath/2007/PartnerControls">PL</TermName>
          <TermId xmlns="http://schemas.microsoft.com/office/infopath/2007/PartnerControls">1e03da61-4678-4e07-b136-b5024ca9197b</TermId>
        </TermInfo>
        <TermInfo xmlns="http://schemas.microsoft.com/office/infopath/2007/PartnerControls">
          <TermName xmlns="http://schemas.microsoft.com/office/infopath/2007/PartnerControls">LV</TermName>
          <TermId xmlns="http://schemas.microsoft.com/office/infopath/2007/PartnerControls">46f7e311-5d9f-4663-b433-18aeccb7ace7</TermId>
        </TermInfo>
        <TermInfo xmlns="http://schemas.microsoft.com/office/infopath/2007/PartnerControls">
          <TermName xmlns="http://schemas.microsoft.com/office/infopath/2007/PartnerControls">HR</TermName>
          <TermId xmlns="http://schemas.microsoft.com/office/infopath/2007/PartnerControls">2f555653-ed1a-4fe6-8362-9082d95989e5</TermId>
        </TermInfo>
        <TermInfo xmlns="http://schemas.microsoft.com/office/infopath/2007/PartnerControls">
          <TermName xmlns="http://schemas.microsoft.com/office/infopath/2007/PartnerControls">FI</TermName>
          <TermId xmlns="http://schemas.microsoft.com/office/infopath/2007/PartnerControls">87606a43-d45f-42d6-b8c9-e1a3457db5b7</TermId>
        </TermInfo>
        <TermInfo xmlns="http://schemas.microsoft.com/office/infopath/2007/PartnerControls">
          <TermName xmlns="http://schemas.microsoft.com/office/infopath/2007/PartnerControls">RO</TermName>
          <TermId xmlns="http://schemas.microsoft.com/office/infopath/2007/PartnerControls">feb747a2-64cd-4299-af12-4833ddc30497</TermId>
        </TermInfo>
        <TermInfo xmlns="http://schemas.microsoft.com/office/infopath/2007/PartnerControls">
          <TermName xmlns="http://schemas.microsoft.com/office/infopath/2007/PartnerControls">FR</TermName>
          <TermId xmlns="http://schemas.microsoft.com/office/infopath/2007/PartnerControls">d2afafd3-4c81-4f60-8f52-ee33f2f54ff3</TermId>
        </TermInfo>
        <TermInfo xmlns="http://schemas.microsoft.com/office/infopath/2007/PartnerControls">
          <TermName xmlns="http://schemas.microsoft.com/office/infopath/2007/PartnerControls">EL</TermName>
          <TermId xmlns="http://schemas.microsoft.com/office/infopath/2007/PartnerControls">6d4f4d51-af9b-4650-94b4-4276bee85c91</TermId>
        </TermInfo>
        <TermInfo xmlns="http://schemas.microsoft.com/office/infopath/2007/PartnerControls">
          <TermName xmlns="http://schemas.microsoft.com/office/infopath/2007/PartnerControls">HU</TermName>
          <TermId xmlns="http://schemas.microsoft.com/office/infopath/2007/PartnerControls">6b229040-c589-4408-b4c1-4285663d20a8</TermId>
        </TermInfo>
        <TermInfo xmlns="http://schemas.microsoft.com/office/infopath/2007/PartnerControls">
          <TermName xmlns="http://schemas.microsoft.com/office/infopath/2007/PartnerControls">LT</TermName>
          <TermId xmlns="http://schemas.microsoft.com/office/infopath/2007/PartnerControls">a7ff5ce7-6123-4f68-865a-a57c31810414</TermId>
        </TermInfo>
        <TermInfo xmlns="http://schemas.microsoft.com/office/infopath/2007/PartnerControls">
          <TermName xmlns="http://schemas.microsoft.com/office/infopath/2007/PartnerControls">SK</TermName>
          <TermId xmlns="http://schemas.microsoft.com/office/infopath/2007/PartnerControls">46d9fce0-ef79-4f71-b89b-cd6aa82426b8</TermId>
        </TermInfo>
        <TermInfo xmlns="http://schemas.microsoft.com/office/infopath/2007/PartnerControls">
          <TermName xmlns="http://schemas.microsoft.com/office/infopath/2007/PartnerControls">BG</TermName>
          <TermId xmlns="http://schemas.microsoft.com/office/infopath/2007/PartnerControls">1a1b3951-7821-4e6a-85f5-5673fc08bd2c</TermId>
        </TermInfo>
        <TermInfo xmlns="http://schemas.microsoft.com/office/infopath/2007/PartnerControls">
          <TermName xmlns="http://schemas.microsoft.com/office/infopath/2007/PartnerControls">DE</TermName>
          <TermId xmlns="http://schemas.microsoft.com/office/infopath/2007/PartnerControls">f6b31e5a-26fa-4935-b661-318e46daf27e</TermId>
        </TermInfo>
        <TermInfo xmlns="http://schemas.microsoft.com/office/infopath/2007/PartnerControls">
          <TermName xmlns="http://schemas.microsoft.com/office/infopath/2007/PartnerControls">CS</TermName>
          <TermId xmlns="http://schemas.microsoft.com/office/infopath/2007/PartnerControls">72f9705b-0217-4fd3-bea2-cbc7ed80e26e</TermId>
        </TermInfo>
        <TermInfo xmlns="http://schemas.microsoft.com/office/infopath/2007/PartnerControls">
          <TermName xmlns="http://schemas.microsoft.com/office/infopath/2007/PartnerControls">ET</TermName>
          <TermId xmlns="http://schemas.microsoft.com/office/infopath/2007/PartnerControls">ff6c3f4c-b02c-4c3c-ab07-2c37995a7a0a</TermId>
        </TermInfo>
        <TermInfo xmlns="http://schemas.microsoft.com/office/infopath/2007/PartnerControls">
          <TermName xmlns="http://schemas.microsoft.com/office/infopath/2007/PartnerControls">PT</TermName>
          <TermId xmlns="http://schemas.microsoft.com/office/infopath/2007/PartnerControls">50ccc04a-eadd-42ae-a0cb-acaf45f812ba</TermId>
        </TermInfo>
        <TermInfo xmlns="http://schemas.microsoft.com/office/infopath/2007/PartnerControls">
          <TermName xmlns="http://schemas.microsoft.com/office/infopath/2007/PartnerControls">GA</TermName>
          <TermId xmlns="http://schemas.microsoft.com/office/infopath/2007/PartnerControls">762d2456-c427-4ecb-b312-af3dad8e258c</TermId>
        </TermInfo>
        <TermInfo xmlns="http://schemas.microsoft.com/office/infopath/2007/PartnerControls">
          <TermName xmlns="http://schemas.microsoft.com/office/infopath/2007/PartnerControls">IT</TermName>
          <TermId xmlns="http://schemas.microsoft.com/office/infopath/2007/PartnerControls">0774613c-01ed-4e5d-a25d-11d2388de825</TermId>
        </TermInfo>
      </Terms>
    </AvailableTranslations_0>
    <DocumentStatus_0 xmlns="http://schemas.microsoft.com/sharepoint/v3/fields">
      <Terms xmlns="http://schemas.microsoft.com/office/infopath/2007/PartnerControls">
        <TermInfo xmlns="http://schemas.microsoft.com/office/infopath/2007/PartnerControls">
          <TermName xmlns="http://schemas.microsoft.com/office/infopath/2007/PartnerControls">TRA</TermName>
          <TermId xmlns="http://schemas.microsoft.com/office/infopath/2007/PartnerControls">150d2a88-1431-44e6-a8ca-0bb753ab8672</TermId>
        </TermInfo>
      </Terms>
    </DocumentStatus_0>
    <OriginalLanguage_0 xmlns="http://schemas.microsoft.com/sharepoint/v3/fields">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f2175f21-25d7-44a3-96da-d6a61b075e1b</TermId>
        </TermInfo>
      </Terms>
    </OriginalLanguage_0>
    <MeetingNumber xmlns="a3e83899-37aa-47c6-ba54-4ea80e9c17cf">601</MeetingNumber>
    <DossierName_0 xmlns="http://schemas.microsoft.com/sharepoint/v3/fields">
      <Terms xmlns="http://schemas.microsoft.com/office/infopath/2007/PartnerControls">
        <TermInfo xmlns="http://schemas.microsoft.com/office/infopath/2007/PartnerControls">
          <TermName xmlns="http://schemas.microsoft.com/office/infopath/2007/PartnerControls">REX</TermName>
          <TermId xmlns="http://schemas.microsoft.com/office/infopath/2007/PartnerControls">6820eaf5-116e-436b-ad9c-156f8a94c2a1</TermId>
        </TermInfo>
      </Terms>
    </DossierName_0>
    <DocumentVersion xmlns="1a33af13-4045-4f88-9d7b-618e30f79918">0</DocumentVersion>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8D01E4D-3A43-4A9C-926E-FACE783C2CB9}">
  <ds:schemaRefs>
    <ds:schemaRef ds:uri="http://schemas.microsoft.com/sharepoint/events"/>
  </ds:schemaRefs>
</ds:datastoreItem>
</file>

<file path=customXml/itemProps2.xml><?xml version="1.0" encoding="utf-8"?>
<ds:datastoreItem xmlns:ds="http://schemas.openxmlformats.org/officeDocument/2006/customXml" ds:itemID="{B11271E3-D4ED-4941-BD8B-DE73B3E103FF}"/>
</file>

<file path=customXml/itemProps3.xml><?xml version="1.0" encoding="utf-8"?>
<ds:datastoreItem xmlns:ds="http://schemas.openxmlformats.org/officeDocument/2006/customXml" ds:itemID="{42678218-4AA3-4600-84FA-6957154768BB}">
  <ds:schemaRefs>
    <ds:schemaRef ds:uri="http://schemas.microsoft.com/office/2006/metadata/properties"/>
    <ds:schemaRef ds:uri="http://schemas.microsoft.com/office/infopath/2007/PartnerControls"/>
    <ds:schemaRef ds:uri="1a33af13-4045-4f88-9d7b-618e30f79918"/>
    <ds:schemaRef ds:uri="http://schemas.microsoft.com/sharepoint/v3/fields"/>
    <ds:schemaRef ds:uri="a3e83899-37aa-47c6-ba54-4ea80e9c17cf"/>
  </ds:schemaRefs>
</ds:datastoreItem>
</file>

<file path=customXml/itemProps4.xml><?xml version="1.0" encoding="utf-8"?>
<ds:datastoreItem xmlns:ds="http://schemas.openxmlformats.org/officeDocument/2006/customXml" ds:itemID="{5917B2AC-CAF8-4BEE-8262-911EA9979E4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3730</Words>
  <Characters>21266</Characters>
  <Application>Microsoft Office Word</Application>
  <DocSecurity>0</DocSecurity>
  <Lines>177</Lines>
  <Paragraphs>49</Paragraphs>
  <ScaleCrop>false</ScaleCrop>
  <HeadingPairs>
    <vt:vector size="2" baseType="variant">
      <vt:variant>
        <vt:lpstr>Title</vt:lpstr>
      </vt:variant>
      <vt:variant>
        <vt:i4>1</vt:i4>
      </vt:variant>
    </vt:vector>
  </HeadingPairs>
  <TitlesOfParts>
    <vt:vector size="1" baseType="lpstr">
      <vt:lpstr>The European Union's strategic approach to the Black Sea region</vt:lpstr>
    </vt:vector>
  </TitlesOfParts>
  <Manager/>
  <Company/>
  <LinksUpToDate>false</LinksUpToDate>
  <CharactersWithSpaces>24947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Europos Sąjungos strateginis požiūris į Juodosios jūros regioną</dc:title>
  <dc:subject>Draft opinion</dc:subject>
  <dc:creator/>
  <cp:keywords>EESC-2025-02608-00-01-PA-TRA-EN</cp:keywords>
  <dc:description>Rapporteur: - ANGELOVA Original language: - EN Date of document: - 31/10/2025 Date of meeting: - 07/11/2025 External documents: - JOIN(2025)135- final Administrator responsible: - Mme DRILLON Marie-Laurence Anne Elisabeth</dc:description>
  <cp:lastModifiedBy/>
  <cp:revision>9</cp:revision>
  <cp:lastPrinted>2016-01-26T08:31:00Z</cp:lastPrinted>
  <dcterms:created xsi:type="dcterms:W3CDTF">2025-11-07T16:39:00Z</dcterms:created>
  <dcterms:modified xsi:type="dcterms:W3CDTF">2025-11-11T15:37:00Z</dcterms:modified>
  <cp:category>REX/609</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ef_formatted">
    <vt:bool>true</vt:bool>
  </property>
  <property fmtid="{D5CDD505-2E9C-101B-9397-08002B2CF9AE}" pid="3" name="Pref_Date">
    <vt:lpwstr>07/11/2025, 31/10/2025, 31/10/2025, 14/10/2025, 25/08/2025, 04/08/2025, 12/04/2024, 03/04/2024, 11/03/2024, 04/03/2024, 04/03/2024, 04/03/2024, 20/12/2023, 17/05/2022, 04/11/2015, 27/10/2015, 19/10/2015, 09/10/2015, 05/10/2015, 05/10/2015, 26/08/2015, 26/</vt:lpwstr>
  </property>
  <property fmtid="{D5CDD505-2E9C-101B-9397-08002B2CF9AE}" pid="4" name="Pref_Time">
    <vt:lpwstr>17:39:19, 14:06:08, 10:02:23, 11:41:35, 15:41:48, 15:56:43, 11:59:36, 08:10:26, 12:03:24, 12:56:55, 12:41:08, 11:08:50, 07:02:01, 13:02:32, 12/10/07, 14:44:02, 16/04/16, 14:09:30, 16:24:55, 16:04:02, 08:56:14, 07:27:56, 17:31:53</vt:lpwstr>
  </property>
  <property fmtid="{D5CDD505-2E9C-101B-9397-08002B2CF9AE}" pid="5" name="Pref_User">
    <vt:lpwstr>pacup, amett, amett, amett, amett, pacup, enied, enied, enied, enied, enied, enied, enied, enied, ssex, enied, amett, tvoc, mreg, mreg, amett, enied, ssex</vt:lpwstr>
  </property>
  <property fmtid="{D5CDD505-2E9C-101B-9397-08002B2CF9AE}" pid="6" name="Pref_FileName">
    <vt:lpwstr>EESC-2025-02608-00-00-AS-TRA-EN-CRR.docx, EESC-2025-02608-00-01-PA-ORI.docx, EESC-2025-02608-00-00-PA-TRA-EN-CRR.docx, EESC-2025-02608-00-00-APA-ORI.docx, EESC-2025-02608-00-01-DT-ORI.docx, EESC-2025-02608-00-00-DT-ORI.docx, COR-EESC-2024-01326-01-00-ADMI</vt:lpwstr>
  </property>
  <property fmtid="{D5CDD505-2E9C-101B-9397-08002B2CF9AE}" pid="7" name="ContentTypeId">
    <vt:lpwstr>0x010100EA97B91038054C99906057A708A1480A004B94E0CD93B68F4F96D67EEBEC8A7176</vt:lpwstr>
  </property>
  <property fmtid="{D5CDD505-2E9C-101B-9397-08002B2CF9AE}" pid="8" name="_dlc_DocIdItemGuid">
    <vt:lpwstr>a9c643c4-11c3-4108-9b36-be927dc973aa</vt:lpwstr>
  </property>
  <property fmtid="{D5CDD505-2E9C-101B-9397-08002B2CF9AE}" pid="9" name="AvailableTranslations">
    <vt:lpwstr>27;#NL|55c6556c-b4f4-441d-9acf-c498d4f838bd;#16;#ES|e7a6b05b-ae16-40c8-add9-68b64b03aeba;#40;#DA|5d49c027-8956-412b-aa16-e85a0f96ad0e;#32;#MT|7df99101-6854-4a26-b53a-b88c0da02c26;#31;#SL|98a412ae-eb01-49e9-ae3d-585a81724cfc;#28;#SV|c2ed69e7-a339-43d7-8f22-d93680a92aa0;#5;#EN|f2175f21-25d7-44a3-96da-d6a61b075e1b;#24;#PL|1e03da61-4678-4e07-b136-b5024ca9197b;#39;#LV|46f7e311-5d9f-4663-b433-18aeccb7ace7;#50;#HR|2f555653-ed1a-4fe6-8362-9082d95989e5;#35;#FI|87606a43-d45f-42d6-b8c9-e1a3457db5b7;#36;#RO|feb747a2-64cd-4299-af12-4833ddc30497;#12;#FR|d2afafd3-4c81-4f60-8f52-ee33f2f54ff3;#42;#EL|6d4f4d51-af9b-4650-94b4-4276bee85c91;#37;#HU|6b229040-c589-4408-b4c1-4285663d20a8;#30;#LT|a7ff5ce7-6123-4f68-865a-a57c31810414;#46;#SK|46d9fce0-ef79-4f71-b89b-cd6aa82426b8;#47;#BG|1a1b3951-7821-4e6a-85f5-5673fc08bd2c;#23;#DE|f6b31e5a-26fa-4935-b661-318e46daf27e;#29;#CS|72f9705b-0217-4fd3-bea2-cbc7ed80e26e;#41;#ET|ff6c3f4c-b02c-4c3c-ab07-2c37995a7a0a;#33;#PT|50ccc04a-eadd-42ae-a0cb-acaf45f812ba;#43;#GA|762d2456-c427-4ecb-b312-af3dad8e258c;#34;#IT|0774613c-01ed-4e5d-a25d-11d2388de825</vt:lpwstr>
  </property>
  <property fmtid="{D5CDD505-2E9C-101B-9397-08002B2CF9AE}" pid="10" name="DocumentType_0">
    <vt:lpwstr>AS|c7a748eb-f6f2-4d9d-8b5a-af0cafebc224</vt:lpwstr>
  </property>
  <property fmtid="{D5CDD505-2E9C-101B-9397-08002B2CF9AE}" pid="11" name="DossierName_0">
    <vt:lpwstr>REX|6820eaf5-116e-436b-ad9c-156f8a94c2a1</vt:lpwstr>
  </property>
  <property fmtid="{D5CDD505-2E9C-101B-9397-08002B2CF9AE}" pid="12" name="DocumentSource_0">
    <vt:lpwstr>EESC|422833ec-8d7e-4e65-8e4e-8bed07ffb729</vt:lpwstr>
  </property>
  <property fmtid="{D5CDD505-2E9C-101B-9397-08002B2CF9AE}" pid="13" name="DocumentNumber">
    <vt:i4>2608</vt:i4>
  </property>
  <property fmtid="{D5CDD505-2E9C-101B-9397-08002B2CF9AE}" pid="14" name="FicheYear">
    <vt:i4>2025</vt:i4>
  </property>
  <property fmtid="{D5CDD505-2E9C-101B-9397-08002B2CF9AE}" pid="15" name="DocumentVersion">
    <vt:i4>0</vt:i4>
  </property>
  <property fmtid="{D5CDD505-2E9C-101B-9397-08002B2CF9AE}" pid="16" name="DossierNumber">
    <vt:i4>609</vt:i4>
  </property>
  <property fmtid="{D5CDD505-2E9C-101B-9397-08002B2CF9AE}" pid="17" name="DocumentStatus">
    <vt:lpwstr>13;#TRA|150d2a88-1431-44e6-a8ca-0bb753ab8672</vt:lpwstr>
  </property>
  <property fmtid="{D5CDD505-2E9C-101B-9397-08002B2CF9AE}" pid="18" name="DossierName">
    <vt:lpwstr>2;#REX|6820eaf5-116e-436b-ad9c-156f8a94c2a1</vt:lpwstr>
  </property>
  <property fmtid="{D5CDD505-2E9C-101B-9397-08002B2CF9AE}" pid="19" name="RequestingService">
    <vt:lpwstr>Relations extérieures</vt:lpwstr>
  </property>
  <property fmtid="{D5CDD505-2E9C-101B-9397-08002B2CF9AE}" pid="20" name="Confidentiality">
    <vt:lpwstr>15;#Unrestricted|826e22d7-d029-4ec0-a450-0c28ff673572</vt:lpwstr>
  </property>
  <property fmtid="{D5CDD505-2E9C-101B-9397-08002B2CF9AE}" pid="21" name="MeetingName_0">
    <vt:lpwstr>SPL-CES|32d8cb1f-c9ec-4365-95c7-8385a18618ac</vt:lpwstr>
  </property>
  <property fmtid="{D5CDD505-2E9C-101B-9397-08002B2CF9AE}" pid="22" name="Confidentiality_0">
    <vt:lpwstr>Unrestricted|826e22d7-d029-4ec0-a450-0c28ff673572</vt:lpwstr>
  </property>
  <property fmtid="{D5CDD505-2E9C-101B-9397-08002B2CF9AE}" pid="23" name="OriginalLanguage">
    <vt:lpwstr>5;#EN|f2175f21-25d7-44a3-96da-d6a61b075e1b</vt:lpwstr>
  </property>
  <property fmtid="{D5CDD505-2E9C-101B-9397-08002B2CF9AE}" pid="24" name="MeetingName">
    <vt:lpwstr>67;#SPL-CES|32d8cb1f-c9ec-4365-95c7-8385a18618ac</vt:lpwstr>
  </property>
  <property fmtid="{D5CDD505-2E9C-101B-9397-08002B2CF9AE}" pid="25" name="MeetingDate">
    <vt:filetime>2025-12-03T12:00:00Z</vt:filetime>
  </property>
  <property fmtid="{D5CDD505-2E9C-101B-9397-08002B2CF9AE}" pid="26" name="AvailableTranslations_0">
    <vt:lpwstr>NL|55c6556c-b4f4-441d-9acf-c498d4f838bd;ES|e7a6b05b-ae16-40c8-add9-68b64b03aeba;DA|5d49c027-8956-412b-aa16-e85a0f96ad0e;MT|7df99101-6854-4a26-b53a-b88c0da02c26;SL|98a412ae-eb01-49e9-ae3d-585a81724cfc;SV|c2ed69e7-a339-43d7-8f22-d93680a92aa0;EN|f2175f21-25d7-44a3-96da-d6a61b075e1b;PL|1e03da61-4678-4e07-b136-b5024ca9197b;LV|46f7e311-5d9f-4663-b433-18aeccb7ace7;HR|2f555653-ed1a-4fe6-8362-9082d95989e5;RO|feb747a2-64cd-4299-af12-4833ddc30497;FR|d2afafd3-4c81-4f60-8f52-ee33f2f54ff3;EL|6d4f4d51-af9b-4650-94b4-4276bee85c91;HU|6b229040-c589-4408-b4c1-4285663d20a8;SK|46d9fce0-ef79-4f71-b89b-cd6aa82426b8;BG|1a1b3951-7821-4e6a-85f5-5673fc08bd2c;DE|f6b31e5a-26fa-4935-b661-318e46daf27e;CS|72f9705b-0217-4fd3-bea2-cbc7ed80e26e;ET|ff6c3f4c-b02c-4c3c-ab07-2c37995a7a0a;PT|50ccc04a-eadd-42ae-a0cb-acaf45f812ba;GA|762d2456-c427-4ecb-b312-af3dad8e258c;IT|0774613c-01ed-4e5d-a25d-11d2388de825</vt:lpwstr>
  </property>
  <property fmtid="{D5CDD505-2E9C-101B-9397-08002B2CF9AE}" pid="27" name="DocumentStatus_0">
    <vt:lpwstr>TRA|150d2a88-1431-44e6-a8ca-0bb753ab8672</vt:lpwstr>
  </property>
  <property fmtid="{D5CDD505-2E9C-101B-9397-08002B2CF9AE}" pid="28" name="OriginalLanguage_0">
    <vt:lpwstr>EN|f2175f21-25d7-44a3-96da-d6a61b075e1b</vt:lpwstr>
  </property>
  <property fmtid="{D5CDD505-2E9C-101B-9397-08002B2CF9AE}" pid="29" name="TaxCatchAll">
    <vt:lpwstr>67;#SPL-CES|32d8cb1f-c9ec-4365-95c7-8385a18618ac;#50;#HR|2f555653-ed1a-4fe6-8362-9082d95989e5;#47;#BG|1a1b3951-7821-4e6a-85f5-5673fc08bd2c;#46;#SK|46d9fce0-ef79-4f71-b89b-cd6aa82426b8;#43;#GA|762d2456-c427-4ecb-b312-af3dad8e258c;#42;#EL|6d4f4d51-af9b-4650-94b4-4276bee85c91;#41;#ET|ff6c3f4c-b02c-4c3c-ab07-2c37995a7a0a;#40;#DA|5d49c027-8956-412b-aa16-e85a0f96ad0e;#39;#LV|46f7e311-5d9f-4663-b433-18aeccb7ace7;#37;#HU|6b229040-c589-4408-b4c1-4285663d20a8;#36;#RO|feb747a2-64cd-4299-af12-4833ddc30497;#34;#IT|0774613c-01ed-4e5d-a25d-11d2388de825;#33;#PT|50ccc04a-eadd-42ae-a0cb-acaf45f812ba;#32;#MT|7df99101-6854-4a26-b53a-b88c0da02c26;#31;#SL|98a412ae-eb01-49e9-ae3d-585a81724cfc;#29;#CS|72f9705b-0217-4fd3-bea2-cbc7ed80e26e;#28;#SV|c2ed69e7-a339-43d7-8f22-d93680a92aa0;#27;#NL|55c6556c-b4f4-441d-9acf-c498d4f838bd;#24;#PL|1e03da61-4678-4e07-b136-b5024ca9197b;#23;#DE|f6b31e5a-26fa-4935-b661-318e46daf27e;#16;#ES|e7a6b05b-ae16-40c8-add9-68b64b03aeba;#15;#Unrestricted|826e22d7-d029-4ec0-a450-0c28ff673572;#13;#TRA|150d2a88-1431-44e6-a8ca-0bb753ab8672;#12;#FR|d2afafd3-4c81-4f60-8f52-ee33f2f54ff3;#8;#Final|ea5e6674-7b27-4bac-b091-73adbb394efe;#5;#EN|f2175f21-25d7-44a3-96da-d6a61b075e1b;#126;#AS|c7a748eb-f6f2-4d9d-8b5a-af0cafebc224;#2;#REX|6820eaf5-116e-436b-ad9c-156f8a94c2a1;#1;#EESC|422833ec-8d7e-4e65-8e4e-8bed07ffb729</vt:lpwstr>
  </property>
  <property fmtid="{D5CDD505-2E9C-101B-9397-08002B2CF9AE}" pid="30" name="Rapporteur">
    <vt:lpwstr>ANGELOVA</vt:lpwstr>
  </property>
  <property fmtid="{D5CDD505-2E9C-101B-9397-08002B2CF9AE}" pid="31" name="VersionStatus_0">
    <vt:lpwstr>Final|ea5e6674-7b27-4bac-b091-73adbb394efe</vt:lpwstr>
  </property>
  <property fmtid="{D5CDD505-2E9C-101B-9397-08002B2CF9AE}" pid="32" name="VersionStatus">
    <vt:lpwstr>8;#Final|ea5e6674-7b27-4bac-b091-73adbb394efe</vt:lpwstr>
  </property>
  <property fmtid="{D5CDD505-2E9C-101B-9397-08002B2CF9AE}" pid="33" name="DocumentYear">
    <vt:i4>2025</vt:i4>
  </property>
  <property fmtid="{D5CDD505-2E9C-101B-9397-08002B2CF9AE}" pid="34" name="FicheNumber">
    <vt:i4>296257</vt:i4>
  </property>
  <property fmtid="{D5CDD505-2E9C-101B-9397-08002B2CF9AE}" pid="35" name="DocumentPart">
    <vt:i4>0</vt:i4>
  </property>
  <property fmtid="{D5CDD505-2E9C-101B-9397-08002B2CF9AE}" pid="36" name="DocumentSource">
    <vt:lpwstr>1;#EESC|422833ec-8d7e-4e65-8e4e-8bed07ffb729</vt:lpwstr>
  </property>
  <property fmtid="{D5CDD505-2E9C-101B-9397-08002B2CF9AE}" pid="37" name="DocumentType">
    <vt:lpwstr>126;#AS|c7a748eb-f6f2-4d9d-8b5a-af0cafebc224</vt:lpwstr>
  </property>
  <property fmtid="{D5CDD505-2E9C-101B-9397-08002B2CF9AE}" pid="38" name="DocumentLanguage">
    <vt:lpwstr>30;#LT|a7ff5ce7-6123-4f68-865a-a57c31810414</vt:lpwstr>
  </property>
  <property fmtid="{D5CDD505-2E9C-101B-9397-08002B2CF9AE}" pid="39" name="_docset_NoMedatataSyncRequired">
    <vt:lpwstr>False</vt:lpwstr>
  </property>
  <property fmtid="{D5CDD505-2E9C-101B-9397-08002B2CF9AE}" pid="40" name="MeetingNumber">
    <vt:i4>601</vt:i4>
  </property>
  <property fmtid="{D5CDD505-2E9C-101B-9397-08002B2CF9AE}" pid="41" name="DocumentLanguage_0">
    <vt:lpwstr>EN|f2175f21-25d7-44a3-96da-d6a61b075e1b</vt:lpwstr>
  </property>
</Properties>
</file>