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footer5.xml" ContentType="application/vnd.openxmlformats-officedocument.wordprocessingml.footer+xml"/>
  <Override PartName="/word/endnotes.xml" ContentType="application/vnd.openxmlformats-officedocument.wordprocessingml.endnotes+xml"/>
  <Override PartName="/word/header3.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fontTable.xml" ContentType="application/vnd.openxmlformats-officedocument.wordprocessingml.fontTable+xml"/>
  <Override PartName="/word/numbering.xml" ContentType="application/vnd.openxmlformats-officedocument.wordprocessingml.numbering+xml"/>
  <Override PartName="/docProps/core.xml" ContentType="application/vnd.openxmlformats-package.core-properties+xml"/>
  <Override PartName="/word/styles.xml" ContentType="application/vnd.openxmlformats-officedocument.wordprocessingml.styles+xml"/>
  <Override PartName="/docProps/custom.xml" ContentType="application/vnd.openxmlformats-officedocument.custom-properties+xml"/>
  <Override PartName="/word/webSettings.xml" ContentType="application/vnd.openxmlformats-officedocument.wordprocessingml.webSettings+xml"/>
  <Override PartName="/docProps/app.xml" ContentType="application/vnd.openxmlformats-officedocument.extended-properties+xml"/>
  <Override PartName="/docMetadata/LabelInfo.xml" ContentType="application/vnd.ms-office.classificationlabel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3BE56A" w14:textId="40B597B0" w:rsidR="00646AC2" w:rsidRPr="00046A1E" w:rsidRDefault="00A129D7" w:rsidP="00521EF6">
      <w:pPr>
        <w:jc w:val="center"/>
      </w:pPr>
      <w:r>
        <w:rPr>
          <w:noProof/>
        </w:rPr>
        <w:drawing>
          <wp:inline distT="0" distB="0" distL="0" distR="0" wp14:anchorId="0370C0D7" wp14:editId="715ABA9A">
            <wp:extent cx="1792605" cy="1239520"/>
            <wp:effectExtent l="0" t="0" r="0" b="0"/>
            <wp:docPr id="1" name="Picture 1" title="EESCLogo_SV"/>
            <wp:cNvGraphicFramePr/>
            <a:graphic xmlns:a="http://schemas.openxmlformats.org/drawingml/2006/main">
              <a:graphicData uri="http://schemas.openxmlformats.org/drawingml/2006/picture">
                <pic:pic xmlns:pic="http://schemas.openxmlformats.org/drawingml/2006/picture">
                  <pic:nvPicPr>
                    <pic:cNvPr id="1" name="Picture 1" title="EESCLogo_SV"/>
                    <pic:cNvPicPr/>
                  </pic:nvPicPr>
                  <pic:blipFill>
                    <a:blip r:embed="rId11"/>
                    <a:stretch>
                      <a:fillRect/>
                    </a:stretch>
                  </pic:blipFill>
                  <pic:spPr>
                    <a:xfrm>
                      <a:off x="0" y="0"/>
                      <a:ext cx="1792605" cy="1239520"/>
                    </a:xfrm>
                    <a:prstGeom prst="rect">
                      <a:avLst/>
                    </a:prstGeom>
                  </pic:spPr>
                </pic:pic>
              </a:graphicData>
            </a:graphic>
          </wp:inline>
        </w:drawing>
      </w:r>
      <w:r w:rsidR="008C74D9">
        <w:rPr>
          <w:noProof/>
          <w:sz w:val="20"/>
        </w:rPr>
        <mc:AlternateContent>
          <mc:Choice Requires="wps">
            <w:drawing>
              <wp:anchor distT="0" distB="0" distL="114300" distR="114300" simplePos="0" relativeHeight="251662336" behindDoc="1" locked="0" layoutInCell="0" allowOverlap="1" wp14:anchorId="131133D6" wp14:editId="11890A97">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060660" w14:textId="77777777" w:rsidR="002C1DB1" w:rsidRPr="00260E65" w:rsidRDefault="002C1DB1">
                            <w:pPr>
                              <w:jc w:val="center"/>
                              <w:rPr>
                                <w:rFonts w:ascii="Arial" w:hAnsi="Arial" w:cs="Arial"/>
                                <w:b/>
                                <w:bCs/>
                                <w:sz w:val="48"/>
                              </w:rPr>
                            </w:pPr>
                            <w:r>
                              <w:rPr>
                                <w:rFonts w:ascii="Arial" w:hAnsi="Arial"/>
                                <w:b/>
                                <w:sz w:val="48"/>
                              </w:rPr>
                              <w:t>SV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1133D6"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45060660" w14:textId="77777777" w:rsidR="002C1DB1" w:rsidRPr="00260E65" w:rsidRDefault="002C1DB1">
                      <w:pPr>
                        <w:jc w:val="center"/>
                        <w:rPr>
                          <w:rFonts w:ascii="Arial" w:hAnsi="Arial" w:cs="Arial"/>
                          <w:b/>
                          <w:bCs/>
                          <w:sz w:val="48"/>
                        </w:rPr>
                      </w:pPr>
                      <w:r>
                        <w:rPr>
                          <w:rFonts w:ascii="Arial" w:hAnsi="Arial"/>
                          <w:b/>
                          <w:sz w:val="48"/>
                        </w:rPr>
                        <w:t>SV</w:t>
                      </w:r>
                    </w:p>
                  </w:txbxContent>
                </v:textbox>
                <w10:wrap anchorx="page" anchory="page"/>
              </v:shape>
            </w:pict>
          </mc:Fallback>
        </mc:AlternateContent>
      </w:r>
    </w:p>
    <w:p w14:paraId="5E7A16AD" w14:textId="77777777" w:rsidR="008C74D9" w:rsidRPr="00046A1E" w:rsidRDefault="008C74D9" w:rsidP="00521EF6"/>
    <w:p w14:paraId="5B3BE56B" w14:textId="6944BA98" w:rsidR="00646AC2" w:rsidRPr="00046A1E" w:rsidRDefault="002F7527" w:rsidP="00521EF6">
      <w:pPr>
        <w:jc w:val="right"/>
      </w:pPr>
      <w:r>
        <w:rPr>
          <w:b/>
        </w:rPr>
        <w:t>REX/611</w:t>
      </w:r>
    </w:p>
    <w:p w14:paraId="5B3BE56C" w14:textId="54B1C2FA" w:rsidR="00563C84" w:rsidRPr="00046A1E" w:rsidRDefault="002F7527" w:rsidP="00521EF6">
      <w:pPr>
        <w:jc w:val="right"/>
        <w:rPr>
          <w:b/>
          <w:bCs/>
        </w:rPr>
      </w:pPr>
      <w:r>
        <w:rPr>
          <w:b/>
        </w:rPr>
        <w:t>Europa i världen (förslag till flerårig budgetram)</w:t>
      </w:r>
    </w:p>
    <w:p w14:paraId="5B3BE56D" w14:textId="77777777" w:rsidR="009B30AA" w:rsidRPr="00046A1E" w:rsidRDefault="009B30AA" w:rsidP="00521EF6"/>
    <w:p w14:paraId="5B3BE56E" w14:textId="77777777" w:rsidR="009B30AA" w:rsidRPr="00046A1E" w:rsidRDefault="009B30AA" w:rsidP="00521EF6"/>
    <w:p w14:paraId="3C09B2EE" w14:textId="7030887D" w:rsidR="0048754F" w:rsidRPr="00046A1E" w:rsidRDefault="003B7272" w:rsidP="00521EF6">
      <w:pPr>
        <w:jc w:val="center"/>
        <w:rPr>
          <w:b/>
          <w:bCs/>
          <w:sz w:val="28"/>
          <w:szCs w:val="28"/>
        </w:rPr>
      </w:pPr>
      <w:r>
        <w:rPr>
          <w:b/>
          <w:sz w:val="28"/>
        </w:rPr>
        <w:t>YTTRANDE</w:t>
      </w:r>
    </w:p>
    <w:p w14:paraId="34368F6A" w14:textId="77777777" w:rsidR="0048754F" w:rsidRPr="00046A1E" w:rsidRDefault="0048754F" w:rsidP="00521EF6">
      <w:pPr>
        <w:jc w:val="center"/>
      </w:pPr>
    </w:p>
    <w:p w14:paraId="7D40B1DD" w14:textId="3D2DCAB3" w:rsidR="0048754F" w:rsidRPr="00046A1E" w:rsidRDefault="03385EDC" w:rsidP="00521EF6">
      <w:pPr>
        <w:jc w:val="center"/>
      </w:pPr>
      <w:r>
        <w:t>Sektionen för yttre förbindelser</w:t>
      </w:r>
    </w:p>
    <w:p w14:paraId="046C48E8" w14:textId="77777777" w:rsidR="0048754F" w:rsidRPr="00046A1E" w:rsidRDefault="0048754F" w:rsidP="00521EF6">
      <w:pPr>
        <w:jc w:val="center"/>
      </w:pPr>
    </w:p>
    <w:p w14:paraId="37AB4FE9" w14:textId="1AF57C3D" w:rsidR="00DD5640" w:rsidRPr="00046A1E" w:rsidRDefault="00EB47D3" w:rsidP="00521EF6">
      <w:pPr>
        <w:ind w:left="454" w:right="454"/>
        <w:jc w:val="center"/>
        <w:rPr>
          <w:b/>
          <w:bCs/>
        </w:rPr>
      </w:pPr>
      <w:r>
        <w:rPr>
          <w:b/>
        </w:rPr>
        <w:t>Förslag till Europaparlamentets och rådets förordning om inrättande av Europa i världen</w:t>
      </w:r>
    </w:p>
    <w:p w14:paraId="5B3BE56F" w14:textId="6E25D158" w:rsidR="00646AC2" w:rsidRPr="00046A1E" w:rsidRDefault="00EB47D3" w:rsidP="00521EF6">
      <w:pPr>
        <w:jc w:val="center"/>
      </w:pPr>
      <w:r>
        <w:t>(COM(2025) 551 final – 2025/0227 (COD))</w:t>
      </w:r>
    </w:p>
    <w:p w14:paraId="5B3BE570" w14:textId="77777777" w:rsidR="009B30AA" w:rsidRPr="00046A1E" w:rsidRDefault="009B30AA" w:rsidP="00521EF6">
      <w:pPr>
        <w:jc w:val="center"/>
      </w:pPr>
    </w:p>
    <w:tbl>
      <w:tblPr>
        <w:tblpPr w:leftFromText="181" w:rightFromText="181" w:tblpYSpec="bottom"/>
        <w:tblOverlap w:val="never"/>
        <w:tblW w:w="9289" w:type="dxa"/>
        <w:tblLayout w:type="fixed"/>
        <w:tblLook w:val="04A0" w:firstRow="1" w:lastRow="0" w:firstColumn="1" w:lastColumn="0" w:noHBand="0" w:noVBand="1"/>
      </w:tblPr>
      <w:tblGrid>
        <w:gridCol w:w="3085"/>
        <w:gridCol w:w="6204"/>
      </w:tblGrid>
      <w:tr w:rsidR="00FF3759" w:rsidRPr="00046A1E" w14:paraId="5B3BE57A" w14:textId="77777777" w:rsidTr="00B03AC4">
        <w:tc>
          <w:tcPr>
            <w:tcW w:w="3085" w:type="dxa"/>
          </w:tcPr>
          <w:p w14:paraId="5B3BE578" w14:textId="77777777" w:rsidR="00FF3759" w:rsidRPr="00046A1E" w:rsidRDefault="03385EDC" w:rsidP="00521EF6">
            <w:pPr>
              <w:jc w:val="left"/>
            </w:pPr>
            <w:r>
              <w:t>Kontakt</w:t>
            </w:r>
          </w:p>
        </w:tc>
        <w:tc>
          <w:tcPr>
            <w:tcW w:w="6204" w:type="dxa"/>
          </w:tcPr>
          <w:p w14:paraId="5B3BE579" w14:textId="7A84ECC8" w:rsidR="00FF3759" w:rsidRPr="00046A1E" w:rsidRDefault="00802F1E" w:rsidP="00521EF6">
            <w:pPr>
              <w:jc w:val="left"/>
            </w:pPr>
            <w:hyperlink r:id="rId12" w:history="1">
              <w:r w:rsidR="00A129D7">
                <w:rPr>
                  <w:rStyle w:val="Hyperlink"/>
                </w:rPr>
                <w:t>Charlotte.Rive@eesc.europa.eu</w:t>
              </w:r>
            </w:hyperlink>
          </w:p>
        </w:tc>
      </w:tr>
      <w:tr w:rsidR="00FF3759" w:rsidRPr="00046A1E" w14:paraId="5B3BE57D" w14:textId="77777777" w:rsidTr="00B03AC4">
        <w:tc>
          <w:tcPr>
            <w:tcW w:w="3085" w:type="dxa"/>
          </w:tcPr>
          <w:p w14:paraId="5B3BE57B" w14:textId="77777777" w:rsidR="00FF3759" w:rsidRPr="00046A1E" w:rsidRDefault="03385EDC" w:rsidP="00521EF6">
            <w:pPr>
              <w:jc w:val="left"/>
            </w:pPr>
            <w:r>
              <w:t>Handläggare</w:t>
            </w:r>
          </w:p>
        </w:tc>
        <w:tc>
          <w:tcPr>
            <w:tcW w:w="6204" w:type="dxa"/>
          </w:tcPr>
          <w:p w14:paraId="5B3BE57C" w14:textId="3B828D54" w:rsidR="00FF3759" w:rsidRPr="00046A1E" w:rsidRDefault="009973C8" w:rsidP="00521EF6">
            <w:pPr>
              <w:jc w:val="left"/>
            </w:pPr>
            <w:r>
              <w:t>Charlotte RIVE</w:t>
            </w:r>
          </w:p>
        </w:tc>
      </w:tr>
      <w:tr w:rsidR="00FF3759" w:rsidRPr="00046A1E" w14:paraId="5B3BE580" w14:textId="77777777" w:rsidTr="00B03AC4">
        <w:tc>
          <w:tcPr>
            <w:tcW w:w="3085" w:type="dxa"/>
          </w:tcPr>
          <w:p w14:paraId="5B3BE57E" w14:textId="77777777" w:rsidR="00FF3759" w:rsidRPr="00046A1E" w:rsidRDefault="03385EDC" w:rsidP="00521EF6">
            <w:pPr>
              <w:jc w:val="left"/>
            </w:pPr>
            <w:r>
              <w:t>Dokumentdatum</w:t>
            </w:r>
          </w:p>
        </w:tc>
        <w:tc>
          <w:tcPr>
            <w:tcW w:w="6204" w:type="dxa"/>
          </w:tcPr>
          <w:p w14:paraId="5B3BE57F" w14:textId="10F10D23" w:rsidR="00FF3759" w:rsidRPr="00046A1E" w:rsidRDefault="00BA5323" w:rsidP="00521EF6">
            <w:pPr>
              <w:jc w:val="left"/>
            </w:pPr>
            <w:r>
              <w:t>7/11/2025</w:t>
            </w:r>
          </w:p>
        </w:tc>
      </w:tr>
    </w:tbl>
    <w:p w14:paraId="67915520" w14:textId="23B00BE4" w:rsidR="007D54C2" w:rsidRPr="00BB7803" w:rsidRDefault="03385EDC" w:rsidP="00521EF6">
      <w:pPr>
        <w:jc w:val="center"/>
        <w:rPr>
          <w:bCs/>
        </w:rPr>
      </w:pPr>
      <w:r>
        <w:t xml:space="preserve">Föredragande: </w:t>
      </w:r>
      <w:proofErr w:type="spellStart"/>
      <w:r>
        <w:rPr>
          <w:b/>
        </w:rPr>
        <w:t>Mateusz</w:t>
      </w:r>
      <w:proofErr w:type="spellEnd"/>
      <w:r>
        <w:rPr>
          <w:b/>
        </w:rPr>
        <w:t xml:space="preserve"> </w:t>
      </w:r>
      <w:proofErr w:type="spellStart"/>
      <w:r>
        <w:rPr>
          <w:b/>
        </w:rPr>
        <w:t>Szymański</w:t>
      </w:r>
      <w:proofErr w:type="spellEnd"/>
    </w:p>
    <w:p w14:paraId="7B2ACFE7" w14:textId="37D93E5F" w:rsidR="00812061" w:rsidRPr="00BB7803" w:rsidRDefault="0048754F" w:rsidP="00521EF6">
      <w:pPr>
        <w:jc w:val="center"/>
        <w:rPr>
          <w:bCs/>
        </w:rPr>
      </w:pPr>
      <w:r>
        <w:t xml:space="preserve">Medföredragande: </w:t>
      </w:r>
      <w:r>
        <w:rPr>
          <w:b/>
        </w:rPr>
        <w:t xml:space="preserve">Luca </w:t>
      </w:r>
      <w:proofErr w:type="spellStart"/>
      <w:r>
        <w:rPr>
          <w:b/>
        </w:rPr>
        <w:t>Jahier</w:t>
      </w:r>
      <w:proofErr w:type="spellEnd"/>
    </w:p>
    <w:p w14:paraId="5B3BE582" w14:textId="6F8F6800" w:rsidR="00E32DC6" w:rsidRPr="00BB7803" w:rsidRDefault="00E32DC6" w:rsidP="00521EF6">
      <w:pPr>
        <w:rPr>
          <w:lang w:val="fr-BE"/>
        </w:rPr>
      </w:pPr>
    </w:p>
    <w:p w14:paraId="5B3BE583" w14:textId="77777777" w:rsidR="00E32DC6" w:rsidRPr="00BB7803" w:rsidRDefault="00E32DC6" w:rsidP="00521EF6">
      <w:pPr>
        <w:rPr>
          <w:lang w:val="fr-BE"/>
        </w:rPr>
      </w:pPr>
    </w:p>
    <w:p w14:paraId="5B3BE584" w14:textId="77777777" w:rsidR="00E32DC6" w:rsidRPr="00BB7803" w:rsidRDefault="00E32DC6" w:rsidP="00521EF6">
      <w:pPr>
        <w:rPr>
          <w:lang w:val="fr-BE"/>
        </w:rPr>
        <w:sectPr w:rsidR="00E32DC6" w:rsidRPr="00BB7803" w:rsidSect="006834B1">
          <w:headerReference w:type="even" r:id="rId13"/>
          <w:headerReference w:type="default" r:id="rId14"/>
          <w:footerReference w:type="even" r:id="rId15"/>
          <w:footerReference w:type="default" r:id="rId16"/>
          <w:headerReference w:type="first" r:id="rId17"/>
          <w:footerReference w:type="first" r:id="rId18"/>
          <w:pgSz w:w="11907" w:h="16839" w:code="9"/>
          <w:pgMar w:top="1417" w:right="1417" w:bottom="1417" w:left="1417" w:header="709" w:footer="709" w:gutter="0"/>
          <w:pgNumType w:start="1"/>
          <w:cols w:space="720"/>
          <w:docGrid w:linePitch="299"/>
        </w:sectPr>
      </w:pPr>
    </w:p>
    <w:p w14:paraId="5B3BE5A3" w14:textId="77777777" w:rsidR="0012220C" w:rsidRPr="00516C13" w:rsidRDefault="0012220C">
      <w:pPr>
        <w:rPr>
          <w:lang w:val="fr-FR"/>
        </w:rPr>
      </w:pPr>
    </w:p>
    <w:tbl>
      <w:tblPr>
        <w:tblW w:w="0" w:type="auto"/>
        <w:tblLook w:val="04A0" w:firstRow="1" w:lastRow="0" w:firstColumn="1" w:lastColumn="0" w:noHBand="0" w:noVBand="1"/>
      </w:tblPr>
      <w:tblGrid>
        <w:gridCol w:w="3055"/>
        <w:gridCol w:w="6018"/>
      </w:tblGrid>
      <w:tr w:rsidR="00DD5640" w:rsidRPr="00046A1E" w14:paraId="24249E85" w14:textId="77777777" w:rsidTr="00C356F7">
        <w:trPr>
          <w:trHeight w:val="251"/>
        </w:trPr>
        <w:tc>
          <w:tcPr>
            <w:tcW w:w="3055" w:type="dxa"/>
          </w:tcPr>
          <w:p w14:paraId="1225BDD1" w14:textId="00300DC2" w:rsidR="00DD5640" w:rsidRPr="00046A1E" w:rsidRDefault="00DD5640">
            <w:pPr>
              <w:jc w:val="left"/>
            </w:pPr>
            <w:r>
              <w:t>Rådgivare</w:t>
            </w:r>
          </w:p>
        </w:tc>
        <w:tc>
          <w:tcPr>
            <w:tcW w:w="6018" w:type="dxa"/>
          </w:tcPr>
          <w:p w14:paraId="4CEFBCA3" w14:textId="11F0F118" w:rsidR="00DD5640" w:rsidRPr="00046A1E" w:rsidRDefault="00A14BC9">
            <w:pPr>
              <w:jc w:val="left"/>
            </w:pPr>
            <w:r>
              <w:t>Anna Colombo, för medföredraganden, grupp III</w:t>
            </w:r>
          </w:p>
        </w:tc>
      </w:tr>
      <w:tr w:rsidR="00DD5640" w:rsidRPr="00046A1E" w14:paraId="35E60D09" w14:textId="77777777" w:rsidTr="00C356F7">
        <w:trPr>
          <w:trHeight w:val="251"/>
        </w:trPr>
        <w:tc>
          <w:tcPr>
            <w:tcW w:w="3055" w:type="dxa"/>
          </w:tcPr>
          <w:p w14:paraId="2CCD6979" w14:textId="77777777" w:rsidR="00DD5640" w:rsidRPr="00046A1E" w:rsidRDefault="00DD5640">
            <w:pPr>
              <w:jc w:val="left"/>
            </w:pPr>
          </w:p>
        </w:tc>
        <w:tc>
          <w:tcPr>
            <w:tcW w:w="6018" w:type="dxa"/>
          </w:tcPr>
          <w:p w14:paraId="5F5408E4" w14:textId="77777777" w:rsidR="00DD5640" w:rsidRPr="00046A1E" w:rsidRDefault="00DD5640">
            <w:pPr>
              <w:jc w:val="left"/>
            </w:pPr>
          </w:p>
        </w:tc>
      </w:tr>
      <w:tr w:rsidR="0013664F" w:rsidRPr="00046A1E" w14:paraId="659CFC45" w14:textId="77777777" w:rsidTr="00C356F7">
        <w:tc>
          <w:tcPr>
            <w:tcW w:w="3055" w:type="dxa"/>
          </w:tcPr>
          <w:p w14:paraId="5D2E214C" w14:textId="10DD26E9" w:rsidR="0013664F" w:rsidRPr="00046A1E" w:rsidRDefault="0013664F">
            <w:pPr>
              <w:jc w:val="left"/>
            </w:pPr>
            <w:r>
              <w:t>Remiss</w:t>
            </w:r>
          </w:p>
        </w:tc>
        <w:tc>
          <w:tcPr>
            <w:tcW w:w="6018" w:type="dxa"/>
          </w:tcPr>
          <w:p w14:paraId="4DC04ED4" w14:textId="034EB14C" w:rsidR="0013664F" w:rsidRPr="00046A1E" w:rsidRDefault="00A14BC9">
            <w:pPr>
              <w:jc w:val="left"/>
            </w:pPr>
            <w:r>
              <w:t>Europeiska kommissionen, 16/7/2025</w:t>
            </w:r>
          </w:p>
        </w:tc>
      </w:tr>
      <w:tr w:rsidR="00C356F7" w:rsidRPr="00046A1E" w14:paraId="5AE3E96C" w14:textId="77777777" w:rsidTr="003B0C32">
        <w:tc>
          <w:tcPr>
            <w:tcW w:w="3055" w:type="dxa"/>
          </w:tcPr>
          <w:p w14:paraId="18AEBE3E" w14:textId="75572D9D" w:rsidR="00C356F7" w:rsidRPr="00046A1E" w:rsidRDefault="00C356F7">
            <w:pPr>
              <w:jc w:val="left"/>
            </w:pPr>
            <w:r>
              <w:t>Rättslig grund</w:t>
            </w:r>
          </w:p>
        </w:tc>
        <w:tc>
          <w:tcPr>
            <w:tcW w:w="6018" w:type="dxa"/>
          </w:tcPr>
          <w:p w14:paraId="02C501D5" w14:textId="773AC93B" w:rsidR="00C356F7" w:rsidRPr="00046A1E" w:rsidRDefault="0013664F">
            <w:pPr>
              <w:jc w:val="left"/>
            </w:pPr>
            <w:r>
              <w:t>Artikel 304 i fördraget om Europeiska unionens funktionssätt</w:t>
            </w:r>
          </w:p>
        </w:tc>
      </w:tr>
      <w:tr w:rsidR="00DF5B64" w:rsidRPr="00046A1E" w14:paraId="5B3BE5C4" w14:textId="77777777" w:rsidTr="003B0C32">
        <w:tc>
          <w:tcPr>
            <w:tcW w:w="3055" w:type="dxa"/>
          </w:tcPr>
          <w:p w14:paraId="5B3BE5C2" w14:textId="77777777" w:rsidR="00DF5B64" w:rsidRPr="00046A1E" w:rsidRDefault="03385EDC">
            <w:pPr>
              <w:jc w:val="left"/>
            </w:pPr>
            <w:r>
              <w:t>Ansvarig sektion</w:t>
            </w:r>
          </w:p>
        </w:tc>
        <w:tc>
          <w:tcPr>
            <w:tcW w:w="6018" w:type="dxa"/>
          </w:tcPr>
          <w:p w14:paraId="5B3BE5C3" w14:textId="0363AA6A" w:rsidR="00DF5B64" w:rsidRPr="00046A1E" w:rsidRDefault="00A14BC9">
            <w:pPr>
              <w:jc w:val="left"/>
            </w:pPr>
            <w:r>
              <w:t>Yttre förbindelser</w:t>
            </w:r>
          </w:p>
        </w:tc>
      </w:tr>
      <w:tr w:rsidR="00A156E6" w:rsidRPr="00046A1E" w14:paraId="5B3BE5C7" w14:textId="77777777" w:rsidTr="003B0C32">
        <w:tc>
          <w:tcPr>
            <w:tcW w:w="3055" w:type="dxa"/>
          </w:tcPr>
          <w:p w14:paraId="5B3BE5C5" w14:textId="6F862EC0" w:rsidR="00A156E6" w:rsidRPr="00046A1E" w:rsidRDefault="03385EDC">
            <w:pPr>
              <w:jc w:val="left"/>
            </w:pPr>
            <w:r>
              <w:t>Antagande av sektionen</w:t>
            </w:r>
          </w:p>
        </w:tc>
        <w:tc>
          <w:tcPr>
            <w:tcW w:w="6018" w:type="dxa"/>
          </w:tcPr>
          <w:p w14:paraId="5B3BE5C6" w14:textId="08FBD502" w:rsidR="00A156E6" w:rsidRPr="00046A1E" w:rsidRDefault="00813D90">
            <w:pPr>
              <w:jc w:val="left"/>
            </w:pPr>
            <w:r>
              <w:t>7/11/2025</w:t>
            </w:r>
          </w:p>
        </w:tc>
      </w:tr>
      <w:tr w:rsidR="00E64E71" w:rsidRPr="00046A1E" w14:paraId="76673220" w14:textId="77777777" w:rsidTr="003B0C32">
        <w:tc>
          <w:tcPr>
            <w:tcW w:w="3055" w:type="dxa"/>
          </w:tcPr>
          <w:p w14:paraId="3C0899C8" w14:textId="0995A3EA" w:rsidR="00E64E71" w:rsidRPr="00046A1E" w:rsidRDefault="03385EDC">
            <w:pPr>
              <w:jc w:val="left"/>
            </w:pPr>
            <w:r>
              <w:t>Resultat av omröstningen</w:t>
            </w:r>
            <w:r>
              <w:br/>
              <w:t>(för/emot/nedlagda röster)</w:t>
            </w:r>
          </w:p>
        </w:tc>
        <w:tc>
          <w:tcPr>
            <w:tcW w:w="6018" w:type="dxa"/>
            <w:vAlign w:val="bottom"/>
          </w:tcPr>
          <w:p w14:paraId="31005FC7" w14:textId="33767A61" w:rsidR="00E64E71" w:rsidRPr="00046A1E" w:rsidRDefault="00104880">
            <w:pPr>
              <w:jc w:val="left"/>
            </w:pPr>
            <w:r>
              <w:t>60/0/0</w:t>
            </w:r>
          </w:p>
        </w:tc>
      </w:tr>
      <w:tr w:rsidR="00A156E6" w:rsidRPr="00046A1E" w14:paraId="5B3BE5CA" w14:textId="77777777" w:rsidTr="003B0C32">
        <w:tc>
          <w:tcPr>
            <w:tcW w:w="3055" w:type="dxa"/>
          </w:tcPr>
          <w:p w14:paraId="5B3BE5C8" w14:textId="4C1D8F65" w:rsidR="00A156E6" w:rsidRPr="00046A1E" w:rsidRDefault="03385EDC">
            <w:pPr>
              <w:jc w:val="left"/>
            </w:pPr>
            <w:r>
              <w:t>Antagande vid plenarsessionen</w:t>
            </w:r>
          </w:p>
        </w:tc>
        <w:tc>
          <w:tcPr>
            <w:tcW w:w="6018" w:type="dxa"/>
          </w:tcPr>
          <w:p w14:paraId="5B3BE5C9" w14:textId="22A10EE9" w:rsidR="00A156E6" w:rsidRPr="00046A1E" w:rsidRDefault="03385EDC">
            <w:pPr>
              <w:jc w:val="left"/>
            </w:pPr>
            <w:r>
              <w:t>D/M/YYYY</w:t>
            </w:r>
          </w:p>
        </w:tc>
      </w:tr>
      <w:tr w:rsidR="00BA1290" w:rsidRPr="00046A1E" w14:paraId="5B3BE5CD" w14:textId="77777777" w:rsidTr="003B0C32">
        <w:tc>
          <w:tcPr>
            <w:tcW w:w="3055" w:type="dxa"/>
          </w:tcPr>
          <w:p w14:paraId="5B3BE5CB" w14:textId="5DE65BC3" w:rsidR="00BA1290" w:rsidRPr="00046A1E" w:rsidRDefault="03385EDC">
            <w:pPr>
              <w:jc w:val="left"/>
            </w:pPr>
            <w:r>
              <w:t>Plenarsession nr</w:t>
            </w:r>
          </w:p>
        </w:tc>
        <w:tc>
          <w:tcPr>
            <w:tcW w:w="6018" w:type="dxa"/>
          </w:tcPr>
          <w:p w14:paraId="5B3BE5CC" w14:textId="35856441" w:rsidR="00BA1290" w:rsidRPr="00046A1E" w:rsidRDefault="03385EDC">
            <w:pPr>
              <w:jc w:val="left"/>
            </w:pPr>
            <w:r>
              <w:t>…</w:t>
            </w:r>
          </w:p>
        </w:tc>
      </w:tr>
      <w:tr w:rsidR="00A156E6" w:rsidRPr="00046A1E" w14:paraId="5B3BE5D0" w14:textId="77777777" w:rsidTr="003B0C32">
        <w:tc>
          <w:tcPr>
            <w:tcW w:w="3055" w:type="dxa"/>
          </w:tcPr>
          <w:p w14:paraId="5B3BE5CE" w14:textId="0AAE4C4A" w:rsidR="00D423D4" w:rsidRPr="00046A1E" w:rsidRDefault="03385EDC">
            <w:pPr>
              <w:jc w:val="left"/>
            </w:pPr>
            <w:r>
              <w:t>Resultat av omröstningen</w:t>
            </w:r>
            <w:r>
              <w:br/>
              <w:t>(för/emot/nedlagda röster)</w:t>
            </w:r>
          </w:p>
        </w:tc>
        <w:tc>
          <w:tcPr>
            <w:tcW w:w="6018" w:type="dxa"/>
            <w:vAlign w:val="bottom"/>
          </w:tcPr>
          <w:p w14:paraId="5B3BE5CF" w14:textId="072B52D4" w:rsidR="00A156E6" w:rsidRPr="00046A1E" w:rsidRDefault="03385EDC">
            <w:pPr>
              <w:jc w:val="left"/>
            </w:pPr>
            <w:r>
              <w:t>…/…/…</w:t>
            </w:r>
          </w:p>
        </w:tc>
      </w:tr>
    </w:tbl>
    <w:p w14:paraId="5B3BE5D2" w14:textId="77777777" w:rsidR="00646AC2" w:rsidRPr="00046A1E" w:rsidRDefault="00646AC2">
      <w:r>
        <w:br w:type="page"/>
      </w:r>
    </w:p>
    <w:p w14:paraId="5B3BE5D3" w14:textId="6444F18E" w:rsidR="00011D33" w:rsidRPr="00516C13" w:rsidRDefault="03385EDC">
      <w:pPr>
        <w:pStyle w:val="Heading1"/>
      </w:pPr>
      <w:r>
        <w:lastRenderedPageBreak/>
        <w:t>Slutsatser och rekommendationer</w:t>
      </w:r>
    </w:p>
    <w:p w14:paraId="5B3BE5D4" w14:textId="77777777" w:rsidR="00011D33" w:rsidRPr="00046A1E" w:rsidRDefault="00011D33">
      <w:pPr>
        <w:keepNext/>
      </w:pPr>
    </w:p>
    <w:p w14:paraId="450F0079" w14:textId="0AFA5376" w:rsidR="00035F20" w:rsidRPr="00046A1E" w:rsidRDefault="00035F20" w:rsidP="00FB66D5">
      <w:pPr>
        <w:pStyle w:val="Heading2"/>
        <w:ind w:left="567" w:hanging="567"/>
      </w:pPr>
      <w:r>
        <w:t>Europeiska ekonomiska och sociala kommittén (EESK) välkomnar kommissionens förslag om att öka utgifterna för EU:s yttre politik i den kommande fleråriga budgetramen. Området Europa i världen har tilldelats en budget på 200,3 miljarder euro – exklusive stöd till Ukraina, som utgör en reserv på högst 100 miljarder euro över den fleråriga budgetramens tak.</w:t>
      </w:r>
    </w:p>
    <w:p w14:paraId="6B91ED2F" w14:textId="77777777" w:rsidR="00035F20" w:rsidRPr="00046A1E" w:rsidRDefault="00035F20" w:rsidP="00FB66D5">
      <w:pPr>
        <w:pStyle w:val="Heading2"/>
        <w:numPr>
          <w:ilvl w:val="0"/>
          <w:numId w:val="0"/>
        </w:numPr>
        <w:ind w:left="567"/>
      </w:pPr>
    </w:p>
    <w:p w14:paraId="4618C7BD" w14:textId="4B10580C" w:rsidR="009D2FA3" w:rsidRPr="00046A1E" w:rsidRDefault="00035F20" w:rsidP="00FB66D5">
      <w:pPr>
        <w:pStyle w:val="Heading2"/>
        <w:ind w:left="567" w:hanging="567"/>
        <w:rPr>
          <w:bdr w:val="none" w:sz="0" w:space="0" w:color="auto" w:frame="1"/>
        </w:rPr>
      </w:pPr>
      <w:r>
        <w:t>EESK välkomnar den betydande ökningen av budgeten för Europa i världen, och anser att den utgör ett positivt steg för att stärka EU:s yttre åtgärder.</w:t>
      </w:r>
      <w:r>
        <w:rPr>
          <w:bdr w:val="none" w:sz="0" w:space="0" w:color="auto" w:frame="1"/>
        </w:rPr>
        <w:t xml:space="preserve"> Detta är nödvändigt för att ta itu med kommande utmaningar, och ger EU möjlighet att befästa sin roll som global aktör, främja hållbar utveckling, multilateralism, dialog och fred, utrota fattigdom, värna mänskliga rättigheter och jämlikhet, diversifiera sina exportmarknader, stödja det civila samhället, regioner och företag i detta arbete, främja sina källor till hållbar inre tillväxt och bygga upp strategiskt oberoende på områdena utrikespolitik, diplomati, säkerhet och försvar.</w:t>
      </w:r>
    </w:p>
    <w:p w14:paraId="58F8FFF3" w14:textId="77777777" w:rsidR="009D2FA3" w:rsidRPr="00046A1E" w:rsidRDefault="009D2FA3" w:rsidP="00FB66D5">
      <w:pPr>
        <w:pStyle w:val="Heading2"/>
        <w:numPr>
          <w:ilvl w:val="0"/>
          <w:numId w:val="0"/>
        </w:numPr>
        <w:ind w:left="567"/>
      </w:pPr>
    </w:p>
    <w:p w14:paraId="1E6AC341" w14:textId="71E2151A" w:rsidR="00915639" w:rsidRDefault="00980516" w:rsidP="00FB66D5">
      <w:pPr>
        <w:pStyle w:val="Heading2"/>
        <w:ind w:left="567" w:hanging="567"/>
        <w:rPr>
          <w:bdr w:val="none" w:sz="0" w:space="0" w:color="auto" w:frame="1"/>
        </w:rPr>
      </w:pPr>
      <w:r>
        <w:t xml:space="preserve">Kommittén anser att Global </w:t>
      </w:r>
      <w:proofErr w:type="spellStart"/>
      <w:r>
        <w:t>Gateway</w:t>
      </w:r>
      <w:proofErr w:type="spellEnd"/>
      <w:r>
        <w:t xml:space="preserve"> bör bli huvudinstrumentet för ett ”multilateralt Europa” inom ramen för Europa i världen, med förmåga att blåsa nytt liv i Förenta nationerna och dess organ och byråer.</w:t>
      </w:r>
      <w:r>
        <w:rPr>
          <w:bdr w:val="none" w:sz="0" w:space="0" w:color="auto" w:frame="1"/>
        </w:rPr>
        <w:t xml:space="preserve"> Som svar på de betydande nedskärningarna och omstruktureringarna av USAID bör Europa, i egenskap av den mest pålitliga partnern i detta sammanhang, dessutom ta tillfället i akt och spela en ledande roll för att se till att den globala utvecklingen och humanitära insatser kan fortsätta. EESK varnar för att ett alltför stort fokus på regionalisering kan hämma en sådan global strategisk inriktning. Global </w:t>
      </w:r>
      <w:proofErr w:type="spellStart"/>
      <w:r>
        <w:rPr>
          <w:bdr w:val="none" w:sz="0" w:space="0" w:color="auto" w:frame="1"/>
        </w:rPr>
        <w:t>Gateway</w:t>
      </w:r>
      <w:proofErr w:type="spellEnd"/>
      <w:r>
        <w:rPr>
          <w:bdr w:val="none" w:sz="0" w:space="0" w:color="auto" w:frame="1"/>
        </w:rPr>
        <w:t xml:space="preserve"> bör tvärtom bli en katalysator för att gå från de nuvarande partnerskapen till en strategisk allians som inbegriper alla berörda parter, inklusive det civila samhället och arbetsmarknadens parter i alla involverade länder, för att tillsammans fatta beslut om prioriteringar, mål, indikatorer och projekt.</w:t>
      </w:r>
    </w:p>
    <w:p w14:paraId="5BFD36E9" w14:textId="77777777" w:rsidR="00E04D40" w:rsidRDefault="00E04D40" w:rsidP="00915639">
      <w:pPr>
        <w:rPr>
          <w:lang w:val="nl-NL"/>
        </w:rPr>
      </w:pPr>
    </w:p>
    <w:p w14:paraId="0E9EAC50" w14:textId="05337B38" w:rsidR="00762A11" w:rsidRPr="00762A11" w:rsidRDefault="00762A11" w:rsidP="00FB66D5">
      <w:pPr>
        <w:pStyle w:val="Heading2"/>
        <w:ind w:left="567" w:hanging="567"/>
      </w:pPr>
      <w:r>
        <w:t xml:space="preserve">Den befintliga rådgivande plattformen för det civila samhället och lokala myndigheter inom Global </w:t>
      </w:r>
      <w:proofErr w:type="spellStart"/>
      <w:r>
        <w:t>Gateway</w:t>
      </w:r>
      <w:proofErr w:type="spellEnd"/>
      <w:r>
        <w:t xml:space="preserve"> har i stort sett varit ineffektiv och saknat koppling till beslutsfattandet, medan företrädare för näringslivet rådfrågas separat via en annan rådgivande grupp. Detta leder till en splittrad dialog och förhindrar en verkligt inkluderande och samordnad strategi. EESK uppmanar kommissionen att se över och stärka dessa mekanismer för att säkerställa ett meningsfullt deltagande i de processer där politiken utformas och övervakas. EESK och </w:t>
      </w:r>
      <w:proofErr w:type="spellStart"/>
      <w:r>
        <w:t>ReK</w:t>
      </w:r>
      <w:proofErr w:type="spellEnd"/>
      <w:r>
        <w:t xml:space="preserve"> bör också garanteras en aktiv roll i denna mekanism och inte bara vara observatörer.</w:t>
      </w:r>
    </w:p>
    <w:p w14:paraId="13A50F39" w14:textId="77777777" w:rsidR="00762A11" w:rsidRPr="00762A11" w:rsidRDefault="00762A11" w:rsidP="00FB66D5">
      <w:pPr>
        <w:pStyle w:val="Heading2"/>
        <w:numPr>
          <w:ilvl w:val="0"/>
          <w:numId w:val="0"/>
        </w:numPr>
        <w:ind w:left="567"/>
      </w:pPr>
    </w:p>
    <w:p w14:paraId="386C3193" w14:textId="46084F3F" w:rsidR="00915639" w:rsidRDefault="00D12B42" w:rsidP="00FB66D5">
      <w:pPr>
        <w:pStyle w:val="Heading2"/>
        <w:ind w:left="567" w:hanging="567"/>
      </w:pPr>
      <w:r>
        <w:t>Europa i världen kännetecknas av konsolidering av mål, regionalisering och en väsentligt mer flexibel förvaltning av medel. EESK förväntar sig att detta kommer att underlätta utförandet av uppgifter, men befarar att det kommer att påverka det sätt på vilket EU:s politik förs, och att EU snarare kommer att reagera på händelser i stället för att ta egna initiativ. Kommittén förväntar sig öppenhet i beslutsfattandet och ett meningsfullt deltagande av det civila samhällets organisationer och arbetsmarknadens parter i EU-budgetens hela årliga planeringsprocess, samt i översyner och periodiska utvärderingar av hela fonden. Vi förväntar oss detta inte bara av EU, utan även av partnerländerna.</w:t>
      </w:r>
    </w:p>
    <w:p w14:paraId="6DABF485" w14:textId="6936EBE4" w:rsidR="006D064B" w:rsidRDefault="006D064B">
      <w:pPr>
        <w:spacing w:line="240" w:lineRule="auto"/>
        <w:jc w:val="left"/>
      </w:pPr>
      <w:r>
        <w:br w:type="page"/>
      </w:r>
    </w:p>
    <w:p w14:paraId="78D083E8" w14:textId="29AE684E" w:rsidR="00035F20" w:rsidRPr="006D064B" w:rsidRDefault="003C2B9F" w:rsidP="00FB66D5">
      <w:pPr>
        <w:pStyle w:val="Heading2"/>
        <w:ind w:left="567" w:hanging="567"/>
        <w:rPr>
          <w:spacing w:val="-2"/>
        </w:rPr>
      </w:pPr>
      <w:r w:rsidRPr="006D064B">
        <w:rPr>
          <w:spacing w:val="-2"/>
        </w:rPr>
        <w:lastRenderedPageBreak/>
        <w:t xml:space="preserve">EESK betonar behovet av att åstadkomma större överensstämmelse mellan utrikespolitiken, utvecklingen, handelsåtgärder och avtal samt Europeiska konkurrenskraftsfonden, för att se till att alla instrument tillsammans bidrar till att stödja EU:s värden, principer och bredare geopolitiska och ekonomiska mål. Sådana synergier skulle bidra till att utveckla ett sammanhängande och strategiskt tillvägagångssätt som stärker EU:s globala ställning för att uppnå en hållbar utveckling och ekonomisk </w:t>
      </w:r>
      <w:proofErr w:type="spellStart"/>
      <w:r w:rsidRPr="006D064B">
        <w:rPr>
          <w:spacing w:val="-2"/>
        </w:rPr>
        <w:t>resiliens</w:t>
      </w:r>
      <w:proofErr w:type="spellEnd"/>
      <w:r w:rsidRPr="006D064B">
        <w:rPr>
          <w:spacing w:val="-2"/>
        </w:rPr>
        <w:t>. Ett sådant tillvägagångssätt skulle dessutom öka EU:s konkurrenskraft och tillgång till finansiering. I detta sammanhang bör man även stödja kapacitetsuppbyggnad bland alla aktörer som är involverade i arbetet inom organ som arbetar med att övervaka relevanta handelsavtal mellan EU och partnerländer och partnerregioner.</w:t>
      </w:r>
    </w:p>
    <w:p w14:paraId="0227F746" w14:textId="77777777" w:rsidR="009F4D7C" w:rsidRDefault="009F4D7C" w:rsidP="009F4D7C"/>
    <w:p w14:paraId="476B0F5C" w14:textId="73D1F8E2" w:rsidR="009F4D7C" w:rsidRDefault="009F4D7C" w:rsidP="00FB66D5">
      <w:pPr>
        <w:pStyle w:val="Heading2"/>
        <w:ind w:left="567" w:hanging="567"/>
      </w:pPr>
      <w:r>
        <w:t>EESK välkomnar kommissionens ojämlikhetsmarkör (</w:t>
      </w:r>
      <w:proofErr w:type="spellStart"/>
      <w:r>
        <w:t>Inequality</w:t>
      </w:r>
      <w:proofErr w:type="spellEnd"/>
      <w:r>
        <w:t xml:space="preserve"> Marker) som ett värdefullt instrument för att mäta och effektivisera kampen mot ojämlikhet och garantera att utvecklings</w:t>
      </w:r>
      <w:r w:rsidR="006D064B">
        <w:softHyphen/>
      </w:r>
      <w:r>
        <w:t xml:space="preserve">biståndet är ändamålsenligt. Kommittén uppmanar vidare kommissionen att utvidga den till Global </w:t>
      </w:r>
      <w:proofErr w:type="spellStart"/>
      <w:r>
        <w:t>Gateway</w:t>
      </w:r>
      <w:proofErr w:type="spellEnd"/>
      <w:r>
        <w:t>-projekt. I detta avseende är det nödvändigt att ange en betydande procentandel projekt för vilka både den omfördelande och den sociala påverkan kan bedömas, även genom samråd med och deltagande av de berörda regionerna och befolkningsgrupperna.</w:t>
      </w:r>
    </w:p>
    <w:p w14:paraId="35263B55" w14:textId="77777777" w:rsidR="00C66534" w:rsidRDefault="00C66534" w:rsidP="00FB66D5">
      <w:pPr>
        <w:pStyle w:val="Heading2"/>
        <w:numPr>
          <w:ilvl w:val="0"/>
          <w:numId w:val="0"/>
        </w:numPr>
        <w:ind w:left="567"/>
      </w:pPr>
    </w:p>
    <w:p w14:paraId="620D617F" w14:textId="2D497D9C" w:rsidR="00C66534" w:rsidRDefault="00C66534" w:rsidP="00FB66D5">
      <w:pPr>
        <w:pStyle w:val="Heading2"/>
        <w:ind w:left="567" w:hanging="567"/>
      </w:pPr>
      <w:r>
        <w:t>EESK förväntar sig att befintliga organ, exempelvis plattformar för det civila samhället och andra med ansvar för samarbete med utomstående partner, rådfrågas och involveras i större utsträckning för att bygga och upprätthålla förbindelser med organisationer i partnerländer. Kommittén efterlyser därför att organisationer som är involverade i sådant samarbete ges stöd till kapacitetsuppbyggnad.</w:t>
      </w:r>
    </w:p>
    <w:p w14:paraId="05C4EDEC" w14:textId="77777777" w:rsidR="007C5700" w:rsidRDefault="007C5700" w:rsidP="00FB66D5">
      <w:pPr>
        <w:pStyle w:val="Heading2"/>
        <w:numPr>
          <w:ilvl w:val="0"/>
          <w:numId w:val="0"/>
        </w:numPr>
        <w:ind w:left="567"/>
      </w:pPr>
    </w:p>
    <w:p w14:paraId="13D06A83" w14:textId="36105D64" w:rsidR="007C5700" w:rsidRDefault="007C5700" w:rsidP="00FB66D5">
      <w:pPr>
        <w:pStyle w:val="Heading2"/>
        <w:ind w:left="567" w:hanging="567"/>
      </w:pPr>
      <w:r>
        <w:t>Det kommer att vara särskilt viktigt att stödja och finansiera det civila samhällets organisationer när stödet från andra aktörer minskar. Detta kommer att vara särskilt viktigt för att stärka demokratin, civilsamhällets demokratiska utrymme och jämställdheten samt bygga upp förbindelser mellan organisationer i EU och i partnerländer. Förutsebart och stabilt stöd är avgörande, särskilt för externa partner.</w:t>
      </w:r>
    </w:p>
    <w:p w14:paraId="7BAA8FDC" w14:textId="77777777" w:rsidR="00A7538B" w:rsidRDefault="00A7538B" w:rsidP="00FB66D5">
      <w:pPr>
        <w:pStyle w:val="Heading2"/>
        <w:numPr>
          <w:ilvl w:val="0"/>
          <w:numId w:val="0"/>
        </w:numPr>
        <w:ind w:left="567"/>
      </w:pPr>
    </w:p>
    <w:p w14:paraId="00BDC072" w14:textId="13F969F6" w:rsidR="00A7538B" w:rsidRPr="009F4D7C" w:rsidRDefault="00A7538B" w:rsidP="00FB66D5">
      <w:pPr>
        <w:pStyle w:val="Heading2"/>
        <w:ind w:left="567" w:hanging="567"/>
      </w:pPr>
      <w:r>
        <w:t>Kommittén stöder alla insatser för att öka välståndet och säkerheten i vårt grannskap och därmed inom EU. Efter mer än 11 år utan några nya medlemsstater måste EU blåsa nytt liv i utvidgningsprocessen, som är EU:s mest framgångsrika fredsprojekt.</w:t>
      </w:r>
    </w:p>
    <w:p w14:paraId="67D66879" w14:textId="77777777" w:rsidR="002058EB" w:rsidRDefault="002058EB">
      <w:pPr>
        <w:ind w:left="567" w:hanging="567"/>
        <w:rPr>
          <w:lang w:val="nl-NL"/>
        </w:rPr>
      </w:pPr>
    </w:p>
    <w:p w14:paraId="2FD054A0" w14:textId="6341A8CA" w:rsidR="00717452" w:rsidRDefault="005B7155" w:rsidP="00FB66D5">
      <w:pPr>
        <w:pStyle w:val="Heading2"/>
        <w:ind w:left="567" w:hanging="567"/>
      </w:pPr>
      <w:r>
        <w:t>EESK förväntar sig också att de mål som rör stimulans av ekonomiskt samarbete och entreprenörskap kommer att åtföljas av ambitiösa sociala, människorättsrelaterade och miljömässiga skyddsåtgärder. Det är särskilt viktigt att projekt inom ramen för detta instrument inte leder till exploatering av miljön och lokalsamhällen.</w:t>
      </w:r>
    </w:p>
    <w:p w14:paraId="6CBD96A8" w14:textId="77777777" w:rsidR="009D2FA3" w:rsidRPr="00046A1E" w:rsidRDefault="009D2FA3" w:rsidP="00FB66D5">
      <w:pPr>
        <w:pStyle w:val="Heading2"/>
        <w:numPr>
          <w:ilvl w:val="0"/>
          <w:numId w:val="0"/>
        </w:numPr>
        <w:ind w:left="567"/>
      </w:pPr>
    </w:p>
    <w:p w14:paraId="1C903111" w14:textId="77777777" w:rsidR="00191203" w:rsidRPr="00046A1E" w:rsidRDefault="00191203">
      <w:pPr>
        <w:pStyle w:val="Heading1"/>
      </w:pPr>
      <w:r>
        <w:t>Bakgrund till yttrandet, inklusive det berörda kommissionsdokumentet</w:t>
      </w:r>
    </w:p>
    <w:p w14:paraId="62B7156B" w14:textId="77777777" w:rsidR="00191203" w:rsidRPr="00046A1E" w:rsidRDefault="00191203">
      <w:pPr>
        <w:keepNext/>
      </w:pPr>
    </w:p>
    <w:p w14:paraId="4FE330BA" w14:textId="7F0F7399" w:rsidR="00323BE7" w:rsidRPr="00046A1E" w:rsidRDefault="00323BE7">
      <w:pPr>
        <w:pStyle w:val="Heading2"/>
        <w:ind w:left="567" w:hanging="567"/>
      </w:pPr>
      <w:r>
        <w:t xml:space="preserve">Kommissionen har föreslagit en flerårig budgetram till ett värde av nästan två biljoner euro (eller 1,26 % av EU:s genomsnittliga bruttonationalinkomst för perioden 2028–2034). Trots att denna volym innebär en anmärkningsvärd nominell ökning, exklusive justeringar för inflation och återbetalning av </w:t>
      </w:r>
      <w:proofErr w:type="spellStart"/>
      <w:r>
        <w:t>NextGenerationEU</w:t>
      </w:r>
      <w:proofErr w:type="spellEnd"/>
      <w:r>
        <w:t>, kommer detta bara att motsvara 1,15 % av EU:s bruttonationalinkomst och därmed knappt vara någon ökning alls jämfört med 1,13 % i föregående fleråriga budgetram.</w:t>
      </w:r>
    </w:p>
    <w:p w14:paraId="4A8457EB" w14:textId="262DBD93" w:rsidR="00323BE7" w:rsidRPr="00046A1E" w:rsidRDefault="00DB072E">
      <w:pPr>
        <w:pStyle w:val="Heading2"/>
        <w:ind w:left="567" w:hanging="567"/>
      </w:pPr>
      <w:r>
        <w:lastRenderedPageBreak/>
        <w:t>Enligt kommissionen vägleds den nya fleråriga budgetramen av specifika mål – ökad flexibilitet, förenkling, effektivisering och harmonisering av EU:s finansiella program, förbättrad lokal integrering, ökad konkurrenskraft och tillhandahållande av ett paket av egna medel för EU.</w:t>
      </w:r>
    </w:p>
    <w:p w14:paraId="522D9E93" w14:textId="77777777" w:rsidR="00323BE7" w:rsidRPr="00046A1E" w:rsidRDefault="00323BE7">
      <w:pPr>
        <w:pStyle w:val="Heading2"/>
        <w:numPr>
          <w:ilvl w:val="0"/>
          <w:numId w:val="0"/>
        </w:numPr>
        <w:ind w:left="567" w:hanging="567"/>
      </w:pPr>
    </w:p>
    <w:p w14:paraId="3B293CD4" w14:textId="0DE86A22" w:rsidR="00323BE7" w:rsidRPr="00046A1E" w:rsidRDefault="00323BE7">
      <w:pPr>
        <w:pStyle w:val="Heading2"/>
        <w:ind w:left="567" w:hanging="567"/>
      </w:pPr>
      <w:r>
        <w:t>Den fleråriga budgetramens övergripande struktur har förenklats och omfattar fyra huvudrubriker – 1) ekonomisk, social och territoriell sammanhållning, jordbruk, välstånd i landsbygdsområden och marina områden och säkerhet, 2) konkurrenskraft, välstånd och säkerhet, 3) Europa i världen och 4) administration.</w:t>
      </w:r>
    </w:p>
    <w:p w14:paraId="380F592C" w14:textId="77777777" w:rsidR="00323BE7" w:rsidRPr="00046A1E" w:rsidRDefault="00323BE7">
      <w:pPr>
        <w:pStyle w:val="Heading2"/>
        <w:numPr>
          <w:ilvl w:val="0"/>
          <w:numId w:val="0"/>
        </w:numPr>
      </w:pPr>
    </w:p>
    <w:p w14:paraId="34AFE3CA" w14:textId="48406BDD" w:rsidR="00035F20" w:rsidRPr="00046A1E" w:rsidRDefault="00323BE7">
      <w:pPr>
        <w:pStyle w:val="Heading2"/>
        <w:ind w:left="567" w:hanging="567"/>
      </w:pPr>
      <w:r>
        <w:t>Området Europa i världen, som är temat för detta yttrande, har tilldelats en budget på 200,3 miljarder euro – exklusive stöd till Ukraina, som utgör en reserv på högst 100 miljarder euro över den fleråriga budgetramens tak. Detta utgör en betydande nominell ökning på 74 % jämfört med den nuvarande fleråriga budgetramen. När inflationen tas i beaktande är den verkliga ökningen av utgifterna inom ramen för den yttre politiken dock mer blygsam. EESK välkomnar likväl de ökade utgifterna, med tanke på de många geopolitiska utmaningarna</w:t>
      </w:r>
      <w:r w:rsidR="00137705" w:rsidRPr="00046A1E">
        <w:rPr>
          <w:rStyle w:val="FootnoteReference"/>
        </w:rPr>
        <w:footnoteReference w:id="2"/>
      </w:r>
      <w:r>
        <w:t xml:space="preserve"> och det faktum att flera länder, däribland Förenta staterna, minskar sina utgifter för internationellt samarbete. Detta kan ge EU möjlighet att bli en viktigare aktör i internationella processer.</w:t>
      </w:r>
    </w:p>
    <w:p w14:paraId="4C875933" w14:textId="77777777" w:rsidR="00191203" w:rsidRPr="00046A1E" w:rsidRDefault="00191203">
      <w:pPr>
        <w:pStyle w:val="Heading2"/>
        <w:numPr>
          <w:ilvl w:val="0"/>
          <w:numId w:val="0"/>
        </w:numPr>
      </w:pPr>
    </w:p>
    <w:p w14:paraId="3BB8E46F" w14:textId="45DABFBD" w:rsidR="00AE2E52" w:rsidRPr="00046A1E" w:rsidRDefault="00191203">
      <w:pPr>
        <w:pStyle w:val="Heading1"/>
      </w:pPr>
      <w:r>
        <w:t>Allmänna kommentarer</w:t>
      </w:r>
    </w:p>
    <w:p w14:paraId="28035F97" w14:textId="77777777" w:rsidR="00E50612" w:rsidRPr="00046A1E" w:rsidRDefault="00E50612">
      <w:pPr>
        <w:keepNext/>
      </w:pPr>
    </w:p>
    <w:p w14:paraId="2D5B4F54" w14:textId="3DC995C2" w:rsidR="000852D5" w:rsidRPr="00046A1E" w:rsidRDefault="000852D5">
      <w:pPr>
        <w:pStyle w:val="Heading2"/>
        <w:ind w:left="567" w:hanging="567"/>
      </w:pPr>
      <w:r>
        <w:t>EESK välkomnar Europa i världen och anser att det utgör ett positivt steg för att stärka EU:s yttre åtgärder. Europa i världen är nödvändigt för att ta itu med kommande utmaningar, och ger EU möjlighet att befästa sin roll som global aktör, främja hållbar utveckling, multilateralism, dialog och fred, utrota fattigdom, värna mänskliga rättigheter och jämlikhet, diversifiera sina exportmarknader, stödja regioner och företag i detta arbete, främja sina källor till hållbar inre tillväxt och öka sitt strategiska oberoende på områdena utrikespolitik, diplomati, säkerhet och försvar.</w:t>
      </w:r>
    </w:p>
    <w:p w14:paraId="4F57351A" w14:textId="77777777" w:rsidR="000852D5" w:rsidRPr="00046A1E" w:rsidRDefault="000852D5"/>
    <w:p w14:paraId="5F2AFA4A" w14:textId="43DB5EEF" w:rsidR="000852D5" w:rsidRPr="00046A1E" w:rsidRDefault="000852D5">
      <w:pPr>
        <w:pStyle w:val="Heading2"/>
        <w:ind w:left="567" w:hanging="567"/>
      </w:pPr>
      <w:r>
        <w:t xml:space="preserve">EESK betonar behovet av att åstadkomma större överensstämmelse mellan utrikespolitiken, handelsåtgärder och avtal samt Europeiska konkurrenskraftsfonden, för att se till att alla instrument tillsammans bidrar till att stödja EU:s allmänna geopolitiska och ekonomiska mål och upprätthålla EU:s värden och principer, inbegripet mänskliga rättigheter och jämlikhet. Sådana synergier skulle bidra till att utveckla ett sammanhängande och strategiskt tillvägagångssätt som stärker EU:s globala ställning för att uppnå hållbar tillväxt och ekonomisk </w:t>
      </w:r>
      <w:proofErr w:type="spellStart"/>
      <w:r>
        <w:t>resiliens</w:t>
      </w:r>
      <w:proofErr w:type="spellEnd"/>
      <w:r>
        <w:t xml:space="preserve">. Ett sådant tillvägagångssätt skulle dessutom öka EU:s konkurrenskraft och tillgång till finansiering. </w:t>
      </w:r>
    </w:p>
    <w:p w14:paraId="48302A23" w14:textId="77777777" w:rsidR="000852D5" w:rsidRPr="00046A1E" w:rsidRDefault="000852D5">
      <w:pPr>
        <w:ind w:left="567" w:hanging="567"/>
      </w:pPr>
    </w:p>
    <w:p w14:paraId="0F7C51BC" w14:textId="5E7A2F51" w:rsidR="00AE2E52" w:rsidRPr="00046A1E" w:rsidRDefault="00AE2E52">
      <w:pPr>
        <w:pStyle w:val="Heading2"/>
        <w:ind w:left="567" w:hanging="567"/>
      </w:pPr>
      <w:r>
        <w:t xml:space="preserve">Den fjärde konferensen om utvecklingsfinansiering hölls i Sevilla den 30 juni. Vid denna konferens samlades företrädare för 190 FN-stater (exklusive Förenta staterna) med det gemensamma målet att mobilisera resurser för målen för hållbar utveckling och på nytt bekräfta förtroendet för multilateralism. Vid konferensen antogs Sevillaåtagandet, med inriktning på </w:t>
      </w:r>
      <w:r>
        <w:lastRenderedPageBreak/>
        <w:t>åtaganden i fråga om fattigdom, ojämlikhet och hållbarhet. BNI-målet på 0,7 % för offentligt utvecklingsbistånd bekräftades på nytt, även om det hotas av drastiska nedskärningar. Lanseringen av den globala alliansen mot ojämlikhet, som förespråkades i Sevilla av utvecklingsländer, var ett positivt resultat. Mänsklig utveckling och social inkludering, inbegripet hälsa och socialt skydd samt försvar av kollektiva nyttigheter, måste också utgöra ett inslag i yttre åtgärder. Detta åtagande måste bli en del av ramen för framtidens Europa i världen.</w:t>
      </w:r>
    </w:p>
    <w:p w14:paraId="699BC7E4" w14:textId="77777777" w:rsidR="00191203" w:rsidRPr="00046A1E" w:rsidRDefault="00191203"/>
    <w:p w14:paraId="7C41FDBB" w14:textId="7325783D" w:rsidR="00323BE7" w:rsidRPr="00046A1E" w:rsidRDefault="00323BE7">
      <w:pPr>
        <w:pStyle w:val="Heading2"/>
        <w:ind w:left="567" w:hanging="567"/>
      </w:pPr>
      <w:r>
        <w:t>Det nya Europa i världen kommer att vara baserat på en ny finansiell struktur. Till skillnad från den nuvarande modellen (instrumentet för grannskapet, utvecklingssamarbete och internationellt samarbete), som har tre pelare (geografisk, tematisk och en mekanism för snabba insatser) kommer det planerade Europa i världen att vara mer centraliserat och mer baserat på konsolidering. Det kommer att kombinera nuvarande instrument (avseende utveckling, grannskapet, humanitärt bistånd och föranslutningsstöd) till ett enda, enhetligt verktyg som främst fokuserar på geografisk täckning.</w:t>
      </w:r>
    </w:p>
    <w:p w14:paraId="0AAFF236" w14:textId="77777777" w:rsidR="00323BE7" w:rsidRPr="00046A1E" w:rsidRDefault="00323BE7">
      <w:pPr>
        <w:pStyle w:val="Heading2"/>
        <w:numPr>
          <w:ilvl w:val="0"/>
          <w:numId w:val="0"/>
        </w:numPr>
        <w:ind w:left="567" w:hanging="567"/>
      </w:pPr>
    </w:p>
    <w:p w14:paraId="1AEBBE16" w14:textId="23346369" w:rsidR="00323BE7" w:rsidRPr="00046A1E" w:rsidRDefault="00323BE7">
      <w:pPr>
        <w:pStyle w:val="Heading2"/>
        <w:ind w:left="567" w:hanging="567"/>
      </w:pPr>
      <w:r>
        <w:t>Instrumentet Europa i världen är baserat på sex pelare. Det finns fem geografiska pelare – 1. Europa (43,17 miljarder euro), 2. Mellanöstern, Nordafrika och Gulfstaterna (42,93 miljarder euro), 3. Afrika söder om Sahara (60,53 miljarder euro), 4. Asien och Stillahavsområdet: (17,05 miljarder euro) och 5. Nord- och Sydamerika samt Karibien (9,14 miljarder euro) – och en global pelare (12,67 miljarder euro) som syftar till att fokusera på globala initiativ. Det inbegriper de tidigare fristående programmen för mänskliga rättigheter, det civila samhället och globala allmänna nyttigheter.</w:t>
      </w:r>
    </w:p>
    <w:p w14:paraId="60E81BDF" w14:textId="77777777" w:rsidR="00323BE7" w:rsidRPr="00046A1E" w:rsidRDefault="00323BE7"/>
    <w:p w14:paraId="43821799" w14:textId="5404024B" w:rsidR="00323BE7" w:rsidRPr="00046A1E" w:rsidRDefault="00243250">
      <w:pPr>
        <w:pStyle w:val="Heading2"/>
        <w:ind w:left="567" w:hanging="567"/>
      </w:pPr>
      <w:r>
        <w:t xml:space="preserve">Dessa sex pelare består av programplanerade och icke-programplanerade åtgärder. De icke-programplanerade medlen omfattar humanitärt bistånd, makroekonomiskt stöd, </w:t>
      </w:r>
      <w:proofErr w:type="spellStart"/>
      <w:r>
        <w:t>resiliens</w:t>
      </w:r>
      <w:proofErr w:type="spellEnd"/>
      <w:r>
        <w:t>, konkurrenskraft samt behov kopplade till kriser, fred och utrikespolitik. Bufferten för nya utmaningar och prioriteringar utgör en budgetbuffert. En ökning av anslagen till bufferten föreslås jämfört med den nuvarande fleråriga budgetramen, vilket, med tanke på att de tillgängliga medlen förbrukades ganska snabbt i den nuvarande budgetramen, också kan betraktas som en positiv utveckling.</w:t>
      </w:r>
    </w:p>
    <w:p w14:paraId="398E9BC0" w14:textId="1D2F6305" w:rsidR="0024509A" w:rsidRPr="00046A1E" w:rsidRDefault="0024509A">
      <w:pPr>
        <w:ind w:left="567" w:hanging="567"/>
      </w:pPr>
    </w:p>
    <w:p w14:paraId="1A228843" w14:textId="4633D235" w:rsidR="0024509A" w:rsidRPr="00046A1E" w:rsidRDefault="0024509A">
      <w:pPr>
        <w:pStyle w:val="Heading2"/>
        <w:ind w:left="567" w:hanging="567"/>
      </w:pPr>
      <w:r>
        <w:t>I förslaget till förordning om Europa i världen finns en stark betoning på finansieringens flexibilitet, vilket EESK i princip välkomnar eftersom flexibilitet och förmåga att reagera snabbt på nödsituationer kan förbättra EU:s trovärdighet och motverka uppfattningen att EU är en alltför byråkratisk och trög struktur. EESK rekommenderar dock starkt att man behåller tydliga och ambitiösa ekonomiska, sociala och miljömässiga mål, för att säkerställa största möjliga effektivitet och anpassning i hela den fleråriga budgetramen.</w:t>
      </w:r>
    </w:p>
    <w:p w14:paraId="00CF9913" w14:textId="77777777" w:rsidR="00323BE7" w:rsidRPr="00046A1E" w:rsidRDefault="00323BE7">
      <w:pPr>
        <w:pStyle w:val="Heading2"/>
        <w:numPr>
          <w:ilvl w:val="0"/>
          <w:numId w:val="0"/>
        </w:numPr>
      </w:pPr>
    </w:p>
    <w:p w14:paraId="031372D4" w14:textId="4E08B722" w:rsidR="00E5277E" w:rsidRDefault="00121EDE">
      <w:pPr>
        <w:pStyle w:val="Heading2"/>
        <w:ind w:left="567" w:hanging="567"/>
      </w:pPr>
      <w:r>
        <w:t>Avsaknaden av specifika jämställdhetsmål kan äventyra och minska det ekonomiska åtagandet för att främja jämställdhet och kvinnors rättigheter globalt, mot bakgrund av en snabb minskning av civilsamhällets demokratiska utrymme, en jämställdhetsfientlig rörelse och nedskärningar i offentligt utvecklingsbistånd som främst påverkar kvinnor och flickor.</w:t>
      </w:r>
    </w:p>
    <w:p w14:paraId="616BD179" w14:textId="77777777" w:rsidR="00121EDE" w:rsidRPr="00121EDE" w:rsidRDefault="00121EDE"/>
    <w:p w14:paraId="37302A12" w14:textId="1474A2AC" w:rsidR="00323BE7" w:rsidRPr="00046A1E" w:rsidRDefault="00323BE7">
      <w:pPr>
        <w:pStyle w:val="Heading2"/>
        <w:ind w:left="567" w:hanging="567"/>
      </w:pPr>
      <w:r>
        <w:lastRenderedPageBreak/>
        <w:t>Det återstående kvantitativa målet avser offentligt utvecklingsbistånd och fastställs till minst 90 % av utgifterna, med ytterligare klimat- och miljömål på 30 %.</w:t>
      </w:r>
      <w:r w:rsidR="00AF362D">
        <w:rPr>
          <w:rStyle w:val="FootnoteReference"/>
        </w:rPr>
        <w:footnoteReference w:id="3"/>
      </w:r>
      <w:r>
        <w:t xml:space="preserve"> Även detta mål kan dock ändras av kommissionen genom en delegerad akt, utan att hela förordningen behöver omarbetas på nytt (artikel 6.6). EESK uppmanar med eftertryck kommissionen att garantera att den, trots denna möjlighet, kommer att fortsätta sträva efter att främja en rättvis utveckling – särskilt på områden som socialpolitik, hälsa och humankapital i mindre utvecklade länder – och tillhandahålla stabilt och förutsägbart stöd.</w:t>
      </w:r>
    </w:p>
    <w:p w14:paraId="70354EE4" w14:textId="364F7DD6" w:rsidR="00003776" w:rsidRPr="00046A1E" w:rsidRDefault="00003776">
      <w:pPr>
        <w:ind w:left="567" w:hanging="567"/>
      </w:pPr>
    </w:p>
    <w:p w14:paraId="229B5BA0" w14:textId="5EA42834" w:rsidR="00003776" w:rsidRPr="00046A1E" w:rsidRDefault="00003776">
      <w:pPr>
        <w:pStyle w:val="Heading2"/>
        <w:ind w:left="567" w:hanging="567"/>
      </w:pPr>
      <w:r>
        <w:t xml:space="preserve">EESK noterar också att det i artikel 12.3 i förslaget till förordning införs en möjlighet att ställa in betalningar om det konstateras förekomma allvarliga brister i partnerländernas beredskap att återta sina egna medborgare. Detta är det enda område där ett sådant alternativ föreslås i händelse av allvarliga brister från tredjeländernas sida. Inga liknande åtgärder förväntas när det gäller andra viktiga politikområden, till exempel kränkningar av de mänskliga rättigheterna och grundläggande arbetsnormer. EESK motsätter sig ett sådant tillvägagångssätt, eftersom vi behöver positiva incitament för att uppnå avgörande mål. Eftersom det angivna centrala målet för artikel 12 om migration och tvångsförflyttning, inbegripet irreguljär migration och dess bakomliggande orsaker, innebär att EU åtar sig att följa en övergripande strategi som bygger på partnerskap med tredjeländer, skulle ett sådant tillvägagångssätt till stor del vara kontraproduktivt. </w:t>
      </w:r>
    </w:p>
    <w:p w14:paraId="4DCAC8E9" w14:textId="77777777" w:rsidR="00323BE7" w:rsidRPr="00046A1E" w:rsidRDefault="00323BE7"/>
    <w:p w14:paraId="778A65D0" w14:textId="4B0C19C9" w:rsidR="00323BE7" w:rsidRPr="00046A1E" w:rsidRDefault="00323BE7">
      <w:pPr>
        <w:pStyle w:val="Heading2"/>
        <w:ind w:left="567" w:hanging="567"/>
      </w:pPr>
      <w:r>
        <w:t>Trots den positiva bedömningen av den föreslagna flexibiliteten i yttre åtgärder förväntar sig det civila samhället full öppenhet och ansvarsskyldighet när medlen används. EESK begär att medel som anslås inom Europa i världen ska vara föremål för regelbundna revisioner. Den årliga budgetplaneringen kommer att vara särskilt viktig. EESK kommer även att lägga fram sina egna iakttagelser och rekommendationer när det gäller planerad verksamhet.</w:t>
      </w:r>
    </w:p>
    <w:p w14:paraId="1370CE3B" w14:textId="77777777" w:rsidR="00323BE7" w:rsidRPr="00046A1E" w:rsidRDefault="00323BE7">
      <w:pPr>
        <w:ind w:left="567" w:hanging="567"/>
      </w:pPr>
    </w:p>
    <w:p w14:paraId="69A47609" w14:textId="4E9F42A5" w:rsidR="00323BE7" w:rsidRPr="00046A1E" w:rsidRDefault="00323BE7">
      <w:pPr>
        <w:pStyle w:val="Heading2"/>
        <w:ind w:left="567" w:hanging="567"/>
      </w:pPr>
      <w:r>
        <w:t>Denna planering och revision kommer att vara avgörande, eftersom förordningens ganska allmänna beskrivning av prioriteringar och dess avsaknad av hänvisningar till strategiska dokument i slutändan kommer att uppmuntra EU att agera reaktivt, och potentiellt förlora ett mer strategiskt och långsiktigt perspektiv ur sikte till skada för utomstående partner, särskilt mottagare av EU-stöd. Inom den nuvarande ramen definieras vissa åtgärder på lägsta möjliga nivå. Detta är särskilt viktigt eftersom det enligt artikel 17.2 i förordningen är möjligt att se över de fleråriga vägledande programmen om det görs betydande ändringar i den politiska ramen eller efter en krissituation eller efterkrissituation.</w:t>
      </w:r>
    </w:p>
    <w:p w14:paraId="655137D8" w14:textId="77777777" w:rsidR="00323BE7" w:rsidRPr="00046A1E" w:rsidRDefault="00323BE7"/>
    <w:p w14:paraId="77D84DFB" w14:textId="33701F51" w:rsidR="00323BE7" w:rsidRPr="00046A1E" w:rsidRDefault="00AA6BAE">
      <w:pPr>
        <w:pStyle w:val="Heading2"/>
        <w:ind w:left="567" w:hanging="567"/>
      </w:pPr>
      <w:r>
        <w:t>Det kommer också att vara särskilt viktigt med tanke på att Europa i världen kommer att lägga metoden att involvera andra parter än kommissionen på förhand bakom sig, och gå över till att utvärdera i efterhand, vilket utgör ett betydande paradigmskifte och ger upphov till legitima frågor om behörighet på området yttre politik och det slutgiltiga ansvaret för det. Detta bör bedömas ytterligare i förhållande till vilka delar som effektiviseras enligt den föreslagna övergripande prestationsförordningen.</w:t>
      </w:r>
    </w:p>
    <w:p w14:paraId="40348155" w14:textId="77777777" w:rsidR="00323BE7" w:rsidRPr="00046A1E" w:rsidRDefault="00323BE7">
      <w:pPr>
        <w:ind w:left="567" w:hanging="567"/>
      </w:pPr>
    </w:p>
    <w:p w14:paraId="39526A21" w14:textId="7DED5976" w:rsidR="00323BE7" w:rsidRPr="00046A1E" w:rsidRDefault="00323BE7">
      <w:pPr>
        <w:pStyle w:val="Heading2"/>
        <w:ind w:left="567" w:hanging="567"/>
      </w:pPr>
      <w:r>
        <w:lastRenderedPageBreak/>
        <w:t>Regionaliseringen av utgifter, som beskrivs ovan, bör inte vara ett självändamål. Korrekt, detaljerad målinriktning av utgifter kommer att vara avgörande för att säkerställa största möjliga effektivitet, inte bara i rent ekonomiskt hänseende. EESK förespråkar därför starkt att programplanering och utvärdering av utgifter bör involvera partner som representerar det civila samhället och arbetsmarknadens parter i både EU och partnerländerna. Den roll som spelas av bilaterala organ som omfattar företrädare för det civila samhällets organisationer bör betonas här. De är utrymmen för dialog som redan etablerats och som involverar aktörer med den erfarenhet och de kunskaper som behövs för att ge råd till EU-institutionerna med ansvar för EU:s yttre politik och utbyta kunskaper med utomstående partner.</w:t>
      </w:r>
    </w:p>
    <w:p w14:paraId="29BE3C12" w14:textId="77777777" w:rsidR="00323BE7" w:rsidRPr="00046A1E" w:rsidRDefault="00323BE7"/>
    <w:p w14:paraId="02134E58" w14:textId="51940E20" w:rsidR="00323BE7" w:rsidRPr="00046A1E" w:rsidRDefault="00323BE7">
      <w:pPr>
        <w:pStyle w:val="Heading2"/>
        <w:ind w:left="567" w:hanging="567"/>
      </w:pPr>
      <w:r>
        <w:t>EESK efterlyser därför kapacitetsuppbyggnad för organ som verkar för samarbete med organisationer i det civila samhället och arbetsmarknadens parter i partnerländer, däribland ungdomsorganisationer, särskilt genom att tillhandahålla tillräckliga resurser för att regelbundna möten ska kunna hållas. Bristen på resurser för detta syfte, särskilt för kostnader för resor och logi, är ett stort hinder för att ytterligare intensifiera och fördjupa samarbetet.</w:t>
      </w:r>
    </w:p>
    <w:p w14:paraId="39B1243E" w14:textId="77777777" w:rsidR="00323BE7" w:rsidRPr="00046A1E" w:rsidRDefault="00323BE7">
      <w:pPr>
        <w:ind w:left="567" w:hanging="567"/>
      </w:pPr>
    </w:p>
    <w:p w14:paraId="5BC820B0" w14:textId="4ECC8A42" w:rsidR="00323BE7" w:rsidRPr="00046A1E" w:rsidRDefault="00323BE7">
      <w:pPr>
        <w:pStyle w:val="Heading2"/>
        <w:ind w:left="567" w:hanging="567"/>
      </w:pPr>
      <w:r>
        <w:t xml:space="preserve">Såsom redan nämnts kommer antalet tematiska prioriteringar inom de globala programmen att minskas. Dessa program är traditionellt sett inriktade på att stödja det civila samhället, även utan </w:t>
      </w:r>
      <w:proofErr w:type="spellStart"/>
      <w:r>
        <w:t>värdstaternas</w:t>
      </w:r>
      <w:proofErr w:type="spellEnd"/>
      <w:r>
        <w:t xml:space="preserve"> samtycke. Fokus på ekonomisk planering på det sätt som föreskrivs i den fleråriga budgetramen innebär därför en betydande risk för att andelen globala initiativ till stöd för demokrati, det civila samhället och jämställdhet kommer att minska. Det skulle utgöra ett förlorat tillfälle för EU att täppa till luckor som har uppstått till följd av andra länders minskningar av sina internationella utgifter.</w:t>
      </w:r>
    </w:p>
    <w:p w14:paraId="279AD954" w14:textId="77777777" w:rsidR="00323BE7" w:rsidRPr="00046A1E" w:rsidRDefault="00323BE7">
      <w:pPr>
        <w:ind w:left="567" w:hanging="567"/>
      </w:pPr>
    </w:p>
    <w:p w14:paraId="7A9039BD" w14:textId="0DDA7869" w:rsidR="00323BE7" w:rsidRPr="00046A1E" w:rsidRDefault="00323BE7">
      <w:pPr>
        <w:pStyle w:val="Heading2"/>
        <w:ind w:left="567" w:hanging="567"/>
      </w:pPr>
      <w:r>
        <w:t>EESK välkomnar ett större fokus i Europa i världen på att uppnå konkreta fördelar för EU på internationell nivå, på det sätt som beskrivs i artikel 5 i förslaget till förordning. I det rådande geopolitiska läget är utökat samarbete med partner, större beslutsamhet och försvar av europeiska intressen på global nivå nödvändiga, liksom genomförandet av EU:s strategiska mål. Detta är särskilt viktigt med tanke på dess centrala betydelse för EU:s ekonomi. Medel som spenderas inom och utanför EU:s gränser ger generellt en positiv skjuts åt EU:s ekonomi.</w:t>
      </w:r>
    </w:p>
    <w:p w14:paraId="7ADC9D54" w14:textId="77777777" w:rsidR="00AE2E52" w:rsidRPr="00046A1E" w:rsidRDefault="00AE2E52"/>
    <w:p w14:paraId="07C88EB1" w14:textId="67D7FCA2" w:rsidR="00323BE7" w:rsidRPr="00046A1E" w:rsidRDefault="00323BE7">
      <w:pPr>
        <w:pStyle w:val="Heading2"/>
        <w:ind w:left="567" w:hanging="567"/>
      </w:pPr>
      <w:r>
        <w:t xml:space="preserve">I detta sammanhang får Global </w:t>
      </w:r>
      <w:proofErr w:type="spellStart"/>
      <w:r>
        <w:t>Gateway</w:t>
      </w:r>
      <w:proofErr w:type="spellEnd"/>
      <w:r>
        <w:t xml:space="preserve">, som med rätta har erkänts av kommissionen som ett nyckelinstrument för ekonomisk utrikespolitik, allt större betydelse. Det kommer att möjliggöra större externa investeringar i syfte att uppnå målen för hållbar utveckling i partnerskap med partnerländer. Det kommer att vara avgörande för alla medlemsstater inom ramen för dessa investeringar att bygga upp ett aktivt och jämlikt samarbete. Global </w:t>
      </w:r>
      <w:proofErr w:type="spellStart"/>
      <w:r>
        <w:t>Gateway</w:t>
      </w:r>
      <w:proofErr w:type="spellEnd"/>
      <w:r>
        <w:t xml:space="preserve"> innebär också betydande investeringar i infrastruktur för transport av viktiga mineraler, med särskilt fokus på privata företag. EU måste delta i detta för att säkerställa hållbar tillväxt och undvika social och miljömässig exploatering.</w:t>
      </w:r>
    </w:p>
    <w:p w14:paraId="00D077BD" w14:textId="77777777" w:rsidR="00497363" w:rsidRPr="00046A1E" w:rsidRDefault="00497363">
      <w:pPr>
        <w:ind w:left="567" w:hanging="567"/>
      </w:pPr>
    </w:p>
    <w:p w14:paraId="30F71182" w14:textId="08E2579D" w:rsidR="00915639" w:rsidRDefault="00497363" w:rsidP="00915639">
      <w:pPr>
        <w:pStyle w:val="Heading2"/>
        <w:ind w:left="567" w:hanging="567"/>
      </w:pPr>
      <w:r>
        <w:t xml:space="preserve">Global </w:t>
      </w:r>
      <w:proofErr w:type="spellStart"/>
      <w:r>
        <w:t>Gateway</w:t>
      </w:r>
      <w:proofErr w:type="spellEnd"/>
      <w:r>
        <w:t xml:space="preserve"> bör bli den politiska referensramen för strävan mot en ”</w:t>
      </w:r>
      <w:proofErr w:type="spellStart"/>
      <w:r>
        <w:t>multilateralisering</w:t>
      </w:r>
      <w:proofErr w:type="spellEnd"/>
      <w:r>
        <w:t xml:space="preserve">” av Europa i världen. I detta sammanhang kan alltför stor ”regionalisering” medföra negativa konsekvenser genom att man tappar det globala strategiska perspektivet. EU skulle kunna bli ett globalt nav för pragmatisk multilateralism som kan gynna FN:s pånyttfödelse. Därför bör Global </w:t>
      </w:r>
      <w:proofErr w:type="spellStart"/>
      <w:r>
        <w:t>Gateway</w:t>
      </w:r>
      <w:proofErr w:type="spellEnd"/>
      <w:r>
        <w:t xml:space="preserve"> omvandlas från ett partnerskap till en verklig strategisk allians.</w:t>
      </w:r>
    </w:p>
    <w:p w14:paraId="5675F6C7" w14:textId="77777777" w:rsidR="00915639" w:rsidRPr="00516C13" w:rsidRDefault="00915639" w:rsidP="00915639">
      <w:pPr>
        <w:rPr>
          <w:lang w:val="nl-NL"/>
        </w:rPr>
      </w:pPr>
    </w:p>
    <w:p w14:paraId="276C054C" w14:textId="745C9941" w:rsidR="005E0EE6" w:rsidRDefault="005E0EE6" w:rsidP="00516C13">
      <w:pPr>
        <w:pStyle w:val="Heading2"/>
        <w:ind w:left="567" w:hanging="567"/>
      </w:pPr>
      <w:r>
        <w:lastRenderedPageBreak/>
        <w:t xml:space="preserve">EESK beklagar att Global </w:t>
      </w:r>
      <w:proofErr w:type="spellStart"/>
      <w:r>
        <w:t>Gateway</w:t>
      </w:r>
      <w:proofErr w:type="spellEnd"/>
      <w:r>
        <w:t xml:space="preserve">, trots dess centrala roll för EU:s yttre åtgärder, hittills inte inneburit att det civila samhället involverats på ett meningsfullt sätt. EESK uppmanar kommissionen att se till att det civila samhället ges möjlighet att delta i styrningen av strategin och att de nödvändiga villkoren för deltagande uppfylls, i synnerhet transparens, tillgång till information, tydliga styrningsstrukturer och samrådsprocesser vid rätt tidpunkt. Den befintliga rådgivande plattformen för det civila samhället och lokala myndigheter inom Global </w:t>
      </w:r>
      <w:proofErr w:type="spellStart"/>
      <w:r>
        <w:t>Gateway</w:t>
      </w:r>
      <w:proofErr w:type="spellEnd"/>
      <w:r>
        <w:t xml:space="preserve"> har i stort sett varit ineffektiv och saknat koppling till beslutsfattandet, medan företrädare för näringslivet rådfrågas separat via en annan rådgivande grupp. Detta leder till en splittrad dialog och förhindrar en verkligt inkluderande och samordnad strategi. EESK uppmanar kommissionen att se över och stärka dessa mekanismer för att säkerställa ett meningsfullt deltagande i de processer där politiken utformas och övervakas. EESK och </w:t>
      </w:r>
      <w:proofErr w:type="spellStart"/>
      <w:r>
        <w:t>ReK</w:t>
      </w:r>
      <w:proofErr w:type="spellEnd"/>
      <w:r>
        <w:t xml:space="preserve"> bör också garanteras en aktiv roll i denna mekanism och inte bara vara observatörer.</w:t>
      </w:r>
    </w:p>
    <w:p w14:paraId="7D571861" w14:textId="77777777" w:rsidR="00857294" w:rsidRDefault="00857294" w:rsidP="00915639">
      <w:pPr>
        <w:rPr>
          <w:lang w:val="nl-NL"/>
        </w:rPr>
      </w:pPr>
    </w:p>
    <w:p w14:paraId="3E2970AF" w14:textId="1F703BBD" w:rsidR="005E0EE6" w:rsidRPr="00516C13" w:rsidRDefault="005E0EE6" w:rsidP="00516C13">
      <w:pPr>
        <w:pStyle w:val="Heading2"/>
        <w:ind w:left="567" w:hanging="567"/>
      </w:pPr>
      <w:r>
        <w:t>EESK anser det vara viktigt att snabbt inrätta såväl den mekanism för deltagande av berörda parter som föreskrivs i Samoa-avtalet som en permanent mekanism för det civila samhällets engagemang i EU och Afrika. EESK bör på lämpligt sätt involveras i dessa mekanismer som det organiserade civila samhällets röst i EU:s institutionella ram.</w:t>
      </w:r>
    </w:p>
    <w:p w14:paraId="0CA9A679" w14:textId="77777777" w:rsidR="005E0EE6" w:rsidRPr="00516C13" w:rsidRDefault="005E0EE6" w:rsidP="00FB66D5"/>
    <w:p w14:paraId="1E800B8F" w14:textId="2FB09582" w:rsidR="00135C14" w:rsidRDefault="00DD3C51" w:rsidP="00FB66D5">
      <w:pPr>
        <w:pStyle w:val="Heading2"/>
        <w:ind w:left="567" w:hanging="567"/>
      </w:pPr>
      <w:r>
        <w:t>Rent generellt vill EESK belysa att Europa i världen kan leda till positiva resultat – främst ökad konkurrenskraft, tillgång till finansiering och hävstångseffekter inom den privata sektorn, men förslaget ger upphov till farhågor som behöver hanteras. Tillgången till EU-medel förväntas bli enklare och ingen ny börda förväntas läggas på samhället och på företag när det inte är nödvändigt. EESK betonar att EU:s yttre politik bör bidra till investeringar och vara starkt sammankopplad med en ambitiös handelspolitik. Detta bör underlättas av starka partnerskap världen över.</w:t>
      </w:r>
    </w:p>
    <w:p w14:paraId="7AB7461E" w14:textId="77777777" w:rsidR="00FB66D5" w:rsidRPr="00FB66D5" w:rsidRDefault="00FB66D5" w:rsidP="00FB66D5"/>
    <w:p w14:paraId="699B3D8F" w14:textId="50D23270" w:rsidR="00323BE7" w:rsidRDefault="00336F9F" w:rsidP="00FB66D5">
      <w:pPr>
        <w:pStyle w:val="Heading2"/>
        <w:ind w:left="567" w:hanging="567"/>
      </w:pPr>
      <w:r>
        <w:t>Om EU har för avsikt att bygga upp en livskraftig multilateral politik bör man inte bara lägga energi på att genomföra projekt, utan även planera strategiska åtgärder för att utveckla varaktiga allianser. Detta skulle i slutändan kräva större hänsyn till vikten av att gemensamt skapa program och tillhörande utgifter med deltagande av alla berörda parter – inte bara regeringar utan också företrädare för organisationer i det civila samhället och arbetsmarknadens parter. I detta sammanhang bör samordningen av EU:s och medlemsstaternas insatser ökas. Denna typ av samarbete med lokala partner är avgörande om EU vill uppnå mål som är viktiga för unionen, men också beroende av framsteg i andra delar av världen.</w:t>
      </w:r>
    </w:p>
    <w:p w14:paraId="6821F47B" w14:textId="4E2D6097" w:rsidR="00FB6762" w:rsidRDefault="00FB6762" w:rsidP="00336F9F">
      <w:pPr>
        <w:ind w:left="567" w:hanging="567"/>
      </w:pPr>
    </w:p>
    <w:p w14:paraId="77E4EA3F" w14:textId="1C1F7348" w:rsidR="00FB6762" w:rsidRDefault="00FB6762" w:rsidP="00FB66D5">
      <w:pPr>
        <w:pStyle w:val="Heading2"/>
        <w:ind w:left="567" w:hanging="567"/>
      </w:pPr>
      <w:r>
        <w:t>Detta är desto viktigare eftersom EU för närvarande förlorar konkurrenskraft på grund av sina ambitiösa mål när det gäller energiomställning, särskilt i industrisektorn.</w:t>
      </w:r>
      <w:r>
        <w:rPr>
          <w:rStyle w:val="FootnoteReference"/>
        </w:rPr>
        <w:footnoteReference w:id="4"/>
      </w:r>
      <w:r>
        <w:t xml:space="preserve"> Bristen på framsteg med att göra de europeiska målen globalt tillämpliga kommer att förvärra dessa rådande problem.</w:t>
      </w:r>
    </w:p>
    <w:p w14:paraId="699A4A5A" w14:textId="77777777" w:rsidR="00191203" w:rsidRPr="00046A1E" w:rsidRDefault="00191203"/>
    <w:p w14:paraId="5F234485" w14:textId="77777777" w:rsidR="00191203" w:rsidRPr="00046A1E" w:rsidRDefault="00191203">
      <w:pPr>
        <w:pStyle w:val="Heading1"/>
      </w:pPr>
      <w:r>
        <w:lastRenderedPageBreak/>
        <w:t>Särskilda kommentarer</w:t>
      </w:r>
    </w:p>
    <w:p w14:paraId="67089CBF" w14:textId="77777777" w:rsidR="00191203" w:rsidRPr="00521EF6" w:rsidRDefault="00191203">
      <w:pPr>
        <w:keepNext/>
      </w:pPr>
    </w:p>
    <w:p w14:paraId="2A70B9D2" w14:textId="1D008304" w:rsidR="00375EE1" w:rsidRPr="00521EF6" w:rsidRDefault="00EF25A4" w:rsidP="00521EF6">
      <w:pPr>
        <w:pStyle w:val="Heading2"/>
        <w:ind w:left="567" w:hanging="567"/>
      </w:pPr>
      <w:r>
        <w:t>EESK välkomnar också att Europa i världen kommer att omfatta en pelare för globala åtgärder, exempelvis initiativ inom Förenta nationerna eller på områden som terrorismbekämpning, global hälsa, cybersäkerhet, bekämpning av desinformation, klimat och havsförvaltning.</w:t>
      </w:r>
    </w:p>
    <w:p w14:paraId="37AEFC6E" w14:textId="77777777" w:rsidR="00521EF6" w:rsidRPr="00521EF6" w:rsidRDefault="00521EF6" w:rsidP="00521EF6"/>
    <w:p w14:paraId="667AA174" w14:textId="1B32CC73" w:rsidR="00375EE1" w:rsidRPr="00521EF6" w:rsidRDefault="001865F9">
      <w:pPr>
        <w:pStyle w:val="Heading2"/>
        <w:ind w:left="567" w:hanging="567"/>
      </w:pPr>
      <w:r>
        <w:t>Kommittén stöder alla insatser för att öka välståndet och säkerheten i vårt grannskap och därmed inom EU. Efter mer än 11 år utan några nya medlemsstater måste EU blåsa nytt liv i utvidgningsprocessen, som är EU:s mest framgångsrika fredsprojekt.</w:t>
      </w:r>
    </w:p>
    <w:p w14:paraId="7CFADE11" w14:textId="77777777" w:rsidR="00375EE1" w:rsidRPr="00521EF6" w:rsidRDefault="00375EE1"/>
    <w:p w14:paraId="51C84A2E" w14:textId="7613EC9A" w:rsidR="00775BE4" w:rsidRPr="00521EF6" w:rsidRDefault="001865F9">
      <w:pPr>
        <w:pStyle w:val="Heading2"/>
        <w:ind w:left="567" w:hanging="567"/>
      </w:pPr>
      <w:r>
        <w:t>Samtidigt betonar EESK att hela processen måste förbli meritbaserad, med det övergripande målet att garantera demokrati, rättsstatsprincipen och grundläggande värden i EU:s nya medlemsstater, inbegripet sociala och medborgerliga rättigheter. Det måste säkerställas att arbetsmarknadens parter och det civila samhällets organisationer stöds och stärks som en integrerad del av den europeiska modellen.</w:t>
      </w:r>
    </w:p>
    <w:p w14:paraId="1F12214B" w14:textId="77777777" w:rsidR="00775BE4" w:rsidRPr="00521EF6" w:rsidRDefault="00775BE4"/>
    <w:p w14:paraId="4B8804F3" w14:textId="7568C07C" w:rsidR="000829DE" w:rsidRPr="00521EF6" w:rsidRDefault="00363997">
      <w:pPr>
        <w:pStyle w:val="Heading2"/>
        <w:ind w:left="567" w:hanging="567"/>
      </w:pPr>
      <w:r>
        <w:t>EESK välkomnar i princip kommissionens betoning av behovet av villkorlighet i genomförandet av EU:s utvidgningspolitik. Kommissionen betonar kriterier som hör samman med rättsstatsprincipen, och förväntar sig att utvidgningspolitiken tar hänsyn till lokala sammanhang. Det kommer ytterligare att säkerställa att EU:s åtgärder inte uppfattas som inblandning eller försök att tvinga fram förändring när det inte behövs.</w:t>
      </w:r>
    </w:p>
    <w:p w14:paraId="29CEA7FF" w14:textId="77777777" w:rsidR="000829DE" w:rsidRPr="00521EF6" w:rsidRDefault="000829DE"/>
    <w:p w14:paraId="4BAB83C2" w14:textId="066B359F" w:rsidR="00E72F5D" w:rsidRPr="00521EF6" w:rsidRDefault="006840C6">
      <w:pPr>
        <w:pStyle w:val="Heading2"/>
        <w:ind w:left="567" w:hanging="567"/>
      </w:pPr>
      <w:r>
        <w:t>Å andra sidan är förordningen inte så klar och tydlig när det gäller villkor relaterade till den socioekonomiska utvecklingen. Att förbättra såväl det ekonomiska som det sociala välbefinnandet både i Europa och runt om i världen är nödvändigt för att förverkliga agendan för målen för hållbar utveckling. Dessa två aspekter är djupt sammankopplade. Att säkerställa att den ekonomiska tillväxt som är målet för Europa i världen faktiskt leder till allmänna sociala förbättringar är nyckeln till en hållbar framtid.</w:t>
      </w:r>
    </w:p>
    <w:p w14:paraId="4C46F9DD" w14:textId="77777777" w:rsidR="00E72F5D" w:rsidRPr="00521EF6" w:rsidRDefault="00E72F5D"/>
    <w:p w14:paraId="408754BB" w14:textId="24645985" w:rsidR="006840C6" w:rsidRPr="00521EF6" w:rsidRDefault="006840C6">
      <w:pPr>
        <w:pStyle w:val="Heading2"/>
        <w:ind w:left="567" w:hanging="567"/>
      </w:pPr>
      <w:r>
        <w:t>EESK förväntar sig därför att utgifterna också kommer att inriktas på att uppnå sociala mål, särskilt ett korrekt genomförande av grundläggande arbetsnormer som fastställs av Internationella arbetsorganisationen, och kommer att stödja kampen mot all ojämlikhet. Detta bör inte bara gälla för utvidgningspolitiken, utan också vara ett övergripande kriterium som omfattar alla regioner och aktiviteter. Det bör åtföljas av en definition av lämpliga indikatorer på sociala framsteg.</w:t>
      </w:r>
    </w:p>
    <w:p w14:paraId="35D6AA8E" w14:textId="77777777" w:rsidR="006840C6" w:rsidRPr="00521EF6" w:rsidRDefault="006840C6"/>
    <w:p w14:paraId="26C7B2FF" w14:textId="11E3D9C0" w:rsidR="00A70DA8" w:rsidRPr="00521EF6" w:rsidRDefault="003B2BA7">
      <w:pPr>
        <w:pStyle w:val="Heading2"/>
        <w:ind w:left="567" w:hanging="567"/>
      </w:pPr>
      <w:r>
        <w:t>Dessutom bör den hänvisning till stöd för att integrera ungdomar på arbetsmarknaden (särskilt ungdomar som inte arbetar eller deltar i utbildning) i områden med hög arbetslöshet som fanns i IPA III-förordningen för 2021–2027 återinföras för att se till att kandidatländerna kan fortsätta att tillämpa ungdomsgarantier.</w:t>
      </w:r>
    </w:p>
    <w:p w14:paraId="59A23656" w14:textId="77777777" w:rsidR="00497363" w:rsidRPr="00516C13" w:rsidRDefault="00497363">
      <w:pPr>
        <w:ind w:left="567" w:hanging="567"/>
        <w:rPr>
          <w:lang w:val="nl-NL"/>
        </w:rPr>
      </w:pPr>
    </w:p>
    <w:p w14:paraId="0E3A715C" w14:textId="60C334E1" w:rsidR="00AE2E52" w:rsidRPr="00521EF6" w:rsidRDefault="00AE2E52">
      <w:pPr>
        <w:pStyle w:val="Heading2"/>
        <w:ind w:left="567" w:hanging="567"/>
      </w:pPr>
      <w:r>
        <w:t xml:space="preserve">Förordningen saknar särskilt åtgärder för att integrera kampen mot ojämlikhet. Villkor måste anges för den offentliga politiken i de länder som tar emot bistånd. Det är nödvändigt att se till att utvecklingssamarbetet är effektivt. Därför bör de verktyg som kommissionen inför för att mäta exempelvis den omfördelande påverkan (dvs. den andel projektstödmottagare som ingår i de lägsta 40 procenten, eller kvinnor, barn, personer med funktionsnedsättning osv.) genom </w:t>
      </w:r>
      <w:r>
        <w:lastRenderedPageBreak/>
        <w:t xml:space="preserve">ojämlikhetsmarkören utvidgas till alla projekt inom Global </w:t>
      </w:r>
      <w:proofErr w:type="spellStart"/>
      <w:r>
        <w:t>Gateway</w:t>
      </w:r>
      <w:proofErr w:type="spellEnd"/>
      <w:r>
        <w:t>. Det är därför nödvändigt att ange en betydande andel projekt för vilka både den omfördelande och sociala påverkan kan bedömas, när det gäller exempelvis inverkan på skapandet av hållbar sysselsättning, små och medelstora företag och den allmänna förbättringen av levnadsvillkoren i samhället (hälsa, utbildning osv.), inbegripet genom samråd med och engagemang av de berörda regionerna, det civila samhällets organisationer, arbetsmarknadens parter och berörda befolkningsgrupper för att förbättra det lokala egenansvaret.</w:t>
      </w:r>
    </w:p>
    <w:p w14:paraId="25BF7A6E" w14:textId="77777777" w:rsidR="00363997" w:rsidRPr="00521EF6" w:rsidRDefault="00363997"/>
    <w:p w14:paraId="3DC89764" w14:textId="5945EDC3" w:rsidR="00363997" w:rsidRPr="00521EF6" w:rsidRDefault="00363997">
      <w:pPr>
        <w:pStyle w:val="Heading2"/>
        <w:ind w:left="567" w:hanging="567"/>
      </w:pPr>
      <w:r>
        <w:t>Kommissionen knyter vidare finansiering till uppnåendet av specifika mål. Det kommer att vara mycket viktigt att undvika relaterade risker, däribland situationer där de förväntade reformerna inte åtföljs av tillräckligt tekniskt stöd, och där oberoende enheter, däribland tillsyns</w:t>
      </w:r>
      <w:r w:rsidR="006D064B">
        <w:softHyphen/>
      </w:r>
      <w:r>
        <w:t>myndigheter, det civila samhället, arbetsmarknadens parter och fria medier, inte får tillräcklig finansiering. Situationer där stater med auktoritära tendenser är mottagare av finansiering bör undvikas.</w:t>
      </w:r>
    </w:p>
    <w:p w14:paraId="5364B177" w14:textId="77777777" w:rsidR="00363997" w:rsidRPr="00521EF6" w:rsidRDefault="00363997">
      <w:pPr>
        <w:ind w:left="567" w:hanging="567"/>
      </w:pPr>
    </w:p>
    <w:p w14:paraId="58F90FC6" w14:textId="0A0A07EE" w:rsidR="00363997" w:rsidRPr="00521EF6" w:rsidRDefault="00363997">
      <w:pPr>
        <w:pStyle w:val="Heading2"/>
        <w:ind w:left="567" w:hanging="567"/>
      </w:pPr>
      <w:r>
        <w:t>Det är nödvändigt att förhindra situationer där otillfredsställande resultat i en viss stat leder till minskat stöd till oberoende demokratiska aktörer, särskilt till det organiserade civila samhället och arbetsmarknadens parter.</w:t>
      </w:r>
    </w:p>
    <w:p w14:paraId="65DF0E32" w14:textId="77777777" w:rsidR="00363997" w:rsidRPr="00521EF6" w:rsidRDefault="00363997">
      <w:pPr>
        <w:ind w:left="567" w:hanging="567"/>
      </w:pPr>
    </w:p>
    <w:p w14:paraId="39308A40" w14:textId="59283A93" w:rsidR="00363997" w:rsidRPr="00521EF6" w:rsidRDefault="00363997">
      <w:pPr>
        <w:pStyle w:val="Heading2"/>
        <w:ind w:left="567" w:hanging="567"/>
      </w:pPr>
      <w:r>
        <w:t>I detta sammanhang betonar EESK behovet av att skapa överensstämmelse och synergieffekter mellan yttre och handelspolitiska åtgärder. Kommittén vill understryka den roll som det civila samhället och arbetsmarknadens parter spelar för att övervaka handelsavtal mellan EU och tredjeländer. I detta avseende bör särskilda organs funktion också stärkas genom att ekonomiskt stöd ges för att dessa berörda aktörer ska kunna delta fysiskt vid möten.</w:t>
      </w:r>
    </w:p>
    <w:p w14:paraId="16349D48" w14:textId="77777777" w:rsidR="00363997" w:rsidRPr="00521EF6" w:rsidRDefault="00363997"/>
    <w:p w14:paraId="5C454610" w14:textId="775C1076" w:rsidR="00363997" w:rsidRPr="00521EF6" w:rsidRDefault="00363997">
      <w:pPr>
        <w:pStyle w:val="Heading2"/>
        <w:ind w:left="567" w:hanging="567"/>
      </w:pPr>
      <w:r>
        <w:t>EESK förväntar sig att yttre åtgärder också fokuserar på att bygga upp allianser för bekämpning av skatteflykt och skatteundandragande och främjande av rättvis beskattning. Lösningar som en skatt på digitala tjänster (GAFAM-skatten)</w:t>
      </w:r>
      <w:r w:rsidR="00722805" w:rsidRPr="00521EF6">
        <w:rPr>
          <w:rStyle w:val="FootnoteReference"/>
          <w:sz w:val="22"/>
        </w:rPr>
        <w:footnoteReference w:id="5"/>
      </w:r>
      <w:r>
        <w:t xml:space="preserve"> bör eftersträvas och de steg bakåt som har tillkännagetts är inte godtagbara. Det behövs dessutom större insatser för att bekämpa skatteparadis eftersom de orsakar ojämlik konkurrens och dränerar de offentliga budgetarna.</w:t>
      </w:r>
    </w:p>
    <w:p w14:paraId="45B0CDF9" w14:textId="77777777" w:rsidR="00D26C64" w:rsidRPr="00521EF6" w:rsidRDefault="00D26C64">
      <w:pPr>
        <w:ind w:left="567" w:hanging="567"/>
      </w:pPr>
    </w:p>
    <w:p w14:paraId="689DAEB3" w14:textId="71C60547" w:rsidR="00363997" w:rsidRPr="00521EF6" w:rsidRDefault="00363997">
      <w:pPr>
        <w:pStyle w:val="Heading2"/>
        <w:ind w:left="567" w:hanging="567"/>
      </w:pPr>
      <w:r>
        <w:t>EESK föreslår att direkt budgetstöd används i större utsträckning, såsom var fallet i den nuvarande fleråriga budgetramen med utmärkt resultat, eftersom det kan ha en positiv inverkan på mottagarländernas offentliga politik.</w:t>
      </w:r>
    </w:p>
    <w:p w14:paraId="0443EF89" w14:textId="77777777" w:rsidR="00363997" w:rsidRPr="00521EF6" w:rsidRDefault="00363997">
      <w:pPr>
        <w:ind w:left="567" w:hanging="567"/>
      </w:pPr>
    </w:p>
    <w:p w14:paraId="3D48FA77" w14:textId="6EBEBC53" w:rsidR="00363997" w:rsidRPr="00521EF6" w:rsidRDefault="00363997">
      <w:pPr>
        <w:pStyle w:val="Heading2"/>
        <w:ind w:left="567" w:hanging="567"/>
      </w:pPr>
      <w:r>
        <w:t xml:space="preserve">Det är dessutom nödvändigt att ta itu med frågan om utlandsskulden hos många länder i det globala Syd, som på nytt har exploderat till följd av covid-19-pandemin, och därefter de ökade priserna på energi och livsmedel på grund av den ryska invasionen av Ukraina. Det kommer att bli nödvändigt att på nytt lansera instrumentet med </w:t>
      </w:r>
      <w:proofErr w:type="spellStart"/>
      <w:r>
        <w:t>skuldswappar</w:t>
      </w:r>
      <w:proofErr w:type="spellEnd"/>
      <w:r>
        <w:t>, för att omvandla skuldandelar till lokala valutafonder, knutna till utvecklingsprojekt under ledning av lokala förvaltningar. Samarbetsfonderna skulle därmed ha den dubbla effekten att lätta på landets skuldställning och främja utveckling. Metoden utarbetades inom Parisklubben i slutet av förra århundradet.</w:t>
      </w:r>
    </w:p>
    <w:p w14:paraId="33BD7AB4" w14:textId="77777777" w:rsidR="00363997" w:rsidRPr="00521EF6" w:rsidRDefault="00363997"/>
    <w:p w14:paraId="26971CE9" w14:textId="77235EFC" w:rsidR="00104880" w:rsidRDefault="00363997" w:rsidP="00104880">
      <w:pPr>
        <w:pStyle w:val="Heading2"/>
        <w:ind w:left="567" w:hanging="567"/>
      </w:pPr>
      <w:r>
        <w:lastRenderedPageBreak/>
        <w:t>EESK håller med om att enheter från tredjeländer som inte kan anses pålitliga av säkerhetsskäl i vissa fall inte bör ha rätt att delta i offentlig upphandling, men samtidigt är det viktigt att förhindra protektionism och undvika att vi avskärmar oss från våra allierade och pålitliga partner i tredjeländer. Det förväntas dock i alla händelser att kontrakt som tilldelas europeiska bolag, finansierade inom ramen för EU:s yttre politik, kommer att ta hänsyn till kriterier för efterlevnad av åtminstone de grundläggande arbetsnormer som fastställts av ILO.</w:t>
      </w:r>
    </w:p>
    <w:p w14:paraId="4F3788AE" w14:textId="77777777" w:rsidR="00104880" w:rsidRDefault="00104880" w:rsidP="00104880"/>
    <w:p w14:paraId="13794E95" w14:textId="3BD074AE" w:rsidR="00104880" w:rsidRDefault="00104880" w:rsidP="00104880">
      <w:r>
        <w:t>Bryssel den 7 november 2025.</w:t>
      </w:r>
    </w:p>
    <w:p w14:paraId="366DD54E" w14:textId="77777777" w:rsidR="006D064B" w:rsidRDefault="006D064B" w:rsidP="00104880"/>
    <w:p w14:paraId="547E3473" w14:textId="77777777" w:rsidR="006D064B" w:rsidRDefault="006D064B" w:rsidP="00104880"/>
    <w:p w14:paraId="3E8AD2F7" w14:textId="77777777" w:rsidR="006D064B" w:rsidRDefault="006D064B" w:rsidP="00104880"/>
    <w:p w14:paraId="2625BF99" w14:textId="77777777" w:rsidR="006D064B" w:rsidRDefault="006D064B" w:rsidP="00104880"/>
    <w:p w14:paraId="33F29E09" w14:textId="6ECC13F0" w:rsidR="00104880" w:rsidRDefault="006D064B" w:rsidP="00104880">
      <w:r>
        <w:t>Stefano PALMIERI</w:t>
      </w:r>
    </w:p>
    <w:p w14:paraId="6D01E5CA" w14:textId="256E2B64" w:rsidR="00104880" w:rsidRPr="00104880" w:rsidRDefault="00104880" w:rsidP="00104880">
      <w:r>
        <w:rPr>
          <w:i/>
        </w:rPr>
        <w:t>Ordförande för sektionen för yttre förbindelser</w:t>
      </w:r>
    </w:p>
    <w:p w14:paraId="5B3BE5E5" w14:textId="34907B9E" w:rsidR="00646AC2" w:rsidRPr="00521EF6" w:rsidRDefault="03385EDC">
      <w:pPr>
        <w:jc w:val="center"/>
        <w:rPr>
          <w:sz w:val="20"/>
          <w:szCs w:val="20"/>
        </w:rPr>
      </w:pPr>
      <w:r>
        <w:t>_____________</w:t>
      </w:r>
    </w:p>
    <w:sectPr w:rsidR="00646AC2" w:rsidRPr="00521EF6" w:rsidSect="006834B1">
      <w:headerReference w:type="even" r:id="rId19"/>
      <w:headerReference w:type="default" r:id="rId20"/>
      <w:footerReference w:type="even" r:id="rId21"/>
      <w:footerReference w:type="default" r:id="rId22"/>
      <w:headerReference w:type="first" r:id="rId23"/>
      <w:footerReference w:type="first" r:id="rId24"/>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416CB5" w14:textId="77777777" w:rsidR="009356D4" w:rsidRDefault="009356D4">
      <w:r>
        <w:separator/>
      </w:r>
    </w:p>
  </w:endnote>
  <w:endnote w:type="continuationSeparator" w:id="0">
    <w:p w14:paraId="5009D8CC" w14:textId="77777777" w:rsidR="009356D4" w:rsidRDefault="009356D4">
      <w:r>
        <w:continuationSeparator/>
      </w:r>
    </w:p>
  </w:endnote>
  <w:endnote w:type="continuationNotice" w:id="1">
    <w:p w14:paraId="33DA271C" w14:textId="77777777" w:rsidR="009356D4" w:rsidRDefault="009356D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B6CE61" w14:textId="77777777" w:rsidR="000C05CF" w:rsidRPr="006834B1" w:rsidRDefault="000C05CF" w:rsidP="006834B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BE5EE" w14:textId="18E80264" w:rsidR="00E32DC6" w:rsidRPr="006834B1" w:rsidRDefault="006834B1" w:rsidP="006834B1">
    <w:pPr>
      <w:pStyle w:val="Footer"/>
    </w:pPr>
    <w:r>
      <w:t xml:space="preserve">REX/611 – EESC-2025-02605-00-00-AS-TRA (EN) </w:t>
    </w:r>
    <w:r>
      <w:fldChar w:fldCharType="begin"/>
    </w:r>
    <w:r>
      <w:instrText xml:space="preserve"> PAGE  \* Arabic  \* MERGEFORMAT </w:instrText>
    </w:r>
    <w:r>
      <w:fldChar w:fldCharType="separate"/>
    </w:r>
    <w:r w:rsidR="00CE46E2">
      <w:t>1</w:t>
    </w:r>
    <w:r>
      <w:fldChar w:fldCharType="end"/>
    </w:r>
    <w:r>
      <w:t>/</w:t>
    </w:r>
    <w:fldSimple w:instr=" NUMPAGES ">
      <w:r w:rsidR="00CE46E2">
        <w:t>1</w:t>
      </w:r>
    </w:fldSimple>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BC441" w14:textId="77777777" w:rsidR="000C05CF" w:rsidRPr="006834B1" w:rsidRDefault="000C05CF" w:rsidP="006834B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D539E9" w14:textId="77777777" w:rsidR="005F73EB" w:rsidRPr="006834B1" w:rsidRDefault="005F73EB" w:rsidP="006834B1">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999319" w14:textId="68C88B18" w:rsidR="005F73EB" w:rsidRPr="006834B1" w:rsidRDefault="006834B1" w:rsidP="006834B1">
    <w:pPr>
      <w:pStyle w:val="Footer"/>
    </w:pPr>
    <w:r>
      <w:t xml:space="preserve">REX/611 – EESC-2025-02605-00-00-AS-TRA (EN) </w:t>
    </w:r>
    <w:r>
      <w:fldChar w:fldCharType="begin"/>
    </w:r>
    <w:r>
      <w:instrText xml:space="preserve"> PAGE  \* Arabic  \* MERGEFORMAT </w:instrText>
    </w:r>
    <w:r>
      <w:fldChar w:fldCharType="separate"/>
    </w:r>
    <w:r>
      <w:t>1</w:t>
    </w:r>
    <w:r>
      <w:fldChar w:fldCharType="end"/>
    </w:r>
    <w:r>
      <w:t>/</w:t>
    </w:r>
    <w:fldSimple w:instr=" NUMPAGES ">
      <w:r>
        <w:t>2</w:t>
      </w:r>
    </w:fldSimple>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060F52" w14:textId="77777777" w:rsidR="005F73EB" w:rsidRPr="006834B1" w:rsidRDefault="005F73EB" w:rsidP="006834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086276" w14:textId="77777777" w:rsidR="009356D4" w:rsidRDefault="009356D4">
      <w:r>
        <w:separator/>
      </w:r>
    </w:p>
  </w:footnote>
  <w:footnote w:type="continuationSeparator" w:id="0">
    <w:p w14:paraId="0021EE25" w14:textId="77777777" w:rsidR="009356D4" w:rsidRDefault="009356D4">
      <w:r>
        <w:continuationSeparator/>
      </w:r>
    </w:p>
  </w:footnote>
  <w:footnote w:type="continuationNotice" w:id="1">
    <w:p w14:paraId="60C5BCE1" w14:textId="77777777" w:rsidR="009356D4" w:rsidRDefault="009356D4">
      <w:pPr>
        <w:spacing w:line="240" w:lineRule="auto"/>
      </w:pPr>
    </w:p>
  </w:footnote>
  <w:footnote w:id="2">
    <w:p w14:paraId="7BFCB16F" w14:textId="018FE4E9" w:rsidR="00137705" w:rsidRPr="001715FA" w:rsidRDefault="00137705">
      <w:pPr>
        <w:pStyle w:val="FootnoteText"/>
      </w:pPr>
      <w:r>
        <w:rPr>
          <w:rStyle w:val="FootnoteReference"/>
        </w:rPr>
        <w:footnoteRef/>
      </w:r>
      <w:r>
        <w:tab/>
        <w:t>EESK redogör för dessa utmaningar i sin resolution ”Försvara EU:s värden och stärka dess framtid i den nya geopolitiska ordningen”.</w:t>
      </w:r>
    </w:p>
  </w:footnote>
  <w:footnote w:id="3">
    <w:p w14:paraId="7EBEA6F0" w14:textId="137B8EA9" w:rsidR="00AF362D" w:rsidRPr="00B03AC4" w:rsidRDefault="00AF362D">
      <w:pPr>
        <w:pStyle w:val="FootnoteText"/>
      </w:pPr>
      <w:r>
        <w:rPr>
          <w:rStyle w:val="FootnoteReference"/>
        </w:rPr>
        <w:footnoteRef/>
      </w:r>
      <w:r>
        <w:tab/>
        <w:t>Såsom fastställs för Europa i världen i bilaga III till kommissionens förslag till prestationsförordning (COM(2025) 545 final).</w:t>
      </w:r>
    </w:p>
  </w:footnote>
  <w:footnote w:id="4">
    <w:p w14:paraId="5DB7C6C5" w14:textId="190C7221" w:rsidR="00FB6762" w:rsidRDefault="00FB6762" w:rsidP="00FB6762">
      <w:pPr>
        <w:pStyle w:val="FootnoteText"/>
      </w:pPr>
      <w:r>
        <w:rPr>
          <w:rStyle w:val="FootnoteReference"/>
        </w:rPr>
        <w:footnoteRef/>
      </w:r>
      <w:r>
        <w:tab/>
      </w:r>
      <w:proofErr w:type="spellStart"/>
      <w:r>
        <w:t>EESK:s</w:t>
      </w:r>
      <w:proofErr w:type="spellEnd"/>
      <w:r>
        <w:t xml:space="preserve"> yttrande ”EU:s klimatdiplomati”, EUT C, C/2024/1575, 5.3.2024, ELI: </w:t>
      </w:r>
      <w:hyperlink r:id="rId1" w:history="1">
        <w:r>
          <w:rPr>
            <w:rStyle w:val="Hyperlink"/>
          </w:rPr>
          <w:t>http://data.europa.eu/eli/c/2024/1575/oj</w:t>
        </w:r>
      </w:hyperlink>
      <w:r>
        <w:t>.</w:t>
      </w:r>
    </w:p>
  </w:footnote>
  <w:footnote w:id="5">
    <w:p w14:paraId="57DC9F4D" w14:textId="43BE1E9C" w:rsidR="00722805" w:rsidRPr="00B03AC4" w:rsidRDefault="00722805">
      <w:pPr>
        <w:pStyle w:val="FootnoteText"/>
      </w:pPr>
      <w:r>
        <w:rPr>
          <w:rStyle w:val="FootnoteReference"/>
        </w:rPr>
        <w:footnoteRef/>
      </w:r>
      <w:r>
        <w:tab/>
      </w:r>
      <w:proofErr w:type="spellStart"/>
      <w:r>
        <w:t>EESK:s</w:t>
      </w:r>
      <w:proofErr w:type="spellEnd"/>
      <w:r>
        <w:t xml:space="preserve"> yttrande ”Beskattning av den digitala ekonomin”, </w:t>
      </w:r>
      <w:hyperlink r:id="rId2" w:tgtFrame="_blank" w:tooltip="(öppnas i ett nytt fönster)" w:history="1">
        <w:r>
          <w:rPr>
            <w:rStyle w:val="Hyperlink"/>
            <w:color w:val="034EA2"/>
            <w:shd w:val="clear" w:color="auto" w:fill="FEFEFE"/>
          </w:rPr>
          <w:t>EUT C 443, 22.11.2022, s. 58</w:t>
        </w:r>
      </w:hyperlink>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C7EE2" w14:textId="77777777" w:rsidR="000C05CF" w:rsidRPr="006834B1" w:rsidRDefault="000C05CF" w:rsidP="006834B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E034FE" w14:textId="2A7194F4" w:rsidR="000C05CF" w:rsidRPr="006834B1" w:rsidRDefault="000C05CF" w:rsidP="006834B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411C7" w14:textId="77777777" w:rsidR="000C05CF" w:rsidRPr="006834B1" w:rsidRDefault="000C05CF" w:rsidP="006834B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86FF46" w14:textId="77777777" w:rsidR="005F73EB" w:rsidRPr="006834B1" w:rsidRDefault="005F73EB" w:rsidP="006834B1">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5DECC5" w14:textId="69688B90" w:rsidR="005F73EB" w:rsidRPr="006834B1" w:rsidRDefault="005F73EB" w:rsidP="006834B1">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009AA2" w14:textId="77777777" w:rsidR="005F73EB" w:rsidRPr="006834B1" w:rsidRDefault="005F73EB" w:rsidP="006834B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FBC8E0A4"/>
    <w:lvl w:ilvl="0">
      <w:start w:val="1"/>
      <w:numFmt w:val="decimal"/>
      <w:pStyle w:val="Heading1"/>
      <w:lvlText w:val="%1."/>
      <w:lvlJc w:val="left"/>
      <w:pPr>
        <w:ind w:left="0" w:firstLine="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284" w:firstLine="0"/>
      </w:pPr>
      <w:rPr>
        <w:rFonts w:hint="default"/>
        <w:b w:val="0"/>
        <w:bCs w:val="0"/>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1" w15:restartNumberingAfterBreak="0">
    <w:nsid w:val="3A6B5D18"/>
    <w:multiLevelType w:val="multilevel"/>
    <w:tmpl w:val="B2E0F044"/>
    <w:lvl w:ilvl="0">
      <w:start w:val="4"/>
      <w:numFmt w:val="decimal"/>
      <w:lvlText w:val="%1"/>
      <w:lvlJc w:val="left"/>
      <w:pPr>
        <w:ind w:left="360" w:hanging="360"/>
      </w:pPr>
      <w:rPr>
        <w:rFonts w:hint="default"/>
      </w:rPr>
    </w:lvl>
    <w:lvl w:ilvl="1">
      <w:start w:val="8"/>
      <w:numFmt w:val="decimal"/>
      <w:lvlText w:val="%1.%2"/>
      <w:lvlJc w:val="left"/>
      <w:pPr>
        <w:ind w:left="360" w:hanging="360"/>
      </w:pPr>
      <w:rPr>
        <w:rFonts w:hint="default"/>
        <w:b/>
        <w:bCs/>
        <w:i w:val="0"/>
        <w:i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6BF030B6"/>
    <w:multiLevelType w:val="hybridMultilevel"/>
    <w:tmpl w:val="DB3ABA18"/>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0"/>
  </w:num>
  <w:num w:numId="2">
    <w:abstractNumId w:val="0"/>
    <w:lvlOverride w:ilvl="0">
      <w:startOverride w:val="4"/>
    </w:lvlOverride>
    <w:lvlOverride w:ilvl="1">
      <w:startOverride w:val="7"/>
    </w:lvlOverride>
  </w:num>
  <w:num w:numId="3">
    <w:abstractNumId w:val="1"/>
  </w:num>
  <w:num w:numId="4">
    <w:abstractNumId w:val="0"/>
  </w:num>
  <w:num w:numId="5">
    <w:abstractNumId w:val="0"/>
  </w:num>
  <w:num w:numId="6">
    <w:abstractNumId w:val="0"/>
  </w:num>
  <w:num w:numId="7">
    <w:abstractNumId w:val="0"/>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3"/>
    </w:lvlOverride>
    <w:lvlOverride w:ilvl="1">
      <w:startOverride w:val="2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0"/>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removePersonalInformation/>
  <w:displayBackgroundShape/>
  <w:embedSystemFonts/>
  <w:proofState w:spelling="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F8F"/>
    <w:rsid w:val="00003776"/>
    <w:rsid w:val="00005AB9"/>
    <w:rsid w:val="00005EB9"/>
    <w:rsid w:val="00006E24"/>
    <w:rsid w:val="00007A40"/>
    <w:rsid w:val="00011B79"/>
    <w:rsid w:val="00011D33"/>
    <w:rsid w:val="000149D8"/>
    <w:rsid w:val="00015606"/>
    <w:rsid w:val="00020E6E"/>
    <w:rsid w:val="00024F76"/>
    <w:rsid w:val="000268C5"/>
    <w:rsid w:val="00031A4B"/>
    <w:rsid w:val="00033913"/>
    <w:rsid w:val="00033E5B"/>
    <w:rsid w:val="000357A8"/>
    <w:rsid w:val="00035F20"/>
    <w:rsid w:val="000430A6"/>
    <w:rsid w:val="00044923"/>
    <w:rsid w:val="00046A1E"/>
    <w:rsid w:val="0005249C"/>
    <w:rsid w:val="000534A5"/>
    <w:rsid w:val="0005680D"/>
    <w:rsid w:val="00061733"/>
    <w:rsid w:val="00063FB4"/>
    <w:rsid w:val="0006793E"/>
    <w:rsid w:val="00072E0F"/>
    <w:rsid w:val="000735E5"/>
    <w:rsid w:val="0007392F"/>
    <w:rsid w:val="000829DE"/>
    <w:rsid w:val="00082C0A"/>
    <w:rsid w:val="000852D5"/>
    <w:rsid w:val="00087477"/>
    <w:rsid w:val="00087B39"/>
    <w:rsid w:val="000912FF"/>
    <w:rsid w:val="00096502"/>
    <w:rsid w:val="000A49BB"/>
    <w:rsid w:val="000A74BB"/>
    <w:rsid w:val="000B76A1"/>
    <w:rsid w:val="000C05CF"/>
    <w:rsid w:val="000C06F4"/>
    <w:rsid w:val="000C3441"/>
    <w:rsid w:val="000C7F53"/>
    <w:rsid w:val="000D08AD"/>
    <w:rsid w:val="000D25C3"/>
    <w:rsid w:val="000D2F8E"/>
    <w:rsid w:val="000D347D"/>
    <w:rsid w:val="000F0A22"/>
    <w:rsid w:val="000F1835"/>
    <w:rsid w:val="000F196B"/>
    <w:rsid w:val="000F5BA9"/>
    <w:rsid w:val="00101359"/>
    <w:rsid w:val="00102555"/>
    <w:rsid w:val="00104880"/>
    <w:rsid w:val="00105361"/>
    <w:rsid w:val="001101F8"/>
    <w:rsid w:val="0011206F"/>
    <w:rsid w:val="0011656A"/>
    <w:rsid w:val="00121EDE"/>
    <w:rsid w:val="0012220C"/>
    <w:rsid w:val="00135C14"/>
    <w:rsid w:val="0013664F"/>
    <w:rsid w:val="00136EA3"/>
    <w:rsid w:val="00137575"/>
    <w:rsid w:val="00137705"/>
    <w:rsid w:val="001413ED"/>
    <w:rsid w:val="00144231"/>
    <w:rsid w:val="00144820"/>
    <w:rsid w:val="00150434"/>
    <w:rsid w:val="00155721"/>
    <w:rsid w:val="0015678B"/>
    <w:rsid w:val="0016503F"/>
    <w:rsid w:val="00165055"/>
    <w:rsid w:val="0016674F"/>
    <w:rsid w:val="00167CA0"/>
    <w:rsid w:val="0017120D"/>
    <w:rsid w:val="001714F6"/>
    <w:rsid w:val="001715FA"/>
    <w:rsid w:val="00171AF0"/>
    <w:rsid w:val="00172F7B"/>
    <w:rsid w:val="00176168"/>
    <w:rsid w:val="00177158"/>
    <w:rsid w:val="001808A5"/>
    <w:rsid w:val="0018444A"/>
    <w:rsid w:val="00184FD4"/>
    <w:rsid w:val="001865F9"/>
    <w:rsid w:val="00186B04"/>
    <w:rsid w:val="00186F1E"/>
    <w:rsid w:val="00190836"/>
    <w:rsid w:val="00191203"/>
    <w:rsid w:val="00193930"/>
    <w:rsid w:val="001963A5"/>
    <w:rsid w:val="00196CD2"/>
    <w:rsid w:val="00196F1E"/>
    <w:rsid w:val="00196F70"/>
    <w:rsid w:val="00197FCA"/>
    <w:rsid w:val="001A27DB"/>
    <w:rsid w:val="001A6852"/>
    <w:rsid w:val="001B286A"/>
    <w:rsid w:val="001B2D02"/>
    <w:rsid w:val="001B3647"/>
    <w:rsid w:val="001B5C6B"/>
    <w:rsid w:val="001B77FA"/>
    <w:rsid w:val="001C0ABE"/>
    <w:rsid w:val="001C3BBE"/>
    <w:rsid w:val="001C5852"/>
    <w:rsid w:val="001D45F0"/>
    <w:rsid w:val="001E029D"/>
    <w:rsid w:val="001E4A33"/>
    <w:rsid w:val="001E5C27"/>
    <w:rsid w:val="001F602B"/>
    <w:rsid w:val="001F6AC8"/>
    <w:rsid w:val="002037D5"/>
    <w:rsid w:val="002058EB"/>
    <w:rsid w:val="00206F90"/>
    <w:rsid w:val="00212B03"/>
    <w:rsid w:val="00212FDB"/>
    <w:rsid w:val="002131AE"/>
    <w:rsid w:val="00213AB4"/>
    <w:rsid w:val="00213C1D"/>
    <w:rsid w:val="0021488F"/>
    <w:rsid w:val="00215C10"/>
    <w:rsid w:val="00215C2D"/>
    <w:rsid w:val="00222197"/>
    <w:rsid w:val="002252C4"/>
    <w:rsid w:val="00225D04"/>
    <w:rsid w:val="0023183E"/>
    <w:rsid w:val="00234CB6"/>
    <w:rsid w:val="00235138"/>
    <w:rsid w:val="00240622"/>
    <w:rsid w:val="00241F7E"/>
    <w:rsid w:val="00243250"/>
    <w:rsid w:val="00243E36"/>
    <w:rsid w:val="0024509A"/>
    <w:rsid w:val="0024540B"/>
    <w:rsid w:val="00245D82"/>
    <w:rsid w:val="00245EF4"/>
    <w:rsid w:val="00250E11"/>
    <w:rsid w:val="00251383"/>
    <w:rsid w:val="002522C9"/>
    <w:rsid w:val="00252A21"/>
    <w:rsid w:val="00253E4F"/>
    <w:rsid w:val="002542E4"/>
    <w:rsid w:val="00261053"/>
    <w:rsid w:val="00262FDE"/>
    <w:rsid w:val="00263629"/>
    <w:rsid w:val="00263D09"/>
    <w:rsid w:val="00273D38"/>
    <w:rsid w:val="002769BD"/>
    <w:rsid w:val="00276A75"/>
    <w:rsid w:val="002809EA"/>
    <w:rsid w:val="00284962"/>
    <w:rsid w:val="00287A57"/>
    <w:rsid w:val="00287B0E"/>
    <w:rsid w:val="002A0B53"/>
    <w:rsid w:val="002A0EEF"/>
    <w:rsid w:val="002A24B5"/>
    <w:rsid w:val="002A4787"/>
    <w:rsid w:val="002A76F9"/>
    <w:rsid w:val="002A7889"/>
    <w:rsid w:val="002B2DF7"/>
    <w:rsid w:val="002C1DB1"/>
    <w:rsid w:val="002C26C1"/>
    <w:rsid w:val="002C3BF4"/>
    <w:rsid w:val="002C749F"/>
    <w:rsid w:val="002D0742"/>
    <w:rsid w:val="002D086A"/>
    <w:rsid w:val="002D46F3"/>
    <w:rsid w:val="002E7B33"/>
    <w:rsid w:val="002F059B"/>
    <w:rsid w:val="002F5AB6"/>
    <w:rsid w:val="002F5B0B"/>
    <w:rsid w:val="002F7341"/>
    <w:rsid w:val="002F7527"/>
    <w:rsid w:val="00300924"/>
    <w:rsid w:val="0030596E"/>
    <w:rsid w:val="003073C3"/>
    <w:rsid w:val="00320B65"/>
    <w:rsid w:val="00323637"/>
    <w:rsid w:val="00323BE7"/>
    <w:rsid w:val="00324E8A"/>
    <w:rsid w:val="00331D87"/>
    <w:rsid w:val="00332850"/>
    <w:rsid w:val="00334478"/>
    <w:rsid w:val="003346B4"/>
    <w:rsid w:val="00334AE6"/>
    <w:rsid w:val="003365D0"/>
    <w:rsid w:val="00336F9F"/>
    <w:rsid w:val="003423F2"/>
    <w:rsid w:val="00342D4A"/>
    <w:rsid w:val="003439AB"/>
    <w:rsid w:val="0035034C"/>
    <w:rsid w:val="00352EA2"/>
    <w:rsid w:val="00354695"/>
    <w:rsid w:val="0035549B"/>
    <w:rsid w:val="00357F59"/>
    <w:rsid w:val="00363997"/>
    <w:rsid w:val="00363CD0"/>
    <w:rsid w:val="003755C8"/>
    <w:rsid w:val="00375687"/>
    <w:rsid w:val="00375EE1"/>
    <w:rsid w:val="00380AE0"/>
    <w:rsid w:val="00380BED"/>
    <w:rsid w:val="0038186C"/>
    <w:rsid w:val="00383324"/>
    <w:rsid w:val="00384412"/>
    <w:rsid w:val="00387A75"/>
    <w:rsid w:val="003904FD"/>
    <w:rsid w:val="00394254"/>
    <w:rsid w:val="00394B38"/>
    <w:rsid w:val="003A7F3F"/>
    <w:rsid w:val="003B0C32"/>
    <w:rsid w:val="003B2BA7"/>
    <w:rsid w:val="003B3183"/>
    <w:rsid w:val="003B3451"/>
    <w:rsid w:val="003B4CA6"/>
    <w:rsid w:val="003B7272"/>
    <w:rsid w:val="003C2B9F"/>
    <w:rsid w:val="003C2BFB"/>
    <w:rsid w:val="003C436B"/>
    <w:rsid w:val="003C5337"/>
    <w:rsid w:val="003C5F92"/>
    <w:rsid w:val="003D4BC5"/>
    <w:rsid w:val="003D7A8C"/>
    <w:rsid w:val="003D7C00"/>
    <w:rsid w:val="003E3134"/>
    <w:rsid w:val="003E56E5"/>
    <w:rsid w:val="003E7E60"/>
    <w:rsid w:val="003F00D4"/>
    <w:rsid w:val="003F2209"/>
    <w:rsid w:val="003F3D39"/>
    <w:rsid w:val="003F646A"/>
    <w:rsid w:val="003F6761"/>
    <w:rsid w:val="003F6A0A"/>
    <w:rsid w:val="004024F5"/>
    <w:rsid w:val="00402DE1"/>
    <w:rsid w:val="00403D8B"/>
    <w:rsid w:val="004058F1"/>
    <w:rsid w:val="00407E7D"/>
    <w:rsid w:val="0041283D"/>
    <w:rsid w:val="00413AB4"/>
    <w:rsid w:val="00421373"/>
    <w:rsid w:val="00421FB7"/>
    <w:rsid w:val="0042763B"/>
    <w:rsid w:val="0043024C"/>
    <w:rsid w:val="004339E4"/>
    <w:rsid w:val="00436706"/>
    <w:rsid w:val="0043796C"/>
    <w:rsid w:val="00443D38"/>
    <w:rsid w:val="00450E7A"/>
    <w:rsid w:val="00456AF8"/>
    <w:rsid w:val="00470A08"/>
    <w:rsid w:val="00470B15"/>
    <w:rsid w:val="00475869"/>
    <w:rsid w:val="00475A77"/>
    <w:rsid w:val="004866A9"/>
    <w:rsid w:val="0048754F"/>
    <w:rsid w:val="004907D1"/>
    <w:rsid w:val="00492774"/>
    <w:rsid w:val="004927CA"/>
    <w:rsid w:val="00493D37"/>
    <w:rsid w:val="00496D7A"/>
    <w:rsid w:val="00497363"/>
    <w:rsid w:val="00497B1F"/>
    <w:rsid w:val="004A31BC"/>
    <w:rsid w:val="004A3F1A"/>
    <w:rsid w:val="004A3F45"/>
    <w:rsid w:val="004A5738"/>
    <w:rsid w:val="004B1AFA"/>
    <w:rsid w:val="004B7088"/>
    <w:rsid w:val="004C1F90"/>
    <w:rsid w:val="004C4D12"/>
    <w:rsid w:val="004C5B76"/>
    <w:rsid w:val="004C63FB"/>
    <w:rsid w:val="004D02CD"/>
    <w:rsid w:val="004D0B24"/>
    <w:rsid w:val="004D4B90"/>
    <w:rsid w:val="004D6B95"/>
    <w:rsid w:val="004D7F41"/>
    <w:rsid w:val="004E03A2"/>
    <w:rsid w:val="004E317E"/>
    <w:rsid w:val="004E3954"/>
    <w:rsid w:val="004E5856"/>
    <w:rsid w:val="004F1646"/>
    <w:rsid w:val="004F2330"/>
    <w:rsid w:val="004F3CCC"/>
    <w:rsid w:val="004F53C6"/>
    <w:rsid w:val="004F55C6"/>
    <w:rsid w:val="004F69DB"/>
    <w:rsid w:val="004F6B87"/>
    <w:rsid w:val="00501A20"/>
    <w:rsid w:val="00501C2D"/>
    <w:rsid w:val="00502637"/>
    <w:rsid w:val="00511140"/>
    <w:rsid w:val="00513CFE"/>
    <w:rsid w:val="005145C3"/>
    <w:rsid w:val="00516C13"/>
    <w:rsid w:val="00521EF6"/>
    <w:rsid w:val="0052260A"/>
    <w:rsid w:val="00523B6A"/>
    <w:rsid w:val="00525F6C"/>
    <w:rsid w:val="00533C04"/>
    <w:rsid w:val="00537730"/>
    <w:rsid w:val="00546AB4"/>
    <w:rsid w:val="005514E5"/>
    <w:rsid w:val="00563A4C"/>
    <w:rsid w:val="00563C84"/>
    <w:rsid w:val="00572D8A"/>
    <w:rsid w:val="005762F6"/>
    <w:rsid w:val="00581357"/>
    <w:rsid w:val="00584FBE"/>
    <w:rsid w:val="00585483"/>
    <w:rsid w:val="00587378"/>
    <w:rsid w:val="00587C05"/>
    <w:rsid w:val="00590AAB"/>
    <w:rsid w:val="005938C3"/>
    <w:rsid w:val="0059468C"/>
    <w:rsid w:val="00595125"/>
    <w:rsid w:val="00596F21"/>
    <w:rsid w:val="005A2641"/>
    <w:rsid w:val="005A6E6F"/>
    <w:rsid w:val="005B1CDD"/>
    <w:rsid w:val="005B1E19"/>
    <w:rsid w:val="005B55FC"/>
    <w:rsid w:val="005B60E8"/>
    <w:rsid w:val="005B7155"/>
    <w:rsid w:val="005C0169"/>
    <w:rsid w:val="005C2D5E"/>
    <w:rsid w:val="005C2DBB"/>
    <w:rsid w:val="005C3AEF"/>
    <w:rsid w:val="005C3B81"/>
    <w:rsid w:val="005C5486"/>
    <w:rsid w:val="005C650C"/>
    <w:rsid w:val="005D086C"/>
    <w:rsid w:val="005D11D3"/>
    <w:rsid w:val="005D4E1F"/>
    <w:rsid w:val="005D4FB3"/>
    <w:rsid w:val="005E0EE6"/>
    <w:rsid w:val="005E219C"/>
    <w:rsid w:val="005E2F07"/>
    <w:rsid w:val="005E2FEA"/>
    <w:rsid w:val="005E6B13"/>
    <w:rsid w:val="005F314B"/>
    <w:rsid w:val="005F73EB"/>
    <w:rsid w:val="00611AF2"/>
    <w:rsid w:val="0061212B"/>
    <w:rsid w:val="006127AF"/>
    <w:rsid w:val="00613A98"/>
    <w:rsid w:val="00614286"/>
    <w:rsid w:val="00615FB2"/>
    <w:rsid w:val="00617BD1"/>
    <w:rsid w:val="00617CE8"/>
    <w:rsid w:val="00624380"/>
    <w:rsid w:val="006251C3"/>
    <w:rsid w:val="006278A0"/>
    <w:rsid w:val="0063095F"/>
    <w:rsid w:val="00630F85"/>
    <w:rsid w:val="00631CBD"/>
    <w:rsid w:val="00636203"/>
    <w:rsid w:val="0063704F"/>
    <w:rsid w:val="006371F5"/>
    <w:rsid w:val="00640480"/>
    <w:rsid w:val="00643F66"/>
    <w:rsid w:val="0064580D"/>
    <w:rsid w:val="00646AC2"/>
    <w:rsid w:val="00650390"/>
    <w:rsid w:val="00654DAB"/>
    <w:rsid w:val="006579DF"/>
    <w:rsid w:val="0066204A"/>
    <w:rsid w:val="00670E3C"/>
    <w:rsid w:val="00673438"/>
    <w:rsid w:val="00673F22"/>
    <w:rsid w:val="0067483A"/>
    <w:rsid w:val="00677F57"/>
    <w:rsid w:val="00681088"/>
    <w:rsid w:val="006834B1"/>
    <w:rsid w:val="006840C6"/>
    <w:rsid w:val="00693A04"/>
    <w:rsid w:val="0069577E"/>
    <w:rsid w:val="0069634B"/>
    <w:rsid w:val="00696623"/>
    <w:rsid w:val="006A04E9"/>
    <w:rsid w:val="006A3CB8"/>
    <w:rsid w:val="006A4A03"/>
    <w:rsid w:val="006A7543"/>
    <w:rsid w:val="006B5C7E"/>
    <w:rsid w:val="006B6A08"/>
    <w:rsid w:val="006B725C"/>
    <w:rsid w:val="006C01CE"/>
    <w:rsid w:val="006C03D5"/>
    <w:rsid w:val="006C0459"/>
    <w:rsid w:val="006C273D"/>
    <w:rsid w:val="006C5C4F"/>
    <w:rsid w:val="006C6282"/>
    <w:rsid w:val="006C762A"/>
    <w:rsid w:val="006D04B7"/>
    <w:rsid w:val="006D064B"/>
    <w:rsid w:val="006D5FF9"/>
    <w:rsid w:val="006E0772"/>
    <w:rsid w:val="006E0F86"/>
    <w:rsid w:val="006E1E5C"/>
    <w:rsid w:val="006E4B3F"/>
    <w:rsid w:val="006E6BFD"/>
    <w:rsid w:val="006F0B15"/>
    <w:rsid w:val="006F0DCC"/>
    <w:rsid w:val="006F201B"/>
    <w:rsid w:val="006F2F92"/>
    <w:rsid w:val="00703DF9"/>
    <w:rsid w:val="007048EB"/>
    <w:rsid w:val="00704FBB"/>
    <w:rsid w:val="00705F71"/>
    <w:rsid w:val="0070726A"/>
    <w:rsid w:val="0071226B"/>
    <w:rsid w:val="00717040"/>
    <w:rsid w:val="00717452"/>
    <w:rsid w:val="00722805"/>
    <w:rsid w:val="00727DEE"/>
    <w:rsid w:val="00734AB6"/>
    <w:rsid w:val="00741377"/>
    <w:rsid w:val="00746E64"/>
    <w:rsid w:val="0074773C"/>
    <w:rsid w:val="00750C69"/>
    <w:rsid w:val="00760613"/>
    <w:rsid w:val="007622A7"/>
    <w:rsid w:val="00762A11"/>
    <w:rsid w:val="00770ACA"/>
    <w:rsid w:val="007750A2"/>
    <w:rsid w:val="00775BE4"/>
    <w:rsid w:val="007817D6"/>
    <w:rsid w:val="00781996"/>
    <w:rsid w:val="00781E1C"/>
    <w:rsid w:val="00782178"/>
    <w:rsid w:val="00787912"/>
    <w:rsid w:val="0079177A"/>
    <w:rsid w:val="0079477D"/>
    <w:rsid w:val="00794836"/>
    <w:rsid w:val="007948D5"/>
    <w:rsid w:val="007A15C9"/>
    <w:rsid w:val="007A6676"/>
    <w:rsid w:val="007B4555"/>
    <w:rsid w:val="007B7FF5"/>
    <w:rsid w:val="007C2D45"/>
    <w:rsid w:val="007C3FC6"/>
    <w:rsid w:val="007C5700"/>
    <w:rsid w:val="007C5963"/>
    <w:rsid w:val="007D2CE9"/>
    <w:rsid w:val="007D4FED"/>
    <w:rsid w:val="007D54C2"/>
    <w:rsid w:val="007D69DA"/>
    <w:rsid w:val="007D70B1"/>
    <w:rsid w:val="007D7140"/>
    <w:rsid w:val="007E1CDB"/>
    <w:rsid w:val="007E408C"/>
    <w:rsid w:val="007E50BF"/>
    <w:rsid w:val="007E73E8"/>
    <w:rsid w:val="007E7E21"/>
    <w:rsid w:val="007F0455"/>
    <w:rsid w:val="007F0460"/>
    <w:rsid w:val="007F0DA2"/>
    <w:rsid w:val="007F39CE"/>
    <w:rsid w:val="007F5E0D"/>
    <w:rsid w:val="007F7A37"/>
    <w:rsid w:val="00801085"/>
    <w:rsid w:val="008012C8"/>
    <w:rsid w:val="00801A89"/>
    <w:rsid w:val="00802F1E"/>
    <w:rsid w:val="00804457"/>
    <w:rsid w:val="00810090"/>
    <w:rsid w:val="00812061"/>
    <w:rsid w:val="00812138"/>
    <w:rsid w:val="00813D90"/>
    <w:rsid w:val="008151F2"/>
    <w:rsid w:val="008165A7"/>
    <w:rsid w:val="0081777A"/>
    <w:rsid w:val="008210E0"/>
    <w:rsid w:val="00824079"/>
    <w:rsid w:val="00831F0A"/>
    <w:rsid w:val="00833A78"/>
    <w:rsid w:val="00841E46"/>
    <w:rsid w:val="0084585F"/>
    <w:rsid w:val="008501FE"/>
    <w:rsid w:val="00853E53"/>
    <w:rsid w:val="0085535C"/>
    <w:rsid w:val="00855844"/>
    <w:rsid w:val="00857294"/>
    <w:rsid w:val="00864D76"/>
    <w:rsid w:val="008656C9"/>
    <w:rsid w:val="00866DCA"/>
    <w:rsid w:val="0086711C"/>
    <w:rsid w:val="00867535"/>
    <w:rsid w:val="00872DC7"/>
    <w:rsid w:val="00875C5B"/>
    <w:rsid w:val="0088041C"/>
    <w:rsid w:val="00883C5F"/>
    <w:rsid w:val="0089102A"/>
    <w:rsid w:val="00891C7D"/>
    <w:rsid w:val="00892FA7"/>
    <w:rsid w:val="008A3301"/>
    <w:rsid w:val="008A4DF1"/>
    <w:rsid w:val="008A5636"/>
    <w:rsid w:val="008B125E"/>
    <w:rsid w:val="008B241C"/>
    <w:rsid w:val="008B29C2"/>
    <w:rsid w:val="008B3426"/>
    <w:rsid w:val="008B408B"/>
    <w:rsid w:val="008B4F11"/>
    <w:rsid w:val="008B5167"/>
    <w:rsid w:val="008C0B23"/>
    <w:rsid w:val="008C2362"/>
    <w:rsid w:val="008C3049"/>
    <w:rsid w:val="008C4BD0"/>
    <w:rsid w:val="008C50CB"/>
    <w:rsid w:val="008C5F71"/>
    <w:rsid w:val="008C74D9"/>
    <w:rsid w:val="008D2871"/>
    <w:rsid w:val="008D4AE9"/>
    <w:rsid w:val="008D5CF3"/>
    <w:rsid w:val="008D7D39"/>
    <w:rsid w:val="008E4574"/>
    <w:rsid w:val="008E4A43"/>
    <w:rsid w:val="008F2E17"/>
    <w:rsid w:val="008F4016"/>
    <w:rsid w:val="008F42FE"/>
    <w:rsid w:val="008F4A00"/>
    <w:rsid w:val="008F5402"/>
    <w:rsid w:val="008F639F"/>
    <w:rsid w:val="0090053A"/>
    <w:rsid w:val="00901C2A"/>
    <w:rsid w:val="009069A7"/>
    <w:rsid w:val="009118C7"/>
    <w:rsid w:val="00915639"/>
    <w:rsid w:val="00916258"/>
    <w:rsid w:val="00920BA1"/>
    <w:rsid w:val="009225B6"/>
    <w:rsid w:val="009237BC"/>
    <w:rsid w:val="00923C27"/>
    <w:rsid w:val="00925397"/>
    <w:rsid w:val="00933A21"/>
    <w:rsid w:val="00933C85"/>
    <w:rsid w:val="00934C10"/>
    <w:rsid w:val="009356D4"/>
    <w:rsid w:val="0093662A"/>
    <w:rsid w:val="0094060C"/>
    <w:rsid w:val="00942C4B"/>
    <w:rsid w:val="00944196"/>
    <w:rsid w:val="009501D1"/>
    <w:rsid w:val="009606A5"/>
    <w:rsid w:val="00962F1F"/>
    <w:rsid w:val="00964D1E"/>
    <w:rsid w:val="00965304"/>
    <w:rsid w:val="00971293"/>
    <w:rsid w:val="00973A3B"/>
    <w:rsid w:val="00974DA8"/>
    <w:rsid w:val="00977E65"/>
    <w:rsid w:val="00980516"/>
    <w:rsid w:val="00983EAE"/>
    <w:rsid w:val="0098760B"/>
    <w:rsid w:val="009973C8"/>
    <w:rsid w:val="009A11DD"/>
    <w:rsid w:val="009A618B"/>
    <w:rsid w:val="009A7FFA"/>
    <w:rsid w:val="009B04BC"/>
    <w:rsid w:val="009B1324"/>
    <w:rsid w:val="009B1378"/>
    <w:rsid w:val="009B30AA"/>
    <w:rsid w:val="009B5217"/>
    <w:rsid w:val="009C3685"/>
    <w:rsid w:val="009C48DE"/>
    <w:rsid w:val="009C66A7"/>
    <w:rsid w:val="009D2FA3"/>
    <w:rsid w:val="009D60D9"/>
    <w:rsid w:val="009E15E5"/>
    <w:rsid w:val="009E1E1E"/>
    <w:rsid w:val="009E33E3"/>
    <w:rsid w:val="009E7F16"/>
    <w:rsid w:val="009F0101"/>
    <w:rsid w:val="009F1E65"/>
    <w:rsid w:val="009F27F8"/>
    <w:rsid w:val="009F4D7C"/>
    <w:rsid w:val="009F5052"/>
    <w:rsid w:val="009F70DC"/>
    <w:rsid w:val="00A03083"/>
    <w:rsid w:val="00A04C85"/>
    <w:rsid w:val="00A100F0"/>
    <w:rsid w:val="00A129D7"/>
    <w:rsid w:val="00A14BC9"/>
    <w:rsid w:val="00A156E6"/>
    <w:rsid w:val="00A1703F"/>
    <w:rsid w:val="00A177C5"/>
    <w:rsid w:val="00A27D86"/>
    <w:rsid w:val="00A30A3D"/>
    <w:rsid w:val="00A33151"/>
    <w:rsid w:val="00A36970"/>
    <w:rsid w:val="00A41EB4"/>
    <w:rsid w:val="00A43F8E"/>
    <w:rsid w:val="00A44BFF"/>
    <w:rsid w:val="00A45381"/>
    <w:rsid w:val="00A457B5"/>
    <w:rsid w:val="00A501E3"/>
    <w:rsid w:val="00A50F0C"/>
    <w:rsid w:val="00A52333"/>
    <w:rsid w:val="00A56441"/>
    <w:rsid w:val="00A66DE0"/>
    <w:rsid w:val="00A70DA8"/>
    <w:rsid w:val="00A72F8E"/>
    <w:rsid w:val="00A736DD"/>
    <w:rsid w:val="00A7538B"/>
    <w:rsid w:val="00A76D17"/>
    <w:rsid w:val="00A82869"/>
    <w:rsid w:val="00A86BEC"/>
    <w:rsid w:val="00A8758C"/>
    <w:rsid w:val="00A94F27"/>
    <w:rsid w:val="00A96E2F"/>
    <w:rsid w:val="00AA127E"/>
    <w:rsid w:val="00AA19AE"/>
    <w:rsid w:val="00AA3B4D"/>
    <w:rsid w:val="00AA423D"/>
    <w:rsid w:val="00AA5320"/>
    <w:rsid w:val="00AA6A95"/>
    <w:rsid w:val="00AA6BAE"/>
    <w:rsid w:val="00AB10DE"/>
    <w:rsid w:val="00AB358A"/>
    <w:rsid w:val="00AB3668"/>
    <w:rsid w:val="00AB3A87"/>
    <w:rsid w:val="00AB5ED7"/>
    <w:rsid w:val="00AB6252"/>
    <w:rsid w:val="00AB6BD1"/>
    <w:rsid w:val="00AB78F6"/>
    <w:rsid w:val="00AC0B4C"/>
    <w:rsid w:val="00AC24E4"/>
    <w:rsid w:val="00AD0AEE"/>
    <w:rsid w:val="00AD3DC4"/>
    <w:rsid w:val="00AD49E3"/>
    <w:rsid w:val="00AD4B4F"/>
    <w:rsid w:val="00AE2E52"/>
    <w:rsid w:val="00AF0616"/>
    <w:rsid w:val="00AF08F4"/>
    <w:rsid w:val="00AF0E28"/>
    <w:rsid w:val="00AF362D"/>
    <w:rsid w:val="00AF5D67"/>
    <w:rsid w:val="00AF6F9B"/>
    <w:rsid w:val="00B01409"/>
    <w:rsid w:val="00B03AC4"/>
    <w:rsid w:val="00B10DBD"/>
    <w:rsid w:val="00B12094"/>
    <w:rsid w:val="00B15629"/>
    <w:rsid w:val="00B173E5"/>
    <w:rsid w:val="00B2372C"/>
    <w:rsid w:val="00B267B6"/>
    <w:rsid w:val="00B31FFE"/>
    <w:rsid w:val="00B32F70"/>
    <w:rsid w:val="00B373D0"/>
    <w:rsid w:val="00B43AAA"/>
    <w:rsid w:val="00B53139"/>
    <w:rsid w:val="00B53A2C"/>
    <w:rsid w:val="00B562CE"/>
    <w:rsid w:val="00B62DE2"/>
    <w:rsid w:val="00B63646"/>
    <w:rsid w:val="00B74417"/>
    <w:rsid w:val="00B77246"/>
    <w:rsid w:val="00B81600"/>
    <w:rsid w:val="00B866CD"/>
    <w:rsid w:val="00B93034"/>
    <w:rsid w:val="00B93A81"/>
    <w:rsid w:val="00B955E6"/>
    <w:rsid w:val="00B97C5D"/>
    <w:rsid w:val="00BA1290"/>
    <w:rsid w:val="00BA5323"/>
    <w:rsid w:val="00BB0812"/>
    <w:rsid w:val="00BB2792"/>
    <w:rsid w:val="00BB2B8D"/>
    <w:rsid w:val="00BB76BF"/>
    <w:rsid w:val="00BB7803"/>
    <w:rsid w:val="00BC1AD1"/>
    <w:rsid w:val="00BC1D82"/>
    <w:rsid w:val="00BC4A58"/>
    <w:rsid w:val="00BC613B"/>
    <w:rsid w:val="00BD131D"/>
    <w:rsid w:val="00BD51D9"/>
    <w:rsid w:val="00BD58D5"/>
    <w:rsid w:val="00BD5BEB"/>
    <w:rsid w:val="00BD64E2"/>
    <w:rsid w:val="00BD72B1"/>
    <w:rsid w:val="00BE0490"/>
    <w:rsid w:val="00BE4995"/>
    <w:rsid w:val="00BE7AE4"/>
    <w:rsid w:val="00BF2862"/>
    <w:rsid w:val="00BF429A"/>
    <w:rsid w:val="00BF62BE"/>
    <w:rsid w:val="00BF697F"/>
    <w:rsid w:val="00BF70C6"/>
    <w:rsid w:val="00C06F98"/>
    <w:rsid w:val="00C07126"/>
    <w:rsid w:val="00C07F1F"/>
    <w:rsid w:val="00C12400"/>
    <w:rsid w:val="00C12793"/>
    <w:rsid w:val="00C12A51"/>
    <w:rsid w:val="00C16853"/>
    <w:rsid w:val="00C263F0"/>
    <w:rsid w:val="00C33D41"/>
    <w:rsid w:val="00C350E3"/>
    <w:rsid w:val="00C356F7"/>
    <w:rsid w:val="00C36E63"/>
    <w:rsid w:val="00C40AFD"/>
    <w:rsid w:val="00C41E20"/>
    <w:rsid w:val="00C42E3E"/>
    <w:rsid w:val="00C44767"/>
    <w:rsid w:val="00C47EC5"/>
    <w:rsid w:val="00C51A05"/>
    <w:rsid w:val="00C51C13"/>
    <w:rsid w:val="00C525A5"/>
    <w:rsid w:val="00C5300F"/>
    <w:rsid w:val="00C54594"/>
    <w:rsid w:val="00C57389"/>
    <w:rsid w:val="00C576DD"/>
    <w:rsid w:val="00C63AD2"/>
    <w:rsid w:val="00C66534"/>
    <w:rsid w:val="00C66CE0"/>
    <w:rsid w:val="00C67E14"/>
    <w:rsid w:val="00C7035A"/>
    <w:rsid w:val="00C71BED"/>
    <w:rsid w:val="00C72FA7"/>
    <w:rsid w:val="00C737B2"/>
    <w:rsid w:val="00C74E77"/>
    <w:rsid w:val="00C81B53"/>
    <w:rsid w:val="00C82AD2"/>
    <w:rsid w:val="00C83ECD"/>
    <w:rsid w:val="00C87F02"/>
    <w:rsid w:val="00C90FB6"/>
    <w:rsid w:val="00C9220E"/>
    <w:rsid w:val="00C932BD"/>
    <w:rsid w:val="00C93429"/>
    <w:rsid w:val="00C97A4B"/>
    <w:rsid w:val="00CA0870"/>
    <w:rsid w:val="00CA16C5"/>
    <w:rsid w:val="00CA415A"/>
    <w:rsid w:val="00CA563B"/>
    <w:rsid w:val="00CA7A35"/>
    <w:rsid w:val="00CB1536"/>
    <w:rsid w:val="00CB165C"/>
    <w:rsid w:val="00CB1BC5"/>
    <w:rsid w:val="00CB7FB8"/>
    <w:rsid w:val="00CC1F71"/>
    <w:rsid w:val="00CC5588"/>
    <w:rsid w:val="00CC5EB3"/>
    <w:rsid w:val="00CC7570"/>
    <w:rsid w:val="00CD02EC"/>
    <w:rsid w:val="00CD0E7B"/>
    <w:rsid w:val="00CD2321"/>
    <w:rsid w:val="00CD2ABD"/>
    <w:rsid w:val="00CD4024"/>
    <w:rsid w:val="00CD4617"/>
    <w:rsid w:val="00CD4855"/>
    <w:rsid w:val="00CE1B1C"/>
    <w:rsid w:val="00CE46E2"/>
    <w:rsid w:val="00CE6D43"/>
    <w:rsid w:val="00CE7888"/>
    <w:rsid w:val="00CE7F57"/>
    <w:rsid w:val="00CF28B1"/>
    <w:rsid w:val="00D10E1C"/>
    <w:rsid w:val="00D12B42"/>
    <w:rsid w:val="00D161A3"/>
    <w:rsid w:val="00D22E49"/>
    <w:rsid w:val="00D23716"/>
    <w:rsid w:val="00D25ED8"/>
    <w:rsid w:val="00D26A52"/>
    <w:rsid w:val="00D26C64"/>
    <w:rsid w:val="00D27F8F"/>
    <w:rsid w:val="00D30432"/>
    <w:rsid w:val="00D316B8"/>
    <w:rsid w:val="00D31CFC"/>
    <w:rsid w:val="00D3255D"/>
    <w:rsid w:val="00D340C3"/>
    <w:rsid w:val="00D409CD"/>
    <w:rsid w:val="00D423D4"/>
    <w:rsid w:val="00D42CAF"/>
    <w:rsid w:val="00D46D05"/>
    <w:rsid w:val="00D52457"/>
    <w:rsid w:val="00D5310F"/>
    <w:rsid w:val="00D5597C"/>
    <w:rsid w:val="00D601EF"/>
    <w:rsid w:val="00D61533"/>
    <w:rsid w:val="00D63B2F"/>
    <w:rsid w:val="00D70747"/>
    <w:rsid w:val="00D7261D"/>
    <w:rsid w:val="00D755FC"/>
    <w:rsid w:val="00D76A5E"/>
    <w:rsid w:val="00D76B6D"/>
    <w:rsid w:val="00D81182"/>
    <w:rsid w:val="00D84D07"/>
    <w:rsid w:val="00D8526A"/>
    <w:rsid w:val="00D90E91"/>
    <w:rsid w:val="00D939DD"/>
    <w:rsid w:val="00D93A5E"/>
    <w:rsid w:val="00D93EF9"/>
    <w:rsid w:val="00D978E0"/>
    <w:rsid w:val="00DA3C18"/>
    <w:rsid w:val="00DB072E"/>
    <w:rsid w:val="00DB60E1"/>
    <w:rsid w:val="00DC066E"/>
    <w:rsid w:val="00DC1347"/>
    <w:rsid w:val="00DC25A4"/>
    <w:rsid w:val="00DC39F1"/>
    <w:rsid w:val="00DC4F90"/>
    <w:rsid w:val="00DC5AC7"/>
    <w:rsid w:val="00DC6D76"/>
    <w:rsid w:val="00DD25BE"/>
    <w:rsid w:val="00DD3C51"/>
    <w:rsid w:val="00DD5640"/>
    <w:rsid w:val="00DE1CF3"/>
    <w:rsid w:val="00DE4B35"/>
    <w:rsid w:val="00DE675F"/>
    <w:rsid w:val="00DF19C1"/>
    <w:rsid w:val="00DF339F"/>
    <w:rsid w:val="00DF54CA"/>
    <w:rsid w:val="00DF56C9"/>
    <w:rsid w:val="00DF5B64"/>
    <w:rsid w:val="00E0244A"/>
    <w:rsid w:val="00E02794"/>
    <w:rsid w:val="00E043E3"/>
    <w:rsid w:val="00E04D40"/>
    <w:rsid w:val="00E0505B"/>
    <w:rsid w:val="00E11280"/>
    <w:rsid w:val="00E12359"/>
    <w:rsid w:val="00E152FF"/>
    <w:rsid w:val="00E23F94"/>
    <w:rsid w:val="00E2461B"/>
    <w:rsid w:val="00E24886"/>
    <w:rsid w:val="00E276FB"/>
    <w:rsid w:val="00E27A88"/>
    <w:rsid w:val="00E311A3"/>
    <w:rsid w:val="00E32595"/>
    <w:rsid w:val="00E32DC6"/>
    <w:rsid w:val="00E33A74"/>
    <w:rsid w:val="00E345A9"/>
    <w:rsid w:val="00E4030B"/>
    <w:rsid w:val="00E4156F"/>
    <w:rsid w:val="00E41D56"/>
    <w:rsid w:val="00E457DF"/>
    <w:rsid w:val="00E45E18"/>
    <w:rsid w:val="00E46642"/>
    <w:rsid w:val="00E476DD"/>
    <w:rsid w:val="00E501C7"/>
    <w:rsid w:val="00E50612"/>
    <w:rsid w:val="00E512A3"/>
    <w:rsid w:val="00E5139A"/>
    <w:rsid w:val="00E5277E"/>
    <w:rsid w:val="00E5413D"/>
    <w:rsid w:val="00E57977"/>
    <w:rsid w:val="00E635D7"/>
    <w:rsid w:val="00E64E71"/>
    <w:rsid w:val="00E70576"/>
    <w:rsid w:val="00E71DED"/>
    <w:rsid w:val="00E72F5D"/>
    <w:rsid w:val="00E777C4"/>
    <w:rsid w:val="00E831E5"/>
    <w:rsid w:val="00E83766"/>
    <w:rsid w:val="00E83954"/>
    <w:rsid w:val="00E86506"/>
    <w:rsid w:val="00E9105C"/>
    <w:rsid w:val="00E91730"/>
    <w:rsid w:val="00E91A08"/>
    <w:rsid w:val="00E94828"/>
    <w:rsid w:val="00E96F04"/>
    <w:rsid w:val="00E97AEC"/>
    <w:rsid w:val="00EA20FE"/>
    <w:rsid w:val="00EA5293"/>
    <w:rsid w:val="00EA7B48"/>
    <w:rsid w:val="00EB08AF"/>
    <w:rsid w:val="00EB47D3"/>
    <w:rsid w:val="00EB491E"/>
    <w:rsid w:val="00EB4EAD"/>
    <w:rsid w:val="00EB681B"/>
    <w:rsid w:val="00EC13EC"/>
    <w:rsid w:val="00EC17E4"/>
    <w:rsid w:val="00EC3C89"/>
    <w:rsid w:val="00EC4FAD"/>
    <w:rsid w:val="00EE3CFA"/>
    <w:rsid w:val="00EE69E4"/>
    <w:rsid w:val="00EF0666"/>
    <w:rsid w:val="00EF25A4"/>
    <w:rsid w:val="00EF2A7F"/>
    <w:rsid w:val="00EF7E90"/>
    <w:rsid w:val="00F002B6"/>
    <w:rsid w:val="00F01392"/>
    <w:rsid w:val="00F03735"/>
    <w:rsid w:val="00F10AFE"/>
    <w:rsid w:val="00F15C6C"/>
    <w:rsid w:val="00F17173"/>
    <w:rsid w:val="00F20987"/>
    <w:rsid w:val="00F21BFA"/>
    <w:rsid w:val="00F22339"/>
    <w:rsid w:val="00F224DC"/>
    <w:rsid w:val="00F2687F"/>
    <w:rsid w:val="00F26A5E"/>
    <w:rsid w:val="00F27F29"/>
    <w:rsid w:val="00F314C5"/>
    <w:rsid w:val="00F32D54"/>
    <w:rsid w:val="00F35664"/>
    <w:rsid w:val="00F36C54"/>
    <w:rsid w:val="00F418EA"/>
    <w:rsid w:val="00F41A29"/>
    <w:rsid w:val="00F44C1C"/>
    <w:rsid w:val="00F518DF"/>
    <w:rsid w:val="00F53F72"/>
    <w:rsid w:val="00F544DB"/>
    <w:rsid w:val="00F648EA"/>
    <w:rsid w:val="00F6502E"/>
    <w:rsid w:val="00F65663"/>
    <w:rsid w:val="00F75147"/>
    <w:rsid w:val="00F756C0"/>
    <w:rsid w:val="00F75A40"/>
    <w:rsid w:val="00F7635C"/>
    <w:rsid w:val="00F77494"/>
    <w:rsid w:val="00F77637"/>
    <w:rsid w:val="00F83591"/>
    <w:rsid w:val="00F8435D"/>
    <w:rsid w:val="00F862E5"/>
    <w:rsid w:val="00F87DD0"/>
    <w:rsid w:val="00F93360"/>
    <w:rsid w:val="00F93FE4"/>
    <w:rsid w:val="00F97E4E"/>
    <w:rsid w:val="00FA1A40"/>
    <w:rsid w:val="00FA217B"/>
    <w:rsid w:val="00FA3D1C"/>
    <w:rsid w:val="00FB0513"/>
    <w:rsid w:val="00FB0BC5"/>
    <w:rsid w:val="00FB0BCC"/>
    <w:rsid w:val="00FB3EA7"/>
    <w:rsid w:val="00FB4D03"/>
    <w:rsid w:val="00FB66D5"/>
    <w:rsid w:val="00FB6762"/>
    <w:rsid w:val="00FB691F"/>
    <w:rsid w:val="00FC0FE5"/>
    <w:rsid w:val="00FC2921"/>
    <w:rsid w:val="00FC462A"/>
    <w:rsid w:val="00FC61AF"/>
    <w:rsid w:val="00FD1ABC"/>
    <w:rsid w:val="00FD7DDF"/>
    <w:rsid w:val="00FE096F"/>
    <w:rsid w:val="00FE36A8"/>
    <w:rsid w:val="00FE4C92"/>
    <w:rsid w:val="00FE7898"/>
    <w:rsid w:val="00FF0FAA"/>
    <w:rsid w:val="00FF1DFF"/>
    <w:rsid w:val="00FF3759"/>
    <w:rsid w:val="00FF4396"/>
    <w:rsid w:val="00FF5B7D"/>
    <w:rsid w:val="03385ED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5B3BE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sv-SE" w:eastAsia="en-GB" w:bidi="en-GB"/>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50BF"/>
    <w:pPr>
      <w:spacing w:line="288" w:lineRule="auto"/>
      <w:jc w:val="both"/>
    </w:pPr>
    <w:rPr>
      <w:lang w:eastAsia="en-US" w:bidi="ar-SA"/>
    </w:rPr>
  </w:style>
  <w:style w:type="paragraph" w:styleId="Heading1">
    <w:name w:val="heading 1"/>
    <w:basedOn w:val="Normal"/>
    <w:next w:val="Normal"/>
    <w:link w:val="Heading1Char"/>
    <w:qFormat/>
    <w:rsid w:val="000C05CF"/>
    <w:pPr>
      <w:keepNext/>
      <w:numPr>
        <w:numId w:val="1"/>
      </w:numPr>
      <w:ind w:left="567" w:hanging="567"/>
      <w:outlineLvl w:val="0"/>
    </w:pPr>
    <w:rPr>
      <w:b/>
      <w:bCs/>
      <w:kern w:val="28"/>
    </w:rPr>
  </w:style>
  <w:style w:type="paragraph" w:styleId="Heading2">
    <w:name w:val="heading 2"/>
    <w:basedOn w:val="Normal"/>
    <w:next w:val="Normal"/>
    <w:link w:val="Heading2Char"/>
    <w:qFormat/>
    <w:rsid w:val="00C83ECD"/>
    <w:pPr>
      <w:numPr>
        <w:ilvl w:val="1"/>
        <w:numId w:val="1"/>
      </w:numPr>
      <w:outlineLvl w:val="1"/>
    </w:pPr>
  </w:style>
  <w:style w:type="paragraph" w:styleId="Heading3">
    <w:name w:val="heading 3"/>
    <w:basedOn w:val="Normal"/>
    <w:next w:val="Normal"/>
    <w:link w:val="Heading3Char"/>
    <w:qFormat/>
    <w:rsid w:val="00C83ECD"/>
    <w:pPr>
      <w:numPr>
        <w:ilvl w:val="2"/>
        <w:numId w:val="1"/>
      </w:numPr>
      <w:outlineLvl w:val="2"/>
    </w:pPr>
  </w:style>
  <w:style w:type="paragraph" w:styleId="Heading4">
    <w:name w:val="heading 4"/>
    <w:basedOn w:val="Normal"/>
    <w:next w:val="Normal"/>
    <w:link w:val="Heading4Char"/>
    <w:qFormat/>
    <w:rsid w:val="00C83ECD"/>
    <w:pPr>
      <w:numPr>
        <w:ilvl w:val="3"/>
        <w:numId w:val="1"/>
      </w:numPr>
      <w:outlineLvl w:val="3"/>
    </w:pPr>
  </w:style>
  <w:style w:type="paragraph" w:styleId="Heading5">
    <w:name w:val="heading 5"/>
    <w:basedOn w:val="Normal"/>
    <w:next w:val="Normal"/>
    <w:link w:val="Heading5Char"/>
    <w:qFormat/>
    <w:rsid w:val="00C83ECD"/>
    <w:pPr>
      <w:numPr>
        <w:ilvl w:val="4"/>
        <w:numId w:val="1"/>
      </w:numPr>
      <w:outlineLvl w:val="4"/>
    </w:pPr>
  </w:style>
  <w:style w:type="paragraph" w:styleId="Heading6">
    <w:name w:val="heading 6"/>
    <w:basedOn w:val="Normal"/>
    <w:next w:val="Normal"/>
    <w:link w:val="Heading6Char"/>
    <w:qFormat/>
    <w:rsid w:val="00C83ECD"/>
    <w:pPr>
      <w:numPr>
        <w:ilvl w:val="5"/>
        <w:numId w:val="1"/>
      </w:numPr>
      <w:outlineLvl w:val="5"/>
    </w:pPr>
  </w:style>
  <w:style w:type="paragraph" w:styleId="Heading7">
    <w:name w:val="heading 7"/>
    <w:basedOn w:val="Normal"/>
    <w:next w:val="Normal"/>
    <w:link w:val="Heading7Char"/>
    <w:qFormat/>
    <w:rsid w:val="00C83ECD"/>
    <w:pPr>
      <w:numPr>
        <w:ilvl w:val="6"/>
        <w:numId w:val="1"/>
      </w:numPr>
      <w:outlineLvl w:val="6"/>
    </w:pPr>
  </w:style>
  <w:style w:type="paragraph" w:styleId="Heading8">
    <w:name w:val="heading 8"/>
    <w:basedOn w:val="Normal"/>
    <w:next w:val="Normal"/>
    <w:link w:val="Heading8Char"/>
    <w:qFormat/>
    <w:rsid w:val="00C83ECD"/>
    <w:pPr>
      <w:numPr>
        <w:ilvl w:val="7"/>
        <w:numId w:val="1"/>
      </w:numPr>
      <w:outlineLvl w:val="7"/>
    </w:pPr>
  </w:style>
  <w:style w:type="paragraph" w:styleId="Heading9">
    <w:name w:val="heading 9"/>
    <w:basedOn w:val="Normal"/>
    <w:next w:val="Normal"/>
    <w:link w:val="Heading9Char"/>
    <w:qFormat/>
    <w:rsid w:val="00C83ECD"/>
    <w:pPr>
      <w:numPr>
        <w:ilvl w:val="8"/>
        <w:numId w:val="1"/>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0C05CF"/>
    <w:rPr>
      <w:b/>
      <w:bCs/>
      <w:kern w:val="28"/>
      <w:lang w:eastAsia="en-US" w:bidi="ar-SA"/>
    </w:rPr>
  </w:style>
  <w:style w:type="character" w:customStyle="1" w:styleId="Heading2Char">
    <w:name w:val="Heading 2 Char"/>
    <w:basedOn w:val="DefaultParagraphFont"/>
    <w:link w:val="Heading2"/>
    <w:locked/>
    <w:rsid w:val="00CB1536"/>
    <w:rPr>
      <w:lang w:eastAsia="en-US" w:bidi="ar-SA"/>
    </w:rPr>
  </w:style>
  <w:style w:type="character" w:customStyle="1" w:styleId="Heading3Char">
    <w:name w:val="Heading 3 Char"/>
    <w:basedOn w:val="DefaultParagraphFont"/>
    <w:link w:val="Heading3"/>
    <w:locked/>
    <w:rsid w:val="00CB1536"/>
    <w:rPr>
      <w:lang w:eastAsia="en-US" w:bidi="ar-SA"/>
    </w:rPr>
  </w:style>
  <w:style w:type="character" w:customStyle="1" w:styleId="Heading4Char">
    <w:name w:val="Heading 4 Char"/>
    <w:basedOn w:val="DefaultParagraphFont"/>
    <w:link w:val="Heading4"/>
    <w:locked/>
    <w:rsid w:val="00CB1536"/>
    <w:rPr>
      <w:lang w:eastAsia="en-US" w:bidi="ar-SA"/>
    </w:rPr>
  </w:style>
  <w:style w:type="character" w:customStyle="1" w:styleId="Heading5Char">
    <w:name w:val="Heading 5 Char"/>
    <w:basedOn w:val="DefaultParagraphFont"/>
    <w:link w:val="Heading5"/>
    <w:locked/>
    <w:rsid w:val="00CB1536"/>
    <w:rPr>
      <w:lang w:eastAsia="en-US" w:bidi="ar-SA"/>
    </w:rPr>
  </w:style>
  <w:style w:type="character" w:customStyle="1" w:styleId="Heading6Char">
    <w:name w:val="Heading 6 Char"/>
    <w:basedOn w:val="DefaultParagraphFont"/>
    <w:link w:val="Heading6"/>
    <w:locked/>
    <w:rsid w:val="00CB1536"/>
    <w:rPr>
      <w:lang w:eastAsia="en-US" w:bidi="ar-SA"/>
    </w:rPr>
  </w:style>
  <w:style w:type="character" w:customStyle="1" w:styleId="Heading7Char">
    <w:name w:val="Heading 7 Char"/>
    <w:basedOn w:val="DefaultParagraphFont"/>
    <w:link w:val="Heading7"/>
    <w:locked/>
    <w:rsid w:val="00CB1536"/>
    <w:rPr>
      <w:lang w:eastAsia="en-US" w:bidi="ar-SA"/>
    </w:rPr>
  </w:style>
  <w:style w:type="character" w:customStyle="1" w:styleId="Heading8Char">
    <w:name w:val="Heading 8 Char"/>
    <w:basedOn w:val="DefaultParagraphFont"/>
    <w:link w:val="Heading8"/>
    <w:locked/>
    <w:rsid w:val="00CB1536"/>
    <w:rPr>
      <w:lang w:eastAsia="en-US" w:bidi="ar-SA"/>
    </w:rPr>
  </w:style>
  <w:style w:type="character" w:customStyle="1" w:styleId="Heading9Char">
    <w:name w:val="Heading 9 Char"/>
    <w:basedOn w:val="DefaultParagraphFont"/>
    <w:link w:val="Heading9"/>
    <w:locked/>
    <w:rsid w:val="00CB1536"/>
    <w:rPr>
      <w:lang w:eastAsia="en-US" w:bidi="ar-SA"/>
    </w:rPr>
  </w:style>
  <w:style w:type="paragraph" w:styleId="Footer">
    <w:name w:val="footer"/>
    <w:basedOn w:val="Normal"/>
    <w:link w:val="FooterChar"/>
    <w:qFormat/>
    <w:rsid w:val="007E50BF"/>
  </w:style>
  <w:style w:type="character" w:customStyle="1" w:styleId="FooterChar">
    <w:name w:val="Footer Char"/>
    <w:basedOn w:val="DefaultParagraphFont"/>
    <w:link w:val="Footer"/>
    <w:locked/>
    <w:rsid w:val="00CB1536"/>
    <w:rPr>
      <w:lang w:eastAsia="en-US" w:bidi="ar-SA"/>
    </w:rPr>
  </w:style>
  <w:style w:type="paragraph" w:styleId="FootnoteText">
    <w:name w:val="footnote text"/>
    <w:basedOn w:val="Normal"/>
    <w:link w:val="FootnoteTextChar"/>
    <w:qFormat/>
    <w:rsid w:val="007E50BF"/>
    <w:pPr>
      <w:keepLines/>
      <w:spacing w:after="60" w:line="240" w:lineRule="auto"/>
      <w:ind w:left="567" w:hanging="567"/>
    </w:pPr>
    <w:rPr>
      <w:sz w:val="16"/>
    </w:rPr>
  </w:style>
  <w:style w:type="character" w:customStyle="1" w:styleId="FootnoteTextChar">
    <w:name w:val="Footnote Text Char"/>
    <w:basedOn w:val="DefaultParagraphFont"/>
    <w:link w:val="FootnoteText"/>
    <w:locked/>
    <w:rsid w:val="00CB1536"/>
    <w:rPr>
      <w:sz w:val="16"/>
      <w:lang w:val="sv-SE" w:eastAsia="en-US" w:bidi="ar-SA"/>
    </w:rPr>
  </w:style>
  <w:style w:type="paragraph" w:styleId="Header">
    <w:name w:val="header"/>
    <w:basedOn w:val="Normal"/>
    <w:link w:val="HeaderChar"/>
    <w:qFormat/>
    <w:rsid w:val="007E50BF"/>
  </w:style>
  <w:style w:type="character" w:customStyle="1" w:styleId="HeaderChar">
    <w:name w:val="Header Char"/>
    <w:basedOn w:val="DefaultParagraphFont"/>
    <w:link w:val="Header"/>
    <w:locked/>
    <w:rsid w:val="00CB1536"/>
    <w:rPr>
      <w:lang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basedOn w:val="DefaultParagraphFont"/>
    <w:unhideWhenUsed/>
    <w:qFormat/>
    <w:rsid w:val="007E50BF"/>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customStyle="1" w:styleId="quotes">
    <w:name w:val="quotes"/>
    <w:basedOn w:val="Normal"/>
    <w:next w:val="Normal"/>
    <w:rsid w:val="007E50BF"/>
    <w:pPr>
      <w:ind w:left="720"/>
    </w:pPr>
    <w:rPr>
      <w:i/>
    </w:rPr>
  </w:style>
  <w:style w:type="paragraph" w:styleId="EndnoteText">
    <w:name w:val="endnote text"/>
    <w:basedOn w:val="Normal"/>
    <w:link w:val="EndnoteTextChar"/>
    <w:uiPriority w:val="99"/>
    <w:semiHidden/>
    <w:unhideWhenUsed/>
    <w:rsid w:val="00191203"/>
    <w:pPr>
      <w:spacing w:line="240" w:lineRule="auto"/>
    </w:pPr>
    <w:rPr>
      <w:sz w:val="20"/>
      <w:szCs w:val="20"/>
    </w:rPr>
  </w:style>
  <w:style w:type="character" w:customStyle="1" w:styleId="EndnoteTextChar">
    <w:name w:val="Endnote Text Char"/>
    <w:basedOn w:val="DefaultParagraphFont"/>
    <w:link w:val="EndnoteText"/>
    <w:uiPriority w:val="99"/>
    <w:semiHidden/>
    <w:rsid w:val="00191203"/>
    <w:rPr>
      <w:sz w:val="20"/>
      <w:szCs w:val="20"/>
      <w:lang w:eastAsia="en-US" w:bidi="ar-SA"/>
    </w:rPr>
  </w:style>
  <w:style w:type="character" w:styleId="EndnoteReference">
    <w:name w:val="endnote reference"/>
    <w:basedOn w:val="DefaultParagraphFont"/>
    <w:uiPriority w:val="99"/>
    <w:semiHidden/>
    <w:unhideWhenUsed/>
    <w:rsid w:val="00191203"/>
    <w:rPr>
      <w:vertAlign w:val="superscript"/>
    </w:rPr>
  </w:style>
  <w:style w:type="table" w:styleId="TableGrid">
    <w:name w:val="Table Grid"/>
    <w:basedOn w:val="TableNormal"/>
    <w:locked/>
    <w:rsid w:val="00F35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2949853">
      <w:bodyDiv w:val="1"/>
      <w:marLeft w:val="0"/>
      <w:marRight w:val="0"/>
      <w:marTop w:val="0"/>
      <w:marBottom w:val="0"/>
      <w:divBdr>
        <w:top w:val="none" w:sz="0" w:space="0" w:color="auto"/>
        <w:left w:val="none" w:sz="0" w:space="0" w:color="auto"/>
        <w:bottom w:val="none" w:sz="0" w:space="0" w:color="auto"/>
        <w:right w:val="none" w:sz="0" w:space="0" w:color="auto"/>
      </w:divBdr>
    </w:div>
    <w:div w:id="1296835468">
      <w:bodyDiv w:val="1"/>
      <w:marLeft w:val="0"/>
      <w:marRight w:val="0"/>
      <w:marTop w:val="0"/>
      <w:marBottom w:val="0"/>
      <w:divBdr>
        <w:top w:val="none" w:sz="0" w:space="0" w:color="auto"/>
        <w:left w:val="none" w:sz="0" w:space="0" w:color="auto"/>
        <w:bottom w:val="none" w:sz="0" w:space="0" w:color="auto"/>
        <w:right w:val="none" w:sz="0" w:space="0" w:color="auto"/>
      </w:divBdr>
    </w:div>
    <w:div w:id="1808280001">
      <w:bodyDiv w:val="1"/>
      <w:marLeft w:val="0"/>
      <w:marRight w:val="0"/>
      <w:marTop w:val="0"/>
      <w:marBottom w:val="0"/>
      <w:divBdr>
        <w:top w:val="none" w:sz="0" w:space="0" w:color="auto"/>
        <w:left w:val="none" w:sz="0" w:space="0" w:color="auto"/>
        <w:bottom w:val="none" w:sz="0" w:space="0" w:color="auto"/>
        <w:right w:val="none" w:sz="0" w:space="0" w:color="auto"/>
      </w:divBdr>
    </w:div>
    <w:div w:id="2146316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yperlink" Target="mailto:Charlotte.Rive@eesc.europa.eu" TargetMode="External"/><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oter" Target="footer6.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 Id="rId27" Type="http://schemas.openxmlformats.org/officeDocument/2006/relationships/customXml" Target="../customXml/item5.xml"/></Relationships>
</file>

<file path=word/_rels/footnotes.xml.rels><?xml version="1.0" encoding="UTF-8" standalone="yes"?>
<Relationships xmlns="http://schemas.openxmlformats.org/package/2006/relationships"><Relationship Id="rId2" Type="http://schemas.openxmlformats.org/officeDocument/2006/relationships/hyperlink" Target="https://eur-lex.europa.eu/legal-content/SV/ALL/?uri=CELEX%3A52022AE2060" TargetMode="External"/><Relationship Id="rId1" Type="http://schemas.openxmlformats.org/officeDocument/2006/relationships/hyperlink" Target="http://data.europa.eu/eli/c/2024/1575/o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A6WAAD5KZT2Q-235352946-8446</_dlc_DocId>
    <_dlc_DocIdUrl xmlns="1a33af13-4045-4f88-9d7b-618e30f79918">
      <Url>http://dm/eesc/2025/_layouts/15/DocIdRedir.aspx?ID=A6WAAD5KZT2Q-235352946-8446</Url>
      <Description>A6WAAD5KZT2Q-235352946-8446</Description>
    </_dlc_DocIdUrl>
    <Procedure xmlns="1a33af13-4045-4f88-9d7b-618e30f79918">2025/0227(COD)</Procedure>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2025-11-17T12:00:00+00:00</ProductionDate>
    <DocumentNumber xmlns="a3e83899-37aa-47c6-ba54-4ea80e9c17cf">2605</DocumentNumber>
    <FicheYear xmlns="1a33af13-4045-4f88-9d7b-618e30f79918" xsi:nil="true"/>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2025-12-03T12:00:00+00:00</MeetingDate>
    <TaxCatchAll xmlns="1a33af13-4045-4f88-9d7b-618e30f79918">
      <Value>67</Value>
      <Value>50</Value>
      <Value>47</Value>
      <Value>46</Value>
      <Value>43</Value>
      <Value>42</Value>
      <Value>41</Value>
      <Value>40</Value>
      <Value>39</Value>
      <Value>37</Value>
      <Value>36</Value>
      <Value>35</Value>
      <Value>34</Value>
      <Value>33</Value>
      <Value>32</Value>
      <Value>31</Value>
      <Value>30</Value>
      <Value>29</Value>
      <Value>28</Value>
      <Value>27</Value>
      <Value>24</Value>
      <Value>23</Value>
      <Value>16</Value>
      <Value>15</Value>
      <Value>13</Value>
      <Value>12</Value>
      <Value>8</Value>
      <Value>5</Value>
      <Value>126</Value>
      <Value>2</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SV</TermName>
          <TermId xmlns="http://schemas.microsoft.com/office/infopath/2007/PartnerControls">c2ed69e7-a339-43d7-8f22-d93680a92aa0</TermId>
        </TermInfo>
      </Terms>
    </DocumentLanguage_0>
    <Rapporteur xmlns="1a33af13-4045-4f88-9d7b-618e30f79918">SZYMAŃSKI &amp; JAHIER</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296408</FicheNumber>
    <OriginalSender xmlns="1a33af13-4045-4f88-9d7b-618e30f79918">
      <UserInfo>
        <DisplayName>Eklund Lisa</DisplayName>
        <AccountId>1570</AccountId>
        <AccountType/>
      </UserInfo>
    </OriginalSender>
    <DocumentPart xmlns="1a33af13-4045-4f88-9d7b-618e30f79918">0</DocumentPart>
    <AdoptionDate xmlns="1a33af13-4045-4f88-9d7b-618e30f79918" xsi:nil="true"/>
    <RequestingService xmlns="1a33af13-4045-4f88-9d7b-618e30f79918">Relations extérieures</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SL</TermName>
          <TermId xmlns="http://schemas.microsoft.com/office/infopath/2007/PartnerControls">98a412ae-eb01-49e9-ae3d-585a81724cfc</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3e83899-37aa-47c6-ba54-4ea80e9c17cf">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REX</TermName>
          <TermId xmlns="http://schemas.microsoft.com/office/infopath/2007/PartnerControls">6820eaf5-116e-436b-ad9c-156f8a94c2a1</TermId>
        </TermInfo>
      </Terms>
    </DossierName_0>
    <DocumentVersion xmlns="1a33af13-4045-4f88-9d7b-618e30f79918">0</DocumentVersion>
    <DossierNumber xmlns="1a33af13-4045-4f88-9d7b-618e30f79918">611</DossierNumber>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M Document" ma:contentTypeID="0x010100EA97B91038054C99906057A708A1480A004B94E0CD93B68F4F96D67EEBEC8A7176" ma:contentTypeVersion="4" ma:contentTypeDescription="Defines the documents for Document Manager V2" ma:contentTypeScope="" ma:versionID="56661591a508277d6262203e4557b8ae">
  <xsd:schema xmlns:xsd="http://www.w3.org/2001/XMLSchema" xmlns:xs="http://www.w3.org/2001/XMLSchema" xmlns:p="http://schemas.microsoft.com/office/2006/metadata/properties" xmlns:ns2="1a33af13-4045-4f88-9d7b-618e30f79918" xmlns:ns3="http://schemas.microsoft.com/sharepoint/v3/fields" xmlns:ns4="a3e83899-37aa-47c6-ba54-4ea80e9c17cf" targetNamespace="http://schemas.microsoft.com/office/2006/metadata/properties" ma:root="true" ma:fieldsID="1ddc428e300a307dc1c6e67e6931f8cc" ns2:_="" ns3:_="" ns4:_="">
    <xsd:import namespace="1a33af13-4045-4f88-9d7b-618e30f79918"/>
    <xsd:import namespace="http://schemas.microsoft.com/sharepoint/v3/fields"/>
    <xsd:import namespace="a3e83899-37aa-47c6-ba54-4ea80e9c17cf"/>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e83899-37aa-47c6-ba54-4ea80e9c17cf"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7593AD48-BFBA-4F8D-B449-DC8A2EC23D00}">
  <ds:schemaRefs>
    <ds:schemaRef ds:uri="http://schemas.microsoft.com/office/2006/metadata/properties"/>
    <ds:schemaRef ds:uri="http://schemas.microsoft.com/office/infopath/2007/PartnerControls"/>
    <ds:schemaRef ds:uri="139408b5-cd95-41a2-b442-2b289d59f97f"/>
    <ds:schemaRef ds:uri="c7a06915-057a-4af1-abb7-a9083d05536c"/>
  </ds:schemaRefs>
</ds:datastoreItem>
</file>

<file path=customXml/itemProps2.xml><?xml version="1.0" encoding="utf-8"?>
<ds:datastoreItem xmlns:ds="http://schemas.openxmlformats.org/officeDocument/2006/customXml" ds:itemID="{FA28C496-FCB5-4E8D-972C-4A6011C806FD}">
  <ds:schemaRefs>
    <ds:schemaRef ds:uri="http://schemas.microsoft.com/sharepoint/v3/contenttype/forms"/>
  </ds:schemaRefs>
</ds:datastoreItem>
</file>

<file path=customXml/itemProps3.xml><?xml version="1.0" encoding="utf-8"?>
<ds:datastoreItem xmlns:ds="http://schemas.openxmlformats.org/officeDocument/2006/customXml" ds:itemID="{B8A3DC96-7416-4AEC-B958-7980B4293F28}"/>
</file>

<file path=customXml/itemProps4.xml><?xml version="1.0" encoding="utf-8"?>
<ds:datastoreItem xmlns:ds="http://schemas.openxmlformats.org/officeDocument/2006/customXml" ds:itemID="{4FC9B26D-E9E1-44DE-B94A-EEF6AFD42881}">
  <ds:schemaRefs>
    <ds:schemaRef ds:uri="http://schemas.openxmlformats.org/officeDocument/2006/bibliography"/>
  </ds:schemaRefs>
</ds:datastoreItem>
</file>

<file path=customXml/itemProps5.xml><?xml version="1.0" encoding="utf-8"?>
<ds:datastoreItem xmlns:ds="http://schemas.openxmlformats.org/officeDocument/2006/customXml" ds:itemID="{39234110-FFF0-40F1-B2FE-98DDC2B2578F}"/>
</file>

<file path=docMetadata/LabelInfo.xml><?xml version="1.0" encoding="utf-8"?>
<clbl:labelList xmlns:clbl="http://schemas.microsoft.com/office/2020/mipLabelMetadata">
  <clbl:label id="{01a4edc0-c130-4e09-bfd4-7b7de34700e6}" enabled="0" method="" siteId="{01a4edc0-c130-4e09-bfd4-7b7de34700e6}"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12</Pages>
  <Words>4256</Words>
  <Characters>26030</Characters>
  <Application>Microsoft Office Word</Application>
  <DocSecurity>0</DocSecurity>
  <Lines>216</Lines>
  <Paragraphs>60</Paragraphs>
  <ScaleCrop>false</ScaleCrop>
  <HeadingPairs>
    <vt:vector size="6" baseType="variant">
      <vt:variant>
        <vt:lpstr>Title</vt:lpstr>
      </vt:variant>
      <vt:variant>
        <vt:i4>1</vt:i4>
      </vt:variant>
      <vt:variant>
        <vt:lpstr>Titolo</vt:lpstr>
      </vt:variant>
      <vt:variant>
        <vt:i4>1</vt:i4>
      </vt:variant>
      <vt:variant>
        <vt:lpstr>Tytuł</vt:lpstr>
      </vt:variant>
      <vt:variant>
        <vt:i4>1</vt:i4>
      </vt:variant>
    </vt:vector>
  </HeadingPairs>
  <TitlesOfParts>
    <vt:vector size="3" baseType="lpstr">
      <vt:lpstr>Global Europe (Multiannual Financial Framework proposal)</vt:lpstr>
      <vt:lpstr>Global Europe (Multiannual Financial Framework proposal)</vt:lpstr>
      <vt:lpstr>Global Europe (Multiannual Financial Framework proposal)</vt:lpstr>
    </vt:vector>
  </TitlesOfParts>
  <Manager/>
  <Company/>
  <LinksUpToDate>false</LinksUpToDate>
  <CharactersWithSpaces>30226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Europa i världen (förslag till flerårig budgetram)</dc:title>
  <dc:subject>Draft opinion</dc:subject>
  <dc:creator/>
  <cp:keywords>EESC-2025-02605-00-01-PA-TRA-EN</cp:keywords>
  <dc:description>Rapporteur: - SZYMAŃSKI &amp; JAHIER Original language: - EN Date of document: - 30/10/2025 Date of meeting: - 07/11/2025 External documents: - COM(2025)551- final Administrator responsible: -  RIVE CHARLOTTE</dc:description>
  <cp:lastModifiedBy/>
  <cp:revision>7</cp:revision>
  <cp:lastPrinted>2025-09-29T12:39:00Z</cp:lastPrinted>
  <dcterms:created xsi:type="dcterms:W3CDTF">2025-11-13T09:42:00Z</dcterms:created>
  <dcterms:modified xsi:type="dcterms:W3CDTF">2025-11-17T07:46:00Z</dcterms:modified>
  <cp:category>REX/611</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13/11/2025, 30/10/2025, 30/10/2025, 15/10/2025, 02/10/2025, 12/04/2024, 17/05/2022, 04/11/2015, 27/10/2015, 19/10/2015, 09/10/2015, 05/10/2015, 05/10/2015, 26/08/2015, 26/08/2015, 25/08/2015</vt:lpwstr>
  </property>
  <property fmtid="{D5CDD505-2E9C-101B-9397-08002B2CF9AE}" pid="4" name="Pref_Time">
    <vt:lpwstr>10:39:14, 11:24:19, 09:06:24, 14:10:33, 16:24:28, 12:08:09, 12:59:17, 12:10:07, 14:44:02, 16:04:16, 14:09:30, 16:24:55, 16:04:02, 08:56:14, 07:27:56, 17:31:53</vt:lpwstr>
  </property>
  <property fmtid="{D5CDD505-2E9C-101B-9397-08002B2CF9AE}" pid="5" name="Pref_User">
    <vt:lpwstr>pacup, amett, amett, amett, pacup, enied, enied, ssex, enied, amett, tvoc, mreg, mreg, amett, enied, ssex</vt:lpwstr>
  </property>
  <property fmtid="{D5CDD505-2E9C-101B-9397-08002B2CF9AE}" pid="6" name="Pref_FileName">
    <vt:lpwstr>EESC-2025-02605-00-00-AS-TRA-EN-CRR.docx, EESC-2025-02605-00-01-PA-ORI.docx, EESC-2025-02605-00-00-PA-TRA-EN-CRR.docx, EESC-2025-02605-00-01-APA-TRA-EN-CRR.docx, EESC-2025-02605-00-00-APA-ORI.docx, COR-EESC-2024-01326-00-00-ADMIN-ORI.docx, COR-EESC-2022-0</vt:lpwstr>
  </property>
  <property fmtid="{D5CDD505-2E9C-101B-9397-08002B2CF9AE}" pid="7" name="ContentTypeId">
    <vt:lpwstr>0x010100EA97B91038054C99906057A708A1480A004B94E0CD93B68F4F96D67EEBEC8A7176</vt:lpwstr>
  </property>
  <property fmtid="{D5CDD505-2E9C-101B-9397-08002B2CF9AE}" pid="8" name="_dlc_DocIdItemGuid">
    <vt:lpwstr>cb4ebd99-6792-442d-b651-b77441305599</vt:lpwstr>
  </property>
  <property fmtid="{D5CDD505-2E9C-101B-9397-08002B2CF9AE}" pid="9" name="Procedure">
    <vt:lpwstr>2025/0227(COD)</vt:lpwstr>
  </property>
  <property fmtid="{D5CDD505-2E9C-101B-9397-08002B2CF9AE}" pid="10" name="AvailableTranslations">
    <vt:lpwstr>36;#RO|feb747a2-64cd-4299-af12-4833ddc30497;#29;#CS|72f9705b-0217-4fd3-bea2-cbc7ed80e26e;#16;#ES|e7a6b05b-ae16-40c8-add9-68b64b03aeba;#32;#MT|7df99101-6854-4a26-b53a-b88c0da02c26;#34;#IT|0774613c-01ed-4e5d-a25d-11d2388de825;#33;#PT|50ccc04a-eadd-42ae-a0cb-acaf45f812ba;#46;#SK|46d9fce0-ef79-4f71-b89b-cd6aa82426b8;#24;#PL|1e03da61-4678-4e07-b136-b5024ca9197b;#39;#LV|46f7e311-5d9f-4663-b433-18aeccb7ace7;#47;#BG|1a1b3951-7821-4e6a-85f5-5673fc08bd2c;#37;#HU|6b229040-c589-4408-b4c1-4285663d20a8;#40;#DA|5d49c027-8956-412b-aa16-e85a0f96ad0e;#27;#NL|55c6556c-b4f4-441d-9acf-c498d4f838bd;#31;#SL|98a412ae-eb01-49e9-ae3d-585a81724cfc;#28;#SV|c2ed69e7-a339-43d7-8f22-d93680a92aa0;#41;#ET|ff6c3f4c-b02c-4c3c-ab07-2c37995a7a0a;#50;#HR|2f555653-ed1a-4fe6-8362-9082d95989e5;#12;#FR|d2afafd3-4c81-4f60-8f52-ee33f2f54ff3;#23;#DE|f6b31e5a-26fa-4935-b661-318e46daf27e;#35;#FI|87606a43-d45f-42d6-b8c9-e1a3457db5b7;#30;#LT|a7ff5ce7-6123-4f68-865a-a57c31810414;#43;#GA|762d2456-c427-4ecb-b312-af3dad8e258c;#42;#EL|6d4f4d51-af9b-4650-94b4-4276bee85c91;#5;#EN|f2175f21-25d7-44a3-96da-d6a61b075e1b</vt:lpwstr>
  </property>
  <property fmtid="{D5CDD505-2E9C-101B-9397-08002B2CF9AE}" pid="11" name="DocumentType_0">
    <vt:lpwstr>AS|c7a748eb-f6f2-4d9d-8b5a-af0cafebc224</vt:lpwstr>
  </property>
  <property fmtid="{D5CDD505-2E9C-101B-9397-08002B2CF9AE}" pid="12" name="DossierName_0">
    <vt:lpwstr>REX|6820eaf5-116e-436b-ad9c-156f8a94c2a1</vt:lpwstr>
  </property>
  <property fmtid="{D5CDD505-2E9C-101B-9397-08002B2CF9AE}" pid="13" name="DocumentSource_0">
    <vt:lpwstr>EESC|422833ec-8d7e-4e65-8e4e-8bed07ffb729</vt:lpwstr>
  </property>
  <property fmtid="{D5CDD505-2E9C-101B-9397-08002B2CF9AE}" pid="14" name="DocumentNumber">
    <vt:i4>2605</vt:i4>
  </property>
  <property fmtid="{D5CDD505-2E9C-101B-9397-08002B2CF9AE}" pid="15" name="FicheYear">
    <vt:i4>2025</vt:i4>
  </property>
  <property fmtid="{D5CDD505-2E9C-101B-9397-08002B2CF9AE}" pid="16" name="DocumentVersion">
    <vt:i4>0</vt:i4>
  </property>
  <property fmtid="{D5CDD505-2E9C-101B-9397-08002B2CF9AE}" pid="17" name="DossierNumber">
    <vt:i4>611</vt:i4>
  </property>
  <property fmtid="{D5CDD505-2E9C-101B-9397-08002B2CF9AE}" pid="18" name="DocumentStatus">
    <vt:lpwstr>13;#TRA|150d2a88-1431-44e6-a8ca-0bb753ab8672</vt:lpwstr>
  </property>
  <property fmtid="{D5CDD505-2E9C-101B-9397-08002B2CF9AE}" pid="19" name="DossierName">
    <vt:lpwstr>2;#REX|6820eaf5-116e-436b-ad9c-156f8a94c2a1</vt:lpwstr>
  </property>
  <property fmtid="{D5CDD505-2E9C-101B-9397-08002B2CF9AE}" pid="20" name="RequestingService">
    <vt:lpwstr>Relations extérieures</vt:lpwstr>
  </property>
  <property fmtid="{D5CDD505-2E9C-101B-9397-08002B2CF9AE}" pid="21" name="Confidentiality">
    <vt:lpwstr>15;#Unrestricted|826e22d7-d029-4ec0-a450-0c28ff673572</vt:lpwstr>
  </property>
  <property fmtid="{D5CDD505-2E9C-101B-9397-08002B2CF9AE}" pid="22" name="MeetingName_0">
    <vt:lpwstr>SPL-CES|32d8cb1f-c9ec-4365-95c7-8385a18618ac</vt:lpwstr>
  </property>
  <property fmtid="{D5CDD505-2E9C-101B-9397-08002B2CF9AE}" pid="23" name="Confidentiality_0">
    <vt:lpwstr>Unrestricted|826e22d7-d029-4ec0-a450-0c28ff673572</vt:lpwstr>
  </property>
  <property fmtid="{D5CDD505-2E9C-101B-9397-08002B2CF9AE}" pid="24" name="OriginalLanguage">
    <vt:lpwstr>5;#EN|f2175f21-25d7-44a3-96da-d6a61b075e1b</vt:lpwstr>
  </property>
  <property fmtid="{D5CDD505-2E9C-101B-9397-08002B2CF9AE}" pid="25" name="MeetingName">
    <vt:lpwstr>67;#SPL-CES|32d8cb1f-c9ec-4365-95c7-8385a18618ac</vt:lpwstr>
  </property>
  <property fmtid="{D5CDD505-2E9C-101B-9397-08002B2CF9AE}" pid="26" name="MeetingDate">
    <vt:filetime>2025-12-03T12:00:00Z</vt:filetime>
  </property>
  <property fmtid="{D5CDD505-2E9C-101B-9397-08002B2CF9AE}" pid="27" name="AvailableTranslations_0">
    <vt:lpwstr>CS|72f9705b-0217-4fd3-bea2-cbc7ed80e26e;MT|7df99101-6854-4a26-b53a-b88c0da02c26;PT|50ccc04a-eadd-42ae-a0cb-acaf45f812ba;PL|1e03da61-4678-4e07-b136-b5024ca9197b;BG|1a1b3951-7821-4e6a-85f5-5673fc08bd2c;DA|5d49c027-8956-412b-aa16-e85a0f96ad0e;NL|55c6556c-b4f4-441d-9acf-c498d4f838bd;SL|98a412ae-eb01-49e9-ae3d-585a81724cfc;ET|ff6c3f4c-b02c-4c3c-ab07-2c37995a7a0a;FR|d2afafd3-4c81-4f60-8f52-ee33f2f54ff3;DE|f6b31e5a-26fa-4935-b661-318e46daf27e;LT|a7ff5ce7-6123-4f68-865a-a57c31810414;GA|762d2456-c427-4ecb-b312-af3dad8e258c;EN|f2175f21-25d7-44a3-96da-d6a61b075e1b</vt:lpwstr>
  </property>
  <property fmtid="{D5CDD505-2E9C-101B-9397-08002B2CF9AE}" pid="28" name="DocumentStatus_0">
    <vt:lpwstr>TRA|150d2a88-1431-44e6-a8ca-0bb753ab8672</vt:lpwstr>
  </property>
  <property fmtid="{D5CDD505-2E9C-101B-9397-08002B2CF9AE}" pid="29" name="OriginalLanguage_0">
    <vt:lpwstr>EN|f2175f21-25d7-44a3-96da-d6a61b075e1b</vt:lpwstr>
  </property>
  <property fmtid="{D5CDD505-2E9C-101B-9397-08002B2CF9AE}" pid="30" name="TaxCatchAll">
    <vt:lpwstr>33;#PT|50ccc04a-eadd-42ae-a0cb-acaf45f812ba;#32;#MT|7df99101-6854-4a26-b53a-b88c0da02c26;#31;#SL|98a412ae-eb01-49e9-ae3d-585a81724cfc;#67;#SPL-CES|32d8cb1f-c9ec-4365-95c7-8385a18618ac;#29;#CS|72f9705b-0217-4fd3-bea2-cbc7ed80e26e;#27;#NL|55c6556c-b4f4-441d-9acf-c498d4f838bd;#24;#PL|1e03da61-4678-4e07-b136-b5024ca9197b;#23;#DE|f6b31e5a-26fa-4935-b661-318e46daf27e;#15;#Unrestricted|826e22d7-d029-4ec0-a450-0c28ff673572;#126;#AS|c7a748eb-f6f2-4d9d-8b5a-af0cafebc224;#13;#TRA|150d2a88-1431-44e6-a8ca-0bb753ab8672;#12;#FR|d2afafd3-4c81-4f60-8f52-ee33f2f54ff3;#47;#BG|1a1b3951-7821-4e6a-85f5-5673fc08bd2c;#8;#Final|ea5e6674-7b27-4bac-b091-73adbb394efe;#43;#GA|762d2456-c427-4ecb-b312-af3dad8e258c;#5;#EN|f2175f21-25d7-44a3-96da-d6a61b075e1b;#41;#ET|ff6c3f4c-b02c-4c3c-ab07-2c37995a7a0a;#40;#DA|5d49c027-8956-412b-aa16-e85a0f96ad0e;#2;#REX|6820eaf5-116e-436b-ad9c-156f8a94c2a1;#1;#EESC|422833ec-8d7e-4e65-8e4e-8bed07ffb729;#30;#LT|a7ff5ce7-6123-4f68-865a-a57c31810414</vt:lpwstr>
  </property>
  <property fmtid="{D5CDD505-2E9C-101B-9397-08002B2CF9AE}" pid="31" name="Rapporteur">
    <vt:lpwstr>SZYMAŃSKI &amp; JAHIER</vt:lpwstr>
  </property>
  <property fmtid="{D5CDD505-2E9C-101B-9397-08002B2CF9AE}" pid="32" name="VersionStatus_0">
    <vt:lpwstr>Final|ea5e6674-7b27-4bac-b091-73adbb394efe</vt:lpwstr>
  </property>
  <property fmtid="{D5CDD505-2E9C-101B-9397-08002B2CF9AE}" pid="33" name="VersionStatus">
    <vt:lpwstr>8;#Final|ea5e6674-7b27-4bac-b091-73adbb394efe</vt:lpwstr>
  </property>
  <property fmtid="{D5CDD505-2E9C-101B-9397-08002B2CF9AE}" pid="34" name="DocumentYear">
    <vt:i4>2025</vt:i4>
  </property>
  <property fmtid="{D5CDD505-2E9C-101B-9397-08002B2CF9AE}" pid="35" name="FicheNumber">
    <vt:i4>296408</vt:i4>
  </property>
  <property fmtid="{D5CDD505-2E9C-101B-9397-08002B2CF9AE}" pid="36" name="DocumentPart">
    <vt:i4>0</vt:i4>
  </property>
  <property fmtid="{D5CDD505-2E9C-101B-9397-08002B2CF9AE}" pid="37" name="DocumentSource">
    <vt:lpwstr>1;#EESC|422833ec-8d7e-4e65-8e4e-8bed07ffb729</vt:lpwstr>
  </property>
  <property fmtid="{D5CDD505-2E9C-101B-9397-08002B2CF9AE}" pid="38" name="DocumentType">
    <vt:lpwstr>126;#AS|c7a748eb-f6f2-4d9d-8b5a-af0cafebc224</vt:lpwstr>
  </property>
  <property fmtid="{D5CDD505-2E9C-101B-9397-08002B2CF9AE}" pid="39" name="DocumentLanguage">
    <vt:lpwstr>28;#SV|c2ed69e7-a339-43d7-8f22-d93680a92aa0</vt:lpwstr>
  </property>
  <property fmtid="{D5CDD505-2E9C-101B-9397-08002B2CF9AE}" pid="40" name="_docset_NoMedatataSyncRequired">
    <vt:lpwstr>False</vt:lpwstr>
  </property>
  <property fmtid="{D5CDD505-2E9C-101B-9397-08002B2CF9AE}" pid="41" name="MediaServiceImageTags">
    <vt:lpwstr/>
  </property>
  <property fmtid="{D5CDD505-2E9C-101B-9397-08002B2CF9AE}" pid="42" name="docLang">
    <vt:lpwstr>en</vt:lpwstr>
  </property>
  <property fmtid="{D5CDD505-2E9C-101B-9397-08002B2CF9AE}" pid="43" name="MeetingNumber">
    <vt:i4>601</vt:i4>
  </property>
  <property fmtid="{D5CDD505-2E9C-101B-9397-08002B2CF9AE}" pid="44" name="DocumentLanguage_0">
    <vt:lpwstr>EN|f2175f21-25d7-44a3-96da-d6a61b075e1b</vt:lpwstr>
  </property>
</Properties>
</file>