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ECB517" w14:textId="2C04F490" w:rsidR="0090606C" w:rsidRPr="0036350D" w:rsidRDefault="00DB7BE1">
      <w:pPr>
        <w:jc w:val="center"/>
      </w:pPr>
      <w:r>
        <w:rPr>
          <w:noProof/>
        </w:rPr>
        <w:drawing>
          <wp:inline distT="0" distB="0" distL="0" distR="0" wp14:anchorId="3BB0D220" wp14:editId="05EB3961">
            <wp:extent cx="1792605" cy="1239520"/>
            <wp:effectExtent l="0" t="0" r="0" b="0"/>
            <wp:docPr id="1" name="Picture 1" title="EESCLogo_PT"/>
            <wp:cNvGraphicFramePr/>
            <a:graphic xmlns:a="http://schemas.openxmlformats.org/drawingml/2006/main">
              <a:graphicData uri="http://schemas.openxmlformats.org/drawingml/2006/picture">
                <pic:pic xmlns:pic="http://schemas.openxmlformats.org/drawingml/2006/picture">
                  <pic:nvPicPr>
                    <pic:cNvPr id="1" name="Picture 1" title="EESCLogo_PT"/>
                    <pic:cNvPicPr/>
                  </pic:nvPicPr>
                  <pic:blipFill>
                    <a:blip r:embed="rId11"/>
                    <a:stretch>
                      <a:fillRect/>
                    </a:stretch>
                  </pic:blipFill>
                  <pic:spPr>
                    <a:xfrm>
                      <a:off x="0" y="0"/>
                      <a:ext cx="1792605" cy="1239520"/>
                    </a:xfrm>
                    <a:prstGeom prst="rect">
                      <a:avLst/>
                    </a:prstGeom>
                  </pic:spPr>
                </pic:pic>
              </a:graphicData>
            </a:graphic>
          </wp:inline>
        </w:drawing>
      </w:r>
      <w:r w:rsidR="00601604">
        <w:rPr>
          <w:noProof/>
          <w:sz w:val="20"/>
        </w:rPr>
        <mc:AlternateContent>
          <mc:Choice Requires="wps">
            <w:drawing>
              <wp:anchor distT="0" distB="0" distL="114300" distR="114300" simplePos="0" relativeHeight="251658240" behindDoc="1" locked="0" layoutInCell="0" allowOverlap="1" wp14:anchorId="03DC7385" wp14:editId="5527063D">
                <wp:simplePos x="0" y="0"/>
                <wp:positionH relativeFrom="page">
                  <wp:posOffset>6769100</wp:posOffset>
                </wp:positionH>
                <wp:positionV relativeFrom="page">
                  <wp:posOffset>10081260</wp:posOffset>
                </wp:positionV>
                <wp:extent cx="647700" cy="396240"/>
                <wp:effectExtent l="0" t="3810" r="3175" b="0"/>
                <wp:wrapNone/>
                <wp:docPr id="2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F93A4D" w14:textId="77777777" w:rsidR="0090606C" w:rsidRDefault="00601604">
                            <w:pPr>
                              <w:jc w:val="center"/>
                              <w:rPr>
                                <w:rFonts w:ascii="Arial" w:hAnsi="Arial" w:cs="Arial"/>
                                <w:b/>
                                <w:bCs/>
                                <w:sz w:val="48"/>
                              </w:rPr>
                            </w:pPr>
                            <w:r>
                              <w:rPr>
                                <w:rFonts w:ascii="Arial" w:hAnsi="Arial"/>
                                <w:b/>
                                <w:sz w:val="48"/>
                              </w:rPr>
                              <w:t>PT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3DC7385" id="_x0000_t202" coordsize="21600,21600" o:spt="202" path="m,l,21600r21600,l21600,xe">
                <v:stroke joinstyle="miter"/>
                <v:path gradientshapeok="t" o:connecttype="rect"/>
              </v:shapetype>
              <v:shape id="Text Box 17" o:spid="_x0000_s1026" type="#_x0000_t202" style="position:absolute;left:0;text-align:left;margin-left:533pt;margin-top:793.8pt;width:51pt;height:31.2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" o:allowincell="f" filled="f" stroked="f">
                <v:textbox>
                  <w:txbxContent>
                    <w:p w14:paraId="2CF93A4D" w14:textId="77777777" w:rsidR="0090606C" w:rsidRDefault="00601604">
                      <w:pPr>
                        <w:jc w:val="center"/>
                        <w:rPr>
                          <w:rFonts w:ascii="Arial" w:hAnsi="Arial" w:cs="Arial"/>
                          <w:b/>
                          <w:bCs/>
                          <w:sz w:val="48"/>
                        </w:rPr>
                      </w:pPr>
                      <w:r>
                        <w:rPr>
                          <w:rFonts w:ascii="Arial" w:hAnsi="Arial"/>
                          <w:b/>
                          <w:sz w:val="48"/>
                        </w:rPr>
                        <w:t>PT</w:t>
                      </w:r>
                    </w:p>
                  </w:txbxContent>
                </v:textbox>
                <w10:wrap anchorx="page" anchory="page"/>
              </v:shape>
            </w:pict>
          </mc:Fallback>
        </mc:AlternateContent>
      </w:r>
    </w:p>
    <w:p w14:paraId="7DEC2BE9" w14:textId="77777777" w:rsidR="0090606C" w:rsidRPr="0036350D" w:rsidRDefault="0090606C">
      <w:pPr>
        <w:jc w:val="left"/>
        <w:rPr>
          <w:lang w:val="en-GB"/>
        </w:rPr>
      </w:pPr>
    </w:p>
    <w:p w14:paraId="685D93E3" w14:textId="77777777" w:rsidR="0090606C" w:rsidRPr="0036350D" w:rsidRDefault="00601604">
      <w:pPr>
        <w:jc w:val="right"/>
      </w:pPr>
      <w:r>
        <w:rPr>
          <w:b/>
        </w:rPr>
        <w:t>INT/1101</w:t>
      </w:r>
    </w:p>
    <w:p w14:paraId="68FF4A3F" w14:textId="77777777" w:rsidR="0090606C" w:rsidRPr="0036350D" w:rsidRDefault="00601604">
      <w:pPr>
        <w:jc w:val="right"/>
      </w:pPr>
      <w:r>
        <w:rPr>
          <w:b/>
        </w:rPr>
        <w:t>Fundo Europeu de Competitividade</w:t>
      </w:r>
    </w:p>
    <w:p w14:paraId="24D04A79" w14:textId="77777777" w:rsidR="0090606C" w:rsidRPr="00DA5E8A" w:rsidRDefault="0090606C"/>
    <w:p w14:paraId="65C5D9E6" w14:textId="77777777" w:rsidR="0090606C" w:rsidRPr="00DA5E8A" w:rsidRDefault="0090606C"/>
    <w:p w14:paraId="72453381" w14:textId="219B9A27" w:rsidR="0090606C" w:rsidRPr="0036350D" w:rsidRDefault="00601604">
      <w:pPr>
        <w:jc w:val="center"/>
        <w:rPr>
          <w:b/>
          <w:bCs/>
          <w:sz w:val="28"/>
          <w:szCs w:val="28"/>
        </w:rPr>
      </w:pPr>
      <w:r>
        <w:rPr>
          <w:b/>
          <w:sz w:val="28"/>
        </w:rPr>
        <w:t>PARECER</w:t>
      </w:r>
    </w:p>
    <w:p w14:paraId="63D5CBBB" w14:textId="77777777" w:rsidR="0090606C" w:rsidRPr="00DA5E8A" w:rsidRDefault="0090606C">
      <w:pPr>
        <w:jc w:val="center"/>
      </w:pPr>
    </w:p>
    <w:p w14:paraId="1BF5A61E" w14:textId="77777777" w:rsidR="0090606C" w:rsidRPr="0036350D" w:rsidRDefault="00601604">
      <w:pPr>
        <w:jc w:val="center"/>
      </w:pPr>
      <w:r>
        <w:t>Secção do Mercado Único, Produção e Consumo</w:t>
      </w:r>
    </w:p>
    <w:p w14:paraId="39F296EE" w14:textId="77777777" w:rsidR="0090606C" w:rsidRPr="00DA5E8A" w:rsidRDefault="0090606C">
      <w:pPr>
        <w:jc w:val="center"/>
      </w:pPr>
    </w:p>
    <w:p w14:paraId="2A94ED9F" w14:textId="77777777" w:rsidR="0090606C" w:rsidRPr="0036350D" w:rsidRDefault="00601604">
      <w:pPr>
        <w:ind w:left="360"/>
        <w:jc w:val="center"/>
        <w:rPr>
          <w:b/>
          <w:bCs/>
        </w:rPr>
      </w:pPr>
      <w:r>
        <w:rPr>
          <w:b/>
        </w:rPr>
        <w:t>Proposta de regulamento do Parlamento Europeu e do Conselho relativo à criação do Fundo Europeu de Competitividade (FEC), incluindo o programa específico para as atividades de investigação e inovação no domínio da defesa, que revoga os Regulamentos (UE) 2021/522, (UE) 2021/694, (UE) 2021/697, (UE) 2021/783 e que altera os Regulamentos (UE) 2021/696, (UE) 2023/588, (UE) [PIDEUR]</w:t>
      </w:r>
    </w:p>
    <w:p w14:paraId="2E6CB957" w14:textId="77777777" w:rsidR="0090606C" w:rsidRPr="0036350D" w:rsidRDefault="00601604">
      <w:pPr>
        <w:jc w:val="center"/>
      </w:pPr>
      <w:r>
        <w:t>[COM(2025) 555 final – 2025/0555 (COD)]</w:t>
      </w:r>
    </w:p>
    <w:p w14:paraId="1C0F0A83" w14:textId="77777777" w:rsidR="0090606C" w:rsidRPr="0036350D" w:rsidRDefault="0090606C">
      <w:pPr>
        <w:jc w:val="center"/>
        <w:rPr>
          <w:lang w:val="en-GB"/>
        </w:rPr>
      </w:pPr>
    </w:p>
    <w:tbl>
      <w:tblPr>
        <w:tblpPr w:leftFromText="181" w:rightFromText="181" w:tblpYSpec="bottom"/>
        <w:tblOverlap w:val="never"/>
        <w:tblW w:w="9289" w:type="dxa"/>
        <w:tblLayout w:type="fixed"/>
        <w:tblLook w:val="04A0" w:firstRow="1" w:lastRow="0" w:firstColumn="1" w:lastColumn="0" w:noHBand="0" w:noVBand="1"/>
      </w:tblPr>
      <w:tblGrid>
        <w:gridCol w:w="3119"/>
        <w:gridCol w:w="6170"/>
      </w:tblGrid>
      <w:tr w:rsidR="0090606C" w:rsidRPr="0036350D" w14:paraId="3C076D4A" w14:textId="77777777">
        <w:tc>
          <w:tcPr>
            <w:tcW w:w="3119" w:type="dxa"/>
          </w:tcPr>
          <w:p w14:paraId="4FCD4D20" w14:textId="77777777" w:rsidR="0090606C" w:rsidRPr="0036350D" w:rsidRDefault="00601604">
            <w:r>
              <w:t>Administradora</w:t>
            </w:r>
          </w:p>
        </w:tc>
        <w:tc>
          <w:tcPr>
            <w:tcW w:w="6170" w:type="dxa"/>
          </w:tcPr>
          <w:p w14:paraId="12149E3E" w14:textId="77777777" w:rsidR="0090606C" w:rsidRPr="0036350D" w:rsidRDefault="00601604">
            <w:pPr>
              <w:jc w:val="left"/>
            </w:pPr>
            <w:r>
              <w:t>Silvia Staffa</w:t>
            </w:r>
          </w:p>
        </w:tc>
      </w:tr>
      <w:tr w:rsidR="0090606C" w:rsidRPr="0036350D" w14:paraId="4D6908BE" w14:textId="77777777">
        <w:tc>
          <w:tcPr>
            <w:tcW w:w="3119" w:type="dxa"/>
          </w:tcPr>
          <w:p w14:paraId="03F895A4" w14:textId="77777777" w:rsidR="0090606C" w:rsidRPr="0036350D" w:rsidRDefault="00601604">
            <w:r>
              <w:t>Data do documento</w:t>
            </w:r>
          </w:p>
        </w:tc>
        <w:tc>
          <w:tcPr>
            <w:tcW w:w="6170" w:type="dxa"/>
          </w:tcPr>
          <w:p w14:paraId="72915B50" w14:textId="5DBAB995" w:rsidR="0090606C" w:rsidRPr="0036350D" w:rsidRDefault="0036350D">
            <w:pPr>
              <w:jc w:val="left"/>
            </w:pPr>
            <w:r>
              <w:t>20/11/2025</w:t>
            </w:r>
          </w:p>
        </w:tc>
      </w:tr>
    </w:tbl>
    <w:p w14:paraId="51814474" w14:textId="77777777" w:rsidR="0090606C" w:rsidRPr="0036350D" w:rsidRDefault="00601604">
      <w:pPr>
        <w:jc w:val="center"/>
        <w:rPr>
          <w:b/>
          <w:bCs/>
        </w:rPr>
      </w:pPr>
      <w:r>
        <w:t xml:space="preserve">Relatora: </w:t>
      </w:r>
      <w:r>
        <w:rPr>
          <w:b/>
        </w:rPr>
        <w:t>Milena Angelova</w:t>
      </w:r>
    </w:p>
    <w:p w14:paraId="672BF167" w14:textId="77777777" w:rsidR="0090606C" w:rsidRPr="0036350D" w:rsidRDefault="0090606C">
      <w:pPr>
        <w:rPr>
          <w:lang w:val="en-GB"/>
        </w:rPr>
      </w:pPr>
    </w:p>
    <w:p w14:paraId="1BD8DF67" w14:textId="77777777" w:rsidR="0090606C" w:rsidRPr="0036350D" w:rsidRDefault="0090606C">
      <w:pPr>
        <w:rPr>
          <w:lang w:val="en-GB"/>
        </w:rPr>
        <w:sectPr w:rsidR="0090606C" w:rsidRPr="0036350D" w:rsidSect="00432D8E">
          <w:footerReference w:type="default" r:id="rId12"/>
          <w:pgSz w:w="11907" w:h="16839" w:code="9"/>
          <w:pgMar w:top="1417" w:right="1417" w:bottom="1417" w:left="1417" w:header="709" w:footer="709" w:gutter="0"/>
          <w:pgNumType w:start="1"/>
          <w:cols w:space="720"/>
          <w:docGrid w:linePitch="299"/>
        </w:sectPr>
      </w:pPr>
    </w:p>
    <w:p w14:paraId="6E6EA355" w14:textId="77777777" w:rsidR="0090606C" w:rsidRPr="0036350D" w:rsidRDefault="0090606C">
      <w:pPr>
        <w:rPr>
          <w:lang w:val="en-GB"/>
        </w:rPr>
      </w:pPr>
    </w:p>
    <w:tbl>
      <w:tblPr>
        <w:tblW w:w="0" w:type="auto"/>
        <w:tblLook w:val="04A0" w:firstRow="1" w:lastRow="0" w:firstColumn="1" w:lastColumn="0" w:noHBand="0" w:noVBand="1"/>
      </w:tblPr>
      <w:tblGrid>
        <w:gridCol w:w="3055"/>
        <w:gridCol w:w="6018"/>
      </w:tblGrid>
      <w:tr w:rsidR="0090606C" w:rsidRPr="00DA5E8A" w14:paraId="2751D80C" w14:textId="77777777">
        <w:tc>
          <w:tcPr>
            <w:tcW w:w="3055" w:type="dxa"/>
          </w:tcPr>
          <w:p w14:paraId="257CF595" w14:textId="77777777" w:rsidR="0090606C" w:rsidRPr="0036350D" w:rsidRDefault="00601604">
            <w:pPr>
              <w:jc w:val="left"/>
            </w:pPr>
            <w:r>
              <w:t>Conselheira</w:t>
            </w:r>
          </w:p>
        </w:tc>
        <w:tc>
          <w:tcPr>
            <w:tcW w:w="6018" w:type="dxa"/>
          </w:tcPr>
          <w:p w14:paraId="45E618CA" w14:textId="77777777" w:rsidR="0090606C" w:rsidRPr="00DA5E8A" w:rsidRDefault="00601604">
            <w:pPr>
              <w:jc w:val="left"/>
              <w:rPr>
                <w:lang w:val="fi-FI"/>
              </w:rPr>
            </w:pPr>
            <w:r w:rsidRPr="00DA5E8A">
              <w:rPr>
                <w:lang w:val="fi-FI"/>
              </w:rPr>
              <w:t>Tellervo Kylä-Harakka-Ruonala (da relatora)</w:t>
            </w:r>
          </w:p>
        </w:tc>
      </w:tr>
      <w:tr w:rsidR="0090606C" w:rsidRPr="0036350D" w14:paraId="3F2D69F2" w14:textId="77777777">
        <w:tc>
          <w:tcPr>
            <w:tcW w:w="3055" w:type="dxa"/>
          </w:tcPr>
          <w:p w14:paraId="09DA15F6" w14:textId="77777777" w:rsidR="0090606C" w:rsidRPr="0036350D" w:rsidRDefault="00601604">
            <w:pPr>
              <w:jc w:val="left"/>
            </w:pPr>
            <w:r>
              <w:t>Processo legislativo</w:t>
            </w:r>
          </w:p>
        </w:tc>
        <w:tc>
          <w:tcPr>
            <w:tcW w:w="6018" w:type="dxa"/>
          </w:tcPr>
          <w:p w14:paraId="0E892A6E" w14:textId="77777777" w:rsidR="0090606C" w:rsidRPr="0036350D" w:rsidRDefault="000A3D44">
            <w:pPr>
              <w:pStyle w:val="ListParagraph"/>
              <w:ind w:left="0"/>
              <w:jc w:val="left"/>
              <w:rPr>
                <w:rStyle w:val="Hyperlink"/>
                <w:u w:val="none"/>
              </w:rPr>
            </w:pPr>
            <w:hyperlink r:id="rId13" w:history="1">
              <w:r w:rsidR="00DB7BE1">
                <w:rPr>
                  <w:rStyle w:val="Hyperlink"/>
                </w:rPr>
                <w:t>EU Law Tracker</w:t>
              </w:r>
            </w:hyperlink>
          </w:p>
        </w:tc>
      </w:tr>
      <w:tr w:rsidR="0090606C" w:rsidRPr="0036350D" w14:paraId="4C3DDA3C" w14:textId="77777777">
        <w:tc>
          <w:tcPr>
            <w:tcW w:w="3055" w:type="dxa"/>
          </w:tcPr>
          <w:p w14:paraId="4C46344B" w14:textId="77777777" w:rsidR="0090606C" w:rsidRPr="0036350D" w:rsidRDefault="00601604">
            <w:pPr>
              <w:jc w:val="left"/>
            </w:pPr>
            <w:r>
              <w:t>Consulta</w:t>
            </w:r>
          </w:p>
        </w:tc>
        <w:tc>
          <w:tcPr>
            <w:tcW w:w="6018" w:type="dxa"/>
          </w:tcPr>
          <w:p w14:paraId="3C50F0BF" w14:textId="09E120C5" w:rsidR="0090606C" w:rsidRPr="0036350D" w:rsidRDefault="00601604">
            <w:pPr>
              <w:pStyle w:val="ListParagraph"/>
              <w:ind w:left="0"/>
              <w:jc w:val="left"/>
            </w:pPr>
            <w:r>
              <w:t>Parlamento Europeu, 12/11/2025</w:t>
            </w:r>
          </w:p>
          <w:p w14:paraId="08309E84" w14:textId="77777777" w:rsidR="0090606C" w:rsidRPr="0036350D" w:rsidRDefault="00601604">
            <w:pPr>
              <w:pStyle w:val="ListParagraph"/>
              <w:ind w:left="0"/>
              <w:jc w:val="left"/>
            </w:pPr>
            <w:r>
              <w:t>Conselho da União Europeia, 22/9/2025</w:t>
            </w:r>
          </w:p>
        </w:tc>
      </w:tr>
      <w:tr w:rsidR="0090606C" w:rsidRPr="0036350D" w14:paraId="648C7F5B" w14:textId="77777777">
        <w:trPr>
          <w:trHeight w:val="251"/>
        </w:trPr>
        <w:tc>
          <w:tcPr>
            <w:tcW w:w="3055" w:type="dxa"/>
          </w:tcPr>
          <w:p w14:paraId="7BEA170B" w14:textId="77777777" w:rsidR="0090606C" w:rsidRPr="0036350D" w:rsidRDefault="00601604">
            <w:pPr>
              <w:jc w:val="left"/>
            </w:pPr>
            <w:r>
              <w:t>Base jurídica</w:t>
            </w:r>
          </w:p>
        </w:tc>
        <w:tc>
          <w:tcPr>
            <w:tcW w:w="6018" w:type="dxa"/>
          </w:tcPr>
          <w:p w14:paraId="5E830CBC" w14:textId="77777777" w:rsidR="0090606C" w:rsidRPr="0036350D" w:rsidRDefault="00601604">
            <w:pPr>
              <w:jc w:val="left"/>
            </w:pPr>
            <w:r>
              <w:t>Artigos 43.º, n.º 2, 168.º, n.º 5, 172.º, 173.º, n.º 3, 175.º, 182.º, n.º 4, 188.º, 192.º, n.º 1, e 194.º, n.º 2, do Tratado sobre o Funcionamento da União Europeia</w:t>
            </w:r>
          </w:p>
        </w:tc>
      </w:tr>
      <w:tr w:rsidR="0090606C" w:rsidRPr="0036350D" w14:paraId="69577C0C" w14:textId="77777777">
        <w:tc>
          <w:tcPr>
            <w:tcW w:w="3055" w:type="dxa"/>
          </w:tcPr>
          <w:p w14:paraId="7CFEB7F2" w14:textId="77777777" w:rsidR="0090606C" w:rsidRPr="0036350D" w:rsidRDefault="00601604">
            <w:pPr>
              <w:spacing w:after="240"/>
              <w:jc w:val="left"/>
            </w:pPr>
            <w:r>
              <w:t>Documentos da Comissão Europeia</w:t>
            </w:r>
          </w:p>
        </w:tc>
        <w:tc>
          <w:tcPr>
            <w:tcW w:w="6018" w:type="dxa"/>
            <w:vAlign w:val="bottom"/>
          </w:tcPr>
          <w:p w14:paraId="52E3C2B6" w14:textId="77777777" w:rsidR="0090606C" w:rsidRPr="0036350D" w:rsidRDefault="000A3D44">
            <w:pPr>
              <w:jc w:val="left"/>
            </w:pPr>
            <w:hyperlink r:id="rId14" w:history="1">
              <w:r w:rsidR="00DB7BE1">
                <w:rPr>
                  <w:rStyle w:val="Hyperlink"/>
                </w:rPr>
                <w:t>COM(2025) 555 final – 2025/0555 (COD)</w:t>
              </w:r>
            </w:hyperlink>
          </w:p>
          <w:p w14:paraId="06B1AD71" w14:textId="77777777" w:rsidR="0090606C" w:rsidRPr="0036350D" w:rsidRDefault="000A3D44">
            <w:pPr>
              <w:jc w:val="left"/>
              <w:rPr>
                <w:color w:val="0000FF"/>
                <w:u w:val="single"/>
              </w:rPr>
            </w:pPr>
            <w:hyperlink r:id="rId15" w:history="1">
              <w:r w:rsidR="00DB7BE1">
                <w:rPr>
                  <w:rStyle w:val="Hyperlink"/>
                </w:rPr>
                <w:t>Fundo Europeu de Competitividade</w:t>
              </w:r>
            </w:hyperlink>
          </w:p>
        </w:tc>
      </w:tr>
      <w:tr w:rsidR="0090606C" w:rsidRPr="0036350D" w14:paraId="16B95346" w14:textId="77777777">
        <w:tc>
          <w:tcPr>
            <w:tcW w:w="3055" w:type="dxa"/>
          </w:tcPr>
          <w:p w14:paraId="5C3EDACF" w14:textId="77777777" w:rsidR="0090606C" w:rsidRPr="0036350D" w:rsidRDefault="00601604">
            <w:pPr>
              <w:jc w:val="left"/>
            </w:pPr>
            <w:r>
              <w:t>Objetivos de Desenvolvimento Sustentável (ODS) pertinentes</w:t>
            </w:r>
          </w:p>
        </w:tc>
        <w:tc>
          <w:tcPr>
            <w:tcW w:w="6018" w:type="dxa"/>
            <w:vAlign w:val="bottom"/>
          </w:tcPr>
          <w:p w14:paraId="725D1A1A" w14:textId="77777777" w:rsidR="0090606C" w:rsidRPr="0036350D" w:rsidRDefault="000A3D44">
            <w:pPr>
              <w:jc w:val="left"/>
            </w:pPr>
            <w:hyperlink r:id="rId16" w:history="1">
              <w:r w:rsidR="00DB7BE1">
                <w:rPr>
                  <w:rStyle w:val="Hyperlink"/>
                </w:rPr>
                <w:t>ODS 8 – Trabalho Digno e Crescimento Económico</w:t>
              </w:r>
            </w:hyperlink>
            <w:r w:rsidR="00DB7BE1">
              <w:t xml:space="preserve"> </w:t>
            </w:r>
          </w:p>
          <w:p w14:paraId="78BF4EA7" w14:textId="77777777" w:rsidR="0090606C" w:rsidRPr="0036350D" w:rsidRDefault="000A3D44">
            <w:pPr>
              <w:jc w:val="left"/>
            </w:pPr>
            <w:hyperlink r:id="rId17" w:history="1">
              <w:r w:rsidR="00DB7BE1">
                <w:rPr>
                  <w:rStyle w:val="Hyperlink"/>
                </w:rPr>
                <w:t>ODS 9 – Indústria, inovação e infraestruturas</w:t>
              </w:r>
            </w:hyperlink>
          </w:p>
          <w:p w14:paraId="5E395C92" w14:textId="77777777" w:rsidR="0090606C" w:rsidRPr="0036350D" w:rsidRDefault="000A3D44">
            <w:pPr>
              <w:jc w:val="left"/>
            </w:pPr>
            <w:hyperlink r:id="rId18" w:history="1">
              <w:r w:rsidR="00DB7BE1">
                <w:rPr>
                  <w:rStyle w:val="Hyperlink"/>
                </w:rPr>
                <w:t>ODS 12 – Produção e consumo sustentáveis</w:t>
              </w:r>
            </w:hyperlink>
          </w:p>
          <w:p w14:paraId="59A12946" w14:textId="77777777" w:rsidR="0090606C" w:rsidRPr="0036350D" w:rsidRDefault="000A3D44">
            <w:pPr>
              <w:jc w:val="left"/>
              <w:rPr>
                <w:rStyle w:val="Hyperlink"/>
                <w:highlight w:val="yellow"/>
              </w:rPr>
            </w:pPr>
            <w:hyperlink r:id="rId19" w:history="1">
              <w:r w:rsidR="00DB7BE1">
                <w:rPr>
                  <w:rStyle w:val="Hyperlink"/>
                </w:rPr>
                <w:t>ODS 13 – Ação climática</w:t>
              </w:r>
            </w:hyperlink>
          </w:p>
        </w:tc>
      </w:tr>
      <w:tr w:rsidR="0090606C" w:rsidRPr="0036350D" w14:paraId="5C447F32" w14:textId="77777777">
        <w:tc>
          <w:tcPr>
            <w:tcW w:w="3055" w:type="dxa"/>
          </w:tcPr>
          <w:p w14:paraId="5EBC6D09" w14:textId="77777777" w:rsidR="0090606C" w:rsidRPr="0036350D" w:rsidRDefault="00601604">
            <w:pPr>
              <w:jc w:val="left"/>
            </w:pPr>
            <w:r>
              <w:t>Competência</w:t>
            </w:r>
          </w:p>
        </w:tc>
        <w:tc>
          <w:tcPr>
            <w:tcW w:w="6018" w:type="dxa"/>
          </w:tcPr>
          <w:p w14:paraId="7DAFCC7B" w14:textId="77777777" w:rsidR="0090606C" w:rsidRPr="0036350D" w:rsidRDefault="00601604">
            <w:pPr>
              <w:jc w:val="left"/>
            </w:pPr>
            <w:r>
              <w:t>Secção do Mercado Único, Produção e Consumo</w:t>
            </w:r>
          </w:p>
        </w:tc>
      </w:tr>
      <w:tr w:rsidR="0090606C" w:rsidRPr="0036350D" w14:paraId="38E3D44B" w14:textId="77777777">
        <w:tc>
          <w:tcPr>
            <w:tcW w:w="3055" w:type="dxa"/>
          </w:tcPr>
          <w:p w14:paraId="4AD08C63" w14:textId="77777777" w:rsidR="0090606C" w:rsidRPr="0036350D" w:rsidRDefault="00601604">
            <w:pPr>
              <w:jc w:val="left"/>
            </w:pPr>
            <w:r>
              <w:t>Adoção em secção</w:t>
            </w:r>
          </w:p>
        </w:tc>
        <w:tc>
          <w:tcPr>
            <w:tcW w:w="6018" w:type="dxa"/>
          </w:tcPr>
          <w:p w14:paraId="3DA68908" w14:textId="70269CF0" w:rsidR="0090606C" w:rsidRPr="0036350D" w:rsidRDefault="005622A4">
            <w:pPr>
              <w:jc w:val="left"/>
            </w:pPr>
            <w:r>
              <w:t>14/11/2025</w:t>
            </w:r>
          </w:p>
        </w:tc>
      </w:tr>
      <w:tr w:rsidR="0090606C" w:rsidRPr="0036350D" w14:paraId="330D333A" w14:textId="77777777">
        <w:tc>
          <w:tcPr>
            <w:tcW w:w="3055" w:type="dxa"/>
          </w:tcPr>
          <w:p w14:paraId="175419AA" w14:textId="77777777" w:rsidR="0090606C" w:rsidRPr="0036350D" w:rsidRDefault="00601604">
            <w:pPr>
              <w:jc w:val="left"/>
            </w:pPr>
            <w:r>
              <w:t>Resultado da votação</w:t>
            </w:r>
            <w:r>
              <w:br/>
              <w:t>(votos a favor/votos contra/abstenções)</w:t>
            </w:r>
          </w:p>
        </w:tc>
        <w:tc>
          <w:tcPr>
            <w:tcW w:w="6018" w:type="dxa"/>
            <w:vAlign w:val="bottom"/>
          </w:tcPr>
          <w:p w14:paraId="10694F20" w14:textId="098F6E62" w:rsidR="0090606C" w:rsidRPr="0036350D" w:rsidRDefault="00CD267B">
            <w:pPr>
              <w:jc w:val="left"/>
            </w:pPr>
            <w:r>
              <w:t>83/2/3</w:t>
            </w:r>
          </w:p>
        </w:tc>
      </w:tr>
      <w:tr w:rsidR="0090606C" w:rsidRPr="0036350D" w14:paraId="597A3926" w14:textId="77777777">
        <w:tc>
          <w:tcPr>
            <w:tcW w:w="3055" w:type="dxa"/>
          </w:tcPr>
          <w:p w14:paraId="1C72FF2E" w14:textId="77777777" w:rsidR="0090606C" w:rsidRPr="0036350D" w:rsidRDefault="00601604">
            <w:pPr>
              <w:jc w:val="left"/>
            </w:pPr>
            <w:r>
              <w:t>Adoção em plenária</w:t>
            </w:r>
          </w:p>
        </w:tc>
        <w:tc>
          <w:tcPr>
            <w:tcW w:w="6018" w:type="dxa"/>
          </w:tcPr>
          <w:p w14:paraId="02B449A7" w14:textId="77777777" w:rsidR="0090606C" w:rsidRPr="0036350D" w:rsidRDefault="00601604">
            <w:pPr>
              <w:jc w:val="left"/>
            </w:pPr>
            <w:r>
              <w:t>D/M/YYYY</w:t>
            </w:r>
          </w:p>
        </w:tc>
      </w:tr>
      <w:tr w:rsidR="0090606C" w:rsidRPr="0036350D" w14:paraId="59FDC766" w14:textId="77777777">
        <w:tc>
          <w:tcPr>
            <w:tcW w:w="3055" w:type="dxa"/>
          </w:tcPr>
          <w:p w14:paraId="40EF4A76" w14:textId="77777777" w:rsidR="0090606C" w:rsidRPr="0036350D" w:rsidRDefault="00601604">
            <w:pPr>
              <w:jc w:val="left"/>
            </w:pPr>
            <w:r>
              <w:t>Reunião plenária n.º</w:t>
            </w:r>
          </w:p>
        </w:tc>
        <w:tc>
          <w:tcPr>
            <w:tcW w:w="6018" w:type="dxa"/>
          </w:tcPr>
          <w:p w14:paraId="370871AD" w14:textId="77777777" w:rsidR="0090606C" w:rsidRPr="0036350D" w:rsidRDefault="00601604">
            <w:pPr>
              <w:jc w:val="left"/>
            </w:pPr>
            <w:r>
              <w:t>…</w:t>
            </w:r>
          </w:p>
        </w:tc>
      </w:tr>
      <w:tr w:rsidR="0090606C" w:rsidRPr="0036350D" w14:paraId="02B07CDD" w14:textId="77777777">
        <w:tc>
          <w:tcPr>
            <w:tcW w:w="3055" w:type="dxa"/>
          </w:tcPr>
          <w:p w14:paraId="77D76DD1" w14:textId="77777777" w:rsidR="0090606C" w:rsidRPr="0036350D" w:rsidRDefault="00601604">
            <w:pPr>
              <w:jc w:val="left"/>
            </w:pPr>
            <w:r>
              <w:t>Resultado da votação</w:t>
            </w:r>
            <w:r>
              <w:br/>
              <w:t>(votos a favor/votos contra/abstenções)</w:t>
            </w:r>
          </w:p>
        </w:tc>
        <w:tc>
          <w:tcPr>
            <w:tcW w:w="6018" w:type="dxa"/>
            <w:vAlign w:val="bottom"/>
          </w:tcPr>
          <w:p w14:paraId="1E9CDBFF" w14:textId="77777777" w:rsidR="0090606C" w:rsidRPr="0036350D" w:rsidRDefault="00601604">
            <w:pPr>
              <w:jc w:val="left"/>
            </w:pPr>
            <w:r>
              <w:t>…/…/…</w:t>
            </w:r>
          </w:p>
        </w:tc>
      </w:tr>
    </w:tbl>
    <w:p w14:paraId="47B2D8BE" w14:textId="77777777" w:rsidR="0090606C" w:rsidRPr="0036350D" w:rsidRDefault="00601604">
      <w:pPr>
        <w:rPr>
          <w:sz w:val="16"/>
          <w:szCs w:val="16"/>
        </w:rPr>
      </w:pPr>
      <w:r>
        <w:br w:type="page"/>
      </w:r>
    </w:p>
    <w:p w14:paraId="3331BC2E" w14:textId="77777777" w:rsidR="0090606C" w:rsidRPr="0036350D" w:rsidRDefault="00601604">
      <w:pPr>
        <w:pStyle w:val="Heading1"/>
      </w:pPr>
      <w:r>
        <w:rPr>
          <w:b/>
        </w:rPr>
        <w:lastRenderedPageBreak/>
        <w:t>RECOMENDAÇÕES</w:t>
      </w:r>
    </w:p>
    <w:p w14:paraId="160D0250" w14:textId="77777777" w:rsidR="0090606C" w:rsidRPr="0036350D" w:rsidRDefault="0090606C">
      <w:pPr>
        <w:jc w:val="left"/>
        <w:rPr>
          <w:lang w:val="en-GB"/>
        </w:rPr>
      </w:pPr>
    </w:p>
    <w:p w14:paraId="0C1E6320" w14:textId="77777777" w:rsidR="0090606C" w:rsidRPr="0036350D" w:rsidRDefault="00601604">
      <w:pPr>
        <w:jc w:val="left"/>
        <w:rPr>
          <w:i/>
          <w:iCs/>
        </w:rPr>
      </w:pPr>
      <w:r>
        <w:t>O Comité Económico e Social Europeu (CESE)</w:t>
      </w:r>
    </w:p>
    <w:p w14:paraId="04CD6E9D" w14:textId="77777777" w:rsidR="0090606C" w:rsidRPr="00DA5E8A" w:rsidRDefault="0090606C">
      <w:pPr>
        <w:ind w:left="142" w:hanging="142"/>
        <w:jc w:val="left"/>
      </w:pPr>
    </w:p>
    <w:p w14:paraId="5819220C" w14:textId="596D6B41" w:rsidR="0090606C" w:rsidRPr="0036350D" w:rsidRDefault="00601604">
      <w:pPr>
        <w:pStyle w:val="Heading2"/>
      </w:pPr>
      <w:r>
        <w:rPr>
          <w:b/>
        </w:rPr>
        <w:t>regozija-se</w:t>
      </w:r>
      <w:r>
        <w:t xml:space="preserve"> com a proposta de introdução de um Fundo Europeu de Competitividade (FEC) no âmbito do novo quadro financeiro plurianual (QFP) e destaca a sua importância para facilitar a consecução de muitos outros objetivos da União Europeia (UE), amplificada pelas sinergias com outros fundos; propõe a alteração da designação do FEC para Fundo para a Competitividade e a Segurança (segurança na sua aceção mais lata), uma vez que uma parte considerável do fundo é dedicada à segurança e existem múltiplas ligações entre a competitividade e as várias dimensões da segurança;</w:t>
      </w:r>
    </w:p>
    <w:p w14:paraId="573C1C38" w14:textId="77777777" w:rsidR="0090606C" w:rsidRPr="00DA5E8A" w:rsidRDefault="0090606C">
      <w:pPr>
        <w:ind w:left="567" w:hanging="567"/>
      </w:pPr>
    </w:p>
    <w:p w14:paraId="381385D5" w14:textId="08A0C59F" w:rsidR="0090606C" w:rsidRPr="0036350D" w:rsidRDefault="00601604">
      <w:pPr>
        <w:pStyle w:val="Heading2"/>
      </w:pPr>
      <w:r>
        <w:rPr>
          <w:b/>
        </w:rPr>
        <w:t>congratula-se</w:t>
      </w:r>
      <w:r>
        <w:t xml:space="preserve"> com a abordagem integrada e orientada para os resultados de combinar vários programas existentes em quatro </w:t>
      </w:r>
      <w:r>
        <w:rPr>
          <w:i/>
        </w:rPr>
        <w:t>vertentes estratégicas</w:t>
      </w:r>
      <w:r>
        <w:t xml:space="preserve"> que abrangem os principais desafios comuns, mas apela para o reconhecimento adequado das ligações e do equilíbrio entre as próprias vertentes, de modo a poder responder à crise multifacetada, às transformações a longo prazo e aos desafios que estão a emergir rapidamente;</w:t>
      </w:r>
    </w:p>
    <w:p w14:paraId="60020F06" w14:textId="77777777" w:rsidR="0090606C" w:rsidRPr="00DA5E8A" w:rsidRDefault="0090606C">
      <w:pPr>
        <w:ind w:left="567" w:hanging="567"/>
      </w:pPr>
    </w:p>
    <w:p w14:paraId="4A07406E" w14:textId="7D954FF9" w:rsidR="0090606C" w:rsidRPr="0036350D" w:rsidRDefault="00601604">
      <w:pPr>
        <w:pStyle w:val="Heading2"/>
      </w:pPr>
      <w:r>
        <w:rPr>
          <w:b/>
        </w:rPr>
        <w:t>defende</w:t>
      </w:r>
      <w:r>
        <w:t xml:space="preserve"> que a definição de </w:t>
      </w:r>
      <w:r>
        <w:rPr>
          <w:i/>
        </w:rPr>
        <w:t>critérios gerais de concessão</w:t>
      </w:r>
      <w:r>
        <w:t xml:space="preserve"> transparentes, comuns a todas as vertentes, decorrentes do objetivo de competitividade e centrados na excelência, na orientação futura e no potencial económico, deve ser acompanhada de critérios específicos para cada vertente, que reflitam os resultados esperados no domínio temático respetivo, respeitando simultaneamente o modelo de economia social de mercado da UE e a sustentabilidade global, incluindo o pleno cumprimento da legislação social e ambiental em vigor;</w:t>
      </w:r>
    </w:p>
    <w:p w14:paraId="0B1D573B" w14:textId="77777777" w:rsidR="0090606C" w:rsidRPr="00DA5E8A" w:rsidRDefault="0090606C"/>
    <w:p w14:paraId="73528FD4" w14:textId="0B13DBEF" w:rsidR="0090606C" w:rsidRPr="0036350D" w:rsidRDefault="00601604">
      <w:pPr>
        <w:pStyle w:val="Heading2"/>
      </w:pPr>
      <w:r>
        <w:rPr>
          <w:b/>
        </w:rPr>
        <w:t>entende</w:t>
      </w:r>
      <w:r>
        <w:t xml:space="preserve"> que é útil disponibilizar financiamento </w:t>
      </w:r>
      <w:r>
        <w:rPr>
          <w:i/>
        </w:rPr>
        <w:t>específico e direcionado</w:t>
      </w:r>
      <w:r>
        <w:t xml:space="preserve"> a atividades e intervenientes com um papel crucial na melhoria da competitividade e da resiliência, mas insta à definição de critérios de seleção claros para garantir a transparência e uma concorrência salutar; salienta a necessidade de evitar distorções do mercado decorrentes da seleção dos vencedores em termos de tecnologias, de empresas e de cadeias de valor, ou o agravamento das disparidades entre os Estados-Membros; solicita o devido apoio a projetos de importância local e regional, em particular para dar resposta às ameaças à segurança enfrentadas pelos países nas fronteiras da UE (os que fazem fronteira terrestre e marítima com a Rússia e a Bielorrússia, bem como a Grécia e o Chipre); solicita financiamento específico para abordar os desafios relacionados com a água, em consonância com a posição defendida na Declaração sobre o Pacto Azul Europeu</w:t>
      </w:r>
      <w:r w:rsidR="006F7338" w:rsidRPr="00FA5329">
        <w:rPr>
          <w:rStyle w:val="FootnoteReference"/>
          <w:iCs/>
          <w:lang w:val="en-GB"/>
        </w:rPr>
        <w:footnoteReference w:id="1"/>
      </w:r>
      <w:r>
        <w:t>. Os investimentos estratégicos na resiliência hídrica terão como resultado uma melhor preparação e uma maior competitividade.</w:t>
      </w:r>
    </w:p>
    <w:p w14:paraId="4164A509" w14:textId="77777777" w:rsidR="0090606C" w:rsidRPr="00DA5E8A" w:rsidRDefault="0090606C"/>
    <w:p w14:paraId="4D1C2F33" w14:textId="5C6CB989" w:rsidR="0090606C" w:rsidRPr="0036350D" w:rsidRDefault="00601604">
      <w:pPr>
        <w:pStyle w:val="Heading2"/>
      </w:pPr>
      <w:r>
        <w:rPr>
          <w:b/>
        </w:rPr>
        <w:t>considera</w:t>
      </w:r>
      <w:r>
        <w:t xml:space="preserve"> fundamental atender, de forma integrada, às necessidades de todas as </w:t>
      </w:r>
      <w:r>
        <w:rPr>
          <w:i/>
        </w:rPr>
        <w:t>fases de investimento</w:t>
      </w:r>
      <w:r>
        <w:t>, desde a investigação e inovação até à expansão das empresas, dedicando financiamento específico ao investimento nas qualificações e formação dos trabalhadores e à promoção do trabalho digno; defende o incentivo à inovação e aos ecossistemas empresariais transfronteiriços e a importância de progredir no sentido de uma acessibilidade equitativa ao mercado único e às cadeias de valor europeias em todos os territórios da UE;</w:t>
      </w:r>
    </w:p>
    <w:p w14:paraId="5216B03C" w14:textId="77777777" w:rsidR="00B2203F" w:rsidRPr="00DA5E8A" w:rsidRDefault="00B2203F" w:rsidP="00FA5329"/>
    <w:p w14:paraId="652ECAAD" w14:textId="7BDF3CF8" w:rsidR="0090606C" w:rsidRPr="0036350D" w:rsidRDefault="00601604">
      <w:pPr>
        <w:pStyle w:val="Heading2"/>
      </w:pPr>
      <w:r>
        <w:rPr>
          <w:b/>
        </w:rPr>
        <w:t>apoia</w:t>
      </w:r>
      <w:r>
        <w:t xml:space="preserve"> o objetivo do FEC de reforçar o seu impacto, catalisando o investimento de investidores privados e institucionais, e de aumentar a flexibilidade e a congregação na utilização de </w:t>
      </w:r>
      <w:r>
        <w:rPr>
          <w:i/>
        </w:rPr>
        <w:t>instrumentos de financiamento</w:t>
      </w:r>
      <w:r>
        <w:t>; no entanto, incentiva a introdução de modalidades adicionais de mobilização de capital (por exemplo, através da validação pelo mercado), assegurando simultaneamente que as medidas de apoio sejam previsíveis e pertinentes para os beneficiários;</w:t>
      </w:r>
    </w:p>
    <w:p w14:paraId="4F222E28" w14:textId="77777777" w:rsidR="0090606C" w:rsidRPr="00DA5E8A" w:rsidRDefault="0090606C">
      <w:pPr>
        <w:ind w:left="567" w:hanging="567"/>
      </w:pPr>
    </w:p>
    <w:p w14:paraId="6D51902B" w14:textId="77777777" w:rsidR="0090606C" w:rsidRPr="0036350D" w:rsidRDefault="00601604">
      <w:pPr>
        <w:pStyle w:val="Heading2"/>
        <w:rPr>
          <w:b/>
          <w:bCs/>
        </w:rPr>
      </w:pPr>
      <w:r>
        <w:rPr>
          <w:b/>
        </w:rPr>
        <w:t>congratula-se</w:t>
      </w:r>
      <w:r>
        <w:t xml:space="preserve"> com a atenção dedicada às necessidades financeiras e de aconselhamento gerais das </w:t>
      </w:r>
      <w:r>
        <w:rPr>
          <w:i/>
        </w:rPr>
        <w:t>pequenas e médias empresas (PME)</w:t>
      </w:r>
      <w:r>
        <w:t xml:space="preserve"> e das pequenas empresas de média capitalização, bem como aos desafios específicos enfrentados pelas empresas em fase de arranque e pelas empresas em fase de expansão no acesso a capitais próprios e a capital de risco; contudo, defende a criação de uma rede de «provedores financeiros e de financiamento» e uma segmentação mais precisa das PME, a fim de responder melhor às necessidades de cada segmento, em estreita cooperação com as redes e organizações de PME</w:t>
      </w:r>
      <w:r w:rsidRPr="0036350D">
        <w:rPr>
          <w:rStyle w:val="FootnoteReference"/>
          <w:lang w:val="en-GB"/>
        </w:rPr>
        <w:footnoteReference w:id="2"/>
      </w:r>
      <w:r>
        <w:t>; propõe que os regimes de apoio às PME sejam estruturados a nível dos Estados-Membros;</w:t>
      </w:r>
    </w:p>
    <w:p w14:paraId="6D14A114" w14:textId="77777777" w:rsidR="0090606C" w:rsidRPr="00DA5E8A" w:rsidRDefault="0090606C">
      <w:pPr>
        <w:ind w:left="567" w:hanging="567"/>
      </w:pPr>
    </w:p>
    <w:p w14:paraId="4B7465FD" w14:textId="77777777" w:rsidR="0090606C" w:rsidRPr="0036350D" w:rsidRDefault="00601604">
      <w:pPr>
        <w:pStyle w:val="Heading2"/>
      </w:pPr>
      <w:r>
        <w:rPr>
          <w:b/>
        </w:rPr>
        <w:t>salienta</w:t>
      </w:r>
      <w:r>
        <w:t xml:space="preserve"> a necessidade de permitir que todos os beneficiários usufruam da </w:t>
      </w:r>
      <w:r>
        <w:rPr>
          <w:i/>
        </w:rPr>
        <w:t>simplificação</w:t>
      </w:r>
      <w:r>
        <w:t xml:space="preserve"> de forma equitativa, bem como de a integrar em todos os elementos do FEC, desde a arquitetura global até aos programas de trabalho e aos procedimentos de candidatura e concessão, nomeadamente uma ligação clara entre os formulários de candidatura e a grelha de avaliação e pontuação, apoiada por sistemas e infraestruturas digitais sólidos;</w:t>
      </w:r>
    </w:p>
    <w:p w14:paraId="4B798023" w14:textId="77777777" w:rsidR="0090606C" w:rsidRPr="00DA5E8A" w:rsidRDefault="0090606C"/>
    <w:p w14:paraId="0F35A7C5" w14:textId="49FC5642" w:rsidR="0090606C" w:rsidRPr="0036350D" w:rsidRDefault="00601604">
      <w:pPr>
        <w:pStyle w:val="Heading2"/>
      </w:pPr>
      <w:r>
        <w:rPr>
          <w:b/>
        </w:rPr>
        <w:t>considera</w:t>
      </w:r>
      <w:r>
        <w:t xml:space="preserve"> necessário </w:t>
      </w:r>
      <w:r>
        <w:rPr>
          <w:i/>
        </w:rPr>
        <w:t>facilitar a execução</w:t>
      </w:r>
      <w:r>
        <w:t xml:space="preserve"> do FEC através da comunicação e do reforço das capacidades, da cooperação e de ações conjuntas entre os parceiros sociais, bem como de um quadro de acompanhamento simplificado, centrado nas regras de sustentabilidade; solicita definições claras dos conceitos fundamentais e descrições explícitas e transparentes dos procedimentos, a fim de permitir que tanto os potenciais beneficiários como os decisores atuem eficazmente; </w:t>
      </w:r>
    </w:p>
    <w:p w14:paraId="6252222B" w14:textId="13E92091" w:rsidR="0090606C" w:rsidRPr="00DA5E8A" w:rsidRDefault="0090606C">
      <w:pPr>
        <w:pStyle w:val="Heading2"/>
        <w:numPr>
          <w:ilvl w:val="0"/>
          <w:numId w:val="0"/>
        </w:numPr>
      </w:pPr>
    </w:p>
    <w:p w14:paraId="03F5BF8A" w14:textId="70861058" w:rsidR="0090606C" w:rsidRPr="0036350D" w:rsidRDefault="00601604">
      <w:pPr>
        <w:pStyle w:val="Heading2"/>
      </w:pPr>
      <w:r>
        <w:rPr>
          <w:b/>
        </w:rPr>
        <w:t>preconiza</w:t>
      </w:r>
      <w:r>
        <w:t xml:space="preserve"> uma </w:t>
      </w:r>
      <w:r>
        <w:rPr>
          <w:i/>
        </w:rPr>
        <w:t>governação</w:t>
      </w:r>
      <w:r>
        <w:t xml:space="preserve"> clara e uma participação adequada dos parceiros sociais e de outros intervenientes da sociedade civil a nível da UE, nacional, setorial e regional na elaboração, execução e acompanhamento do FEC, e solicita que o CESE seja devidamente integrado no Conselho Estratégico de Partes Interessadas.</w:t>
      </w:r>
    </w:p>
    <w:p w14:paraId="759D8678" w14:textId="77777777" w:rsidR="0090606C" w:rsidRPr="00DA5E8A" w:rsidRDefault="0090606C"/>
    <w:p w14:paraId="373CAD78" w14:textId="77777777" w:rsidR="0090606C" w:rsidRPr="0036350D" w:rsidRDefault="00601604">
      <w:pPr>
        <w:pStyle w:val="Heading1"/>
        <w:keepNext/>
        <w:keepLines/>
        <w:rPr>
          <w:b/>
          <w:bCs/>
        </w:rPr>
      </w:pPr>
      <w:r>
        <w:rPr>
          <w:b/>
        </w:rPr>
        <w:t>NOTAS EXPLICATIVAS</w:t>
      </w:r>
    </w:p>
    <w:p w14:paraId="2DD7A272" w14:textId="77777777" w:rsidR="0090606C" w:rsidRPr="0036350D" w:rsidRDefault="0090606C">
      <w:pPr>
        <w:keepNext/>
        <w:keepLines/>
        <w:rPr>
          <w:lang w:val="en-GB"/>
        </w:rPr>
      </w:pPr>
    </w:p>
    <w:p w14:paraId="447FBEB0" w14:textId="77777777" w:rsidR="0090606C" w:rsidRPr="0036350D" w:rsidRDefault="00601604">
      <w:pPr>
        <w:keepNext/>
        <w:keepLines/>
        <w:ind w:left="720" w:hanging="153"/>
        <w:rPr>
          <w:i/>
          <w:iCs/>
        </w:rPr>
      </w:pPr>
      <w:r>
        <w:rPr>
          <w:i/>
        </w:rPr>
        <w:t>Argumentos horizontais</w:t>
      </w:r>
    </w:p>
    <w:p w14:paraId="73C34684" w14:textId="77777777" w:rsidR="0090606C" w:rsidRPr="00FA5329" w:rsidRDefault="0090606C" w:rsidP="00FA5329">
      <w:pPr>
        <w:keepNext/>
        <w:keepLines/>
        <w:rPr>
          <w:lang w:val="en-GB"/>
        </w:rPr>
      </w:pPr>
    </w:p>
    <w:p w14:paraId="25753B54" w14:textId="7ABB768B" w:rsidR="0090606C" w:rsidRPr="0036350D" w:rsidRDefault="00601604">
      <w:pPr>
        <w:pStyle w:val="Heading2"/>
      </w:pPr>
      <w:r>
        <w:t xml:space="preserve">A abordagem global do FEC, que visa alcançar a prosperidade através do reforço da competitividade, de empresas bem-sucedidas e sustentáveis e de uma economia forte e resiliente, é altamente louvável, uma vez que permite responder aos desafios comuns da UE. Por conseguinte, o financiamento visa, acertadamente, reforçar a inovação, as competências, a </w:t>
      </w:r>
      <w:r>
        <w:lastRenderedPageBreak/>
        <w:t>capacidade tecnológica e a produtividade global, bem como o acesso aos recursos, a adoção pelo mercado e a expansão, mas deveria visar igualmente as cadeias de valor das tecnologias limpas, que podem proporcionar à UE vantagens comparativas. O CESE destaca a necessidade urgente de financiamento específico nesse domínio, a fim de reforçar a resiliência, garantir a segurança do aprovisionamento e reduzir as dependências externas relativamente às matérias</w:t>
      </w:r>
      <w:r w:rsidR="00DA5E8A">
        <w:noBreakHyphen/>
      </w:r>
      <w:r>
        <w:t>primas críticas que são essenciais para a segurança industrial e económica europeia. Esta tónica deve ser mantida de forma rigorosa e coerente na concessão de financiamento durante todo o período de vigência do FEC. Além disso, o FEC deve ser acompanhado de financiamento privado e de um ambiente operacional global que incentive a inovação, o investimento e o comércio.</w:t>
      </w:r>
    </w:p>
    <w:p w14:paraId="1D71C548" w14:textId="77777777" w:rsidR="0090606C" w:rsidRPr="00DA5E8A" w:rsidRDefault="0090606C">
      <w:pPr>
        <w:ind w:left="567" w:hanging="567"/>
      </w:pPr>
    </w:p>
    <w:p w14:paraId="30AA24BD" w14:textId="02D4B18E" w:rsidR="0090606C" w:rsidRPr="0036350D" w:rsidRDefault="00601604">
      <w:pPr>
        <w:pStyle w:val="Heading2"/>
      </w:pPr>
      <w:r>
        <w:t>A competitividade deve ser desenvolvida de forma sustentável, ou seja, articulando os aspetos económicos, sociais e ambientais. O Relatório Letta alega corretamente que a eficácia e a aceitabilidade dos instrumentos de auxílio estatal dependem da utilização estratégica dos fundos públicos para alcançar objetivos políticos comuns.</w:t>
      </w:r>
    </w:p>
    <w:p w14:paraId="0A502860" w14:textId="3136C3FB" w:rsidR="0090606C" w:rsidRPr="00DA5E8A" w:rsidRDefault="0090606C">
      <w:pPr>
        <w:pStyle w:val="Heading2"/>
        <w:numPr>
          <w:ilvl w:val="0"/>
          <w:numId w:val="0"/>
        </w:numPr>
      </w:pPr>
    </w:p>
    <w:p w14:paraId="4029A9D1" w14:textId="173CE704" w:rsidR="0090606C" w:rsidRPr="0036350D" w:rsidRDefault="00601604">
      <w:pPr>
        <w:pStyle w:val="Heading2"/>
      </w:pPr>
      <w:r>
        <w:t>Tendo em conta que o mercado único constitui um dos pilares da competitividade e da segurança económica da UE, e dado que o FEC é um instrumento de apoio de última geração concebido para promover um mercado único fluido e operacional, é necessário identificar e eliminar sem demora, com a colaboração dos parceiros sociais, os obstáculos ao mercado ainda existentes</w:t>
      </w:r>
      <w:r w:rsidRPr="0036350D">
        <w:rPr>
          <w:rStyle w:val="FootnoteReference"/>
          <w:szCs w:val="24"/>
          <w:lang w:val="en-GB"/>
        </w:rPr>
        <w:footnoteReference w:id="3"/>
      </w:r>
      <w:r>
        <w:t xml:space="preserve">, a fim de permitir uma utilização harmoniosa do fundo. </w:t>
      </w:r>
    </w:p>
    <w:p w14:paraId="19648095" w14:textId="77777777" w:rsidR="0090606C" w:rsidRPr="00DA5E8A" w:rsidRDefault="0090606C">
      <w:pPr>
        <w:ind w:left="567" w:hanging="567"/>
      </w:pPr>
    </w:p>
    <w:p w14:paraId="3FA59CCF" w14:textId="214D19FB" w:rsidR="0090606C" w:rsidRPr="0036350D" w:rsidRDefault="00601604">
      <w:pPr>
        <w:pStyle w:val="Heading2"/>
      </w:pPr>
      <w:r>
        <w:t>A cooperação com parceiros estrangeiros é um elemento da segurança económica e da segurança global. No entanto, a abertura do FEC a empresas e projetos de investimento de países terceiros deve ser particularmente cautelosa, devendo basear-se estritamente em acordos de parceria e ser proporcional às contribuições dos países terceiros, a fim de salvaguardar os interesses da UE. Pela mesma razão, avalia-se de forma positiva o requisito de os beneficiários não deslocalizarem as suas atividades para países terceiros (artigo 10.º, Preferência da UE). Além disso, o FEC não deve ser utilizado para financiar quaisquer medidas protecionistas de outras economias</w:t>
      </w:r>
      <w:r w:rsidRPr="0036350D">
        <w:rPr>
          <w:rStyle w:val="FootnoteReference"/>
          <w:lang w:val="en-GB"/>
        </w:rPr>
        <w:footnoteReference w:id="4"/>
      </w:r>
      <w:r>
        <w:t xml:space="preserve">. </w:t>
      </w:r>
    </w:p>
    <w:p w14:paraId="4F7D9261" w14:textId="77777777" w:rsidR="0090606C" w:rsidRPr="00DA5E8A" w:rsidRDefault="0090606C">
      <w:pPr>
        <w:ind w:left="567" w:hanging="567"/>
      </w:pPr>
    </w:p>
    <w:p w14:paraId="1F6583A2" w14:textId="77777777" w:rsidR="0090606C" w:rsidRPr="0036350D" w:rsidRDefault="00601604">
      <w:pPr>
        <w:keepNext/>
        <w:keepLines/>
        <w:ind w:left="567"/>
        <w:rPr>
          <w:i/>
          <w:iCs/>
        </w:rPr>
      </w:pPr>
      <w:r>
        <w:rPr>
          <w:i/>
        </w:rPr>
        <w:t>Argumentos em apoio da recomendação 1.1 (fundo)</w:t>
      </w:r>
    </w:p>
    <w:p w14:paraId="1477A303" w14:textId="77777777" w:rsidR="0090606C" w:rsidRPr="00DA5E8A" w:rsidRDefault="0090606C">
      <w:pPr>
        <w:keepNext/>
        <w:keepLines/>
      </w:pPr>
    </w:p>
    <w:p w14:paraId="4CB576AB" w14:textId="11AC3A3F" w:rsidR="0090606C" w:rsidRPr="0036350D" w:rsidRDefault="00601604">
      <w:pPr>
        <w:pStyle w:val="Heading2"/>
      </w:pPr>
      <w:r>
        <w:t>A proposta de criação do FEC para reforçar a competitividade é muito bem-vinda, tendo em conta que a competitividade contribui para muitos outros objetivos, como a criação de emprego de qualidade, a prestação de serviços de interesse geral (em particular, energia, água e habitação sustentáveis e a preços acessíveis) e a convergência ascendente e a coesão, bem como o crescimento sustentável global em toda a UE. Por estes motivos, o papel central do FEC deve ser reconhecido na programação do QFP.</w:t>
      </w:r>
    </w:p>
    <w:p w14:paraId="68964A05" w14:textId="77777777" w:rsidR="0090606C" w:rsidRPr="00DA5E8A" w:rsidRDefault="0090606C">
      <w:pPr>
        <w:pStyle w:val="Heading2"/>
        <w:numPr>
          <w:ilvl w:val="0"/>
          <w:numId w:val="0"/>
        </w:numPr>
      </w:pPr>
    </w:p>
    <w:p w14:paraId="42314B5C" w14:textId="1D093825" w:rsidR="0090606C" w:rsidRPr="0036350D" w:rsidRDefault="00601604">
      <w:pPr>
        <w:pStyle w:val="Heading2"/>
      </w:pPr>
      <w:r>
        <w:lastRenderedPageBreak/>
        <w:t>Os recursos do FEC serão cerca de um quinto do orçamento total do QFP e cerca de metade do novo fundo de parceria nacional e regional dedicado à coesão e à agricultura</w:t>
      </w:r>
      <w:r w:rsidRPr="0036350D">
        <w:rPr>
          <w:rStyle w:val="FootnoteReference"/>
          <w:lang w:val="en-GB"/>
        </w:rPr>
        <w:footnoteReference w:id="5"/>
      </w:r>
      <w:r>
        <w:t>. Além disso, uma parte significativa do FEC será afetada à segurança, o que justificaria alterar a sua designação para «Fundo para a Competitividade e a Segurança». O CESE sublinha que uma abordagem abrangente da segurança engloba várias dimensões, incluindo não só a capacidade de defesa, mas também a preparação civil, industrial e societal, as várias facetas da segurança económica, bem como a segurança social, sanitária, alimentar e ambiental.</w:t>
      </w:r>
    </w:p>
    <w:p w14:paraId="7824DDB0" w14:textId="77777777" w:rsidR="0090606C" w:rsidRPr="00DA5E8A" w:rsidRDefault="0090606C"/>
    <w:p w14:paraId="39599DE7" w14:textId="2E580840" w:rsidR="0090606C" w:rsidRPr="0036350D" w:rsidRDefault="00601604">
      <w:pPr>
        <w:pStyle w:val="Heading2"/>
      </w:pPr>
      <w:r>
        <w:t>É igualmente importante aumentar a coerência das políticas e reforçar as sinergias entre os vários fundos. Por exemplo, as parcerias nacionais e regionais em matéria de infraestruturas, bem como as parcerias económicas internacionais, são fundamentais tanto para a competitividade como para a segurança. A proposta do CESE relativa a um fundo de transição no âmbito do Pacto Azul</w:t>
      </w:r>
      <w:r w:rsidR="00D568A2" w:rsidRPr="00FA5329">
        <w:rPr>
          <w:rStyle w:val="FootnoteReference"/>
          <w:iCs/>
          <w:lang w:val="en-GB"/>
        </w:rPr>
        <w:footnoteReference w:id="6"/>
      </w:r>
      <w:r>
        <w:t xml:space="preserve"> poderia também contribuir para alcançar este objetivo, ao proporcionar um ponto de acesso temático único para diferentes tipos de financiamento em prol de uma economia resiliente do ponto de vista hídrico que abranjam as competências, a investigação e a adoção de tecnologias eficientes em termos hídricos, a fim de promover a segurança hídrica e a competitividade da Europa. Tal abordagem contribuiria para o desenvolvimento de uma economia inteligente no domínio da água em toda a Europa, na qual a utilização sustentável da água e a inovação e o investimento no domínio hídrico sustentem a força industrial, a proteção do ambiente e o bem-estar social.</w:t>
      </w:r>
    </w:p>
    <w:p w14:paraId="3E0B6F39" w14:textId="77777777" w:rsidR="0090606C" w:rsidRPr="00DA5E8A" w:rsidRDefault="0090606C"/>
    <w:p w14:paraId="57B6C269" w14:textId="77777777" w:rsidR="0090606C" w:rsidRPr="0036350D" w:rsidRDefault="00601604">
      <w:pPr>
        <w:keepNext/>
        <w:keepLines/>
        <w:ind w:left="567"/>
        <w:rPr>
          <w:i/>
          <w:iCs/>
        </w:rPr>
      </w:pPr>
      <w:r>
        <w:rPr>
          <w:i/>
        </w:rPr>
        <w:t>Argumentos em apoio da recomendação 1.2 (vertentes estratégicas)</w:t>
      </w:r>
    </w:p>
    <w:p w14:paraId="194D14C8" w14:textId="77777777" w:rsidR="0090606C" w:rsidRPr="00DA5E8A" w:rsidRDefault="0090606C">
      <w:pPr>
        <w:keepNext/>
      </w:pPr>
    </w:p>
    <w:p w14:paraId="3D22FFF1" w14:textId="77777777" w:rsidR="0090606C" w:rsidRPr="0036350D" w:rsidRDefault="00601604">
      <w:pPr>
        <w:pStyle w:val="Heading2"/>
      </w:pPr>
      <w:r>
        <w:t>A arquitetura integrada e orientada para os resultados proposta, acompanhada de uma simplificação, constitui uma abordagem útil para reduzir a fragmentação e melhorar a eficácia. Os quatro domínios prioritários, ou «vertentes», que combinam vários programas atuais, estão bem estruturados e dão resposta a desafios comuns da atualidade, desde as transições ecológica e digital, passando pela saúde e a bioeconomia, até às questões espaciais e de defesa.</w:t>
      </w:r>
    </w:p>
    <w:p w14:paraId="02C19EBD" w14:textId="77777777" w:rsidR="0090606C" w:rsidRPr="00DA5E8A" w:rsidRDefault="0090606C">
      <w:pPr>
        <w:ind w:left="567" w:hanging="567"/>
      </w:pPr>
    </w:p>
    <w:p w14:paraId="58F3787F" w14:textId="0D70FBF8" w:rsidR="0090606C" w:rsidRPr="0036350D" w:rsidRDefault="00601604">
      <w:pPr>
        <w:pStyle w:val="Heading2"/>
      </w:pPr>
      <w:r>
        <w:t>No entanto, as vertentes propriamente ditas parecem ser consideradas sobretudo como silos, com descrições pormenorizadas das atividades a apoiar no âmbito de cada vertente, o que pode esbater, por exemplo, o potencial das tecnologias profundas na totalidade da economia, bem como o potencial das infraestruturas, tecnologias e produtos de dupla utilização. É necessária uma abordagem integrada transversal para assegurar que se mantém o objetivo principal e se salvaguarda a previsibilidade para os beneficiários, para poder assim responder à crise multifacetada, aos desafios de transformação a longo prazo e às situações e necessidades em rápida mutação.</w:t>
      </w:r>
    </w:p>
    <w:p w14:paraId="0F62970E" w14:textId="77777777" w:rsidR="0090606C" w:rsidRPr="00DA5E8A" w:rsidRDefault="0090606C">
      <w:pPr>
        <w:ind w:left="567" w:hanging="567"/>
      </w:pPr>
    </w:p>
    <w:p w14:paraId="5449A251" w14:textId="77777777" w:rsidR="0090606C" w:rsidRPr="0036350D" w:rsidRDefault="00601604">
      <w:pPr>
        <w:keepNext/>
        <w:keepLines/>
        <w:ind w:left="567"/>
        <w:rPr>
          <w:i/>
          <w:iCs/>
        </w:rPr>
      </w:pPr>
      <w:r>
        <w:rPr>
          <w:i/>
        </w:rPr>
        <w:t>Argumentos em apoio da recomendação 1.3 (critérios de concessão)</w:t>
      </w:r>
    </w:p>
    <w:p w14:paraId="27E4DA0A" w14:textId="77777777" w:rsidR="0090606C" w:rsidRPr="00DA5E8A" w:rsidRDefault="0090606C">
      <w:pPr>
        <w:keepNext/>
      </w:pPr>
    </w:p>
    <w:p w14:paraId="118D7898" w14:textId="18183EA0" w:rsidR="0090606C" w:rsidRPr="0036350D" w:rsidRDefault="00601604">
      <w:pPr>
        <w:pStyle w:val="Heading2"/>
      </w:pPr>
      <w:r>
        <w:t xml:space="preserve">Embora a proposta do FEC se refira pontualmente a critérios de concessão no âmbito de vários temas, também deve definir critérios comuns para orientar a atribuição de financiamento em </w:t>
      </w:r>
      <w:r>
        <w:lastRenderedPageBreak/>
        <w:t>todos os domínios temáticos, a fim de assegurar a coerência entre as várias decisões de financiamento. Os critérios de concessão comuns devem decorrer do objetivo do FEC de melhorar a competitividade e, por conseguinte, centrar-se na excelência, na orientação para o futuro e no potencial económico, referindo-se os critérios específicos das vertentes aos resultados esperados no domínio temático respetivo. Ao mesmo tempo, o objetivo final da competitividade, ou seja, a melhoria da qualidade de vida, deve ser plenamente respeitado.</w:t>
      </w:r>
    </w:p>
    <w:p w14:paraId="7B581337" w14:textId="77777777" w:rsidR="0090606C" w:rsidRPr="00DA5E8A" w:rsidRDefault="0090606C">
      <w:pPr>
        <w:pStyle w:val="Heading2"/>
        <w:numPr>
          <w:ilvl w:val="0"/>
          <w:numId w:val="0"/>
        </w:numPr>
        <w:ind w:left="567"/>
      </w:pPr>
    </w:p>
    <w:p w14:paraId="7CE6276D" w14:textId="77777777" w:rsidR="0090606C" w:rsidRPr="0036350D" w:rsidRDefault="00601604">
      <w:pPr>
        <w:pStyle w:val="Heading2"/>
      </w:pPr>
      <w:r>
        <w:t>A proposta deve também ser acompanhada de orientações metodológicas sobre o modo de avaliar o contributo para a competitividade global da UE. Critérios de concessão claros e pertinentes, juntamente com metodologias de avaliação e pontuação bem definidas, são pedras angulares da previsibilidade e da transparência, elementos cruciais para os potenciais beneficiários.</w:t>
      </w:r>
    </w:p>
    <w:p w14:paraId="248389F1" w14:textId="77777777" w:rsidR="0090606C" w:rsidRPr="00DA5E8A" w:rsidRDefault="0090606C"/>
    <w:p w14:paraId="654FBA71" w14:textId="77777777" w:rsidR="0090606C" w:rsidRPr="0036350D" w:rsidRDefault="00601604">
      <w:pPr>
        <w:keepNext/>
        <w:keepLines/>
        <w:ind w:left="567"/>
        <w:rPr>
          <w:i/>
          <w:iCs/>
        </w:rPr>
      </w:pPr>
      <w:r>
        <w:rPr>
          <w:i/>
        </w:rPr>
        <w:t xml:space="preserve">Argumentos em apoio da recomendação 1.4 (direcionamento específico) </w:t>
      </w:r>
    </w:p>
    <w:p w14:paraId="3EB05D5D" w14:textId="77777777" w:rsidR="0090606C" w:rsidRPr="00DA5E8A" w:rsidRDefault="0090606C">
      <w:pPr>
        <w:keepNext/>
        <w:keepLines/>
        <w:ind w:left="567"/>
        <w:rPr>
          <w:i/>
          <w:iCs/>
        </w:rPr>
      </w:pPr>
    </w:p>
    <w:p w14:paraId="0EFA8A3C" w14:textId="77777777" w:rsidR="0090606C" w:rsidRPr="0036350D" w:rsidRDefault="00601604">
      <w:pPr>
        <w:pStyle w:val="Heading2"/>
      </w:pPr>
      <w:r>
        <w:t>Para além da falta de critérios de concessão gerais, a proposta inclui várias caracterizações ambíguas de objetivos específicos de apoio. A ausência de critérios claros abre espaço a decisões arbitrárias e favorece vantagens assentes em grupos de interesses. Por outro lado, é importante evitar «escolher os vencedores» e classificar as empresas e os setores de uma forma que conduza a distorções da concorrência e do funcionamento do mercado. O FEC deve, por conseguinte, orientar-se pelo princípio da transição para condições de concorrência equitativas em toda a UE e entre os agentes económicos.</w:t>
      </w:r>
    </w:p>
    <w:p w14:paraId="3C95E448" w14:textId="77777777" w:rsidR="0090606C" w:rsidRPr="00DA5E8A" w:rsidRDefault="0090606C">
      <w:pPr>
        <w:ind w:left="567" w:hanging="567"/>
      </w:pPr>
    </w:p>
    <w:p w14:paraId="5D6378BE" w14:textId="77777777" w:rsidR="0090606C" w:rsidRPr="0036350D" w:rsidRDefault="00601604">
      <w:pPr>
        <w:pStyle w:val="Heading2"/>
      </w:pPr>
      <w:r>
        <w:t>Embora as propostas relativas aos criadores de cadeias de valor do mercado único (artigo 16.º) e aos pioneiros tecnológicos da UE (artigo 17.º) sejam bem-vindas, não é claro como seriam escolhidos e como seriam aplicadas ao seu financiamento as regras em matéria de auxílios estatais. O processo de seleção das ações de aumento da produção (artigo 18.º) para apoio também não é claro, bem como a forma como serão garantidas oportunidades simétricas em todos os Estados-Membros. Além disso, o mecanismo de ações aceleradas e orientadas para a competitividade (artigo 20.º) pode dar azo a decisões tendenciosas e arriscadas, na ausência de uma metodologia de avaliação clara.</w:t>
      </w:r>
    </w:p>
    <w:p w14:paraId="4C1C0204" w14:textId="77777777" w:rsidR="0090606C" w:rsidRPr="00DA5E8A" w:rsidRDefault="0090606C">
      <w:pPr>
        <w:ind w:left="567" w:hanging="567"/>
      </w:pPr>
    </w:p>
    <w:p w14:paraId="698629FE" w14:textId="77777777" w:rsidR="0090606C" w:rsidRPr="0036350D" w:rsidRDefault="00601604">
      <w:pPr>
        <w:pStyle w:val="Heading2"/>
      </w:pPr>
      <w:r>
        <w:t>Os complementos para projetos importantes de interesse europeu comum (artigo 19.º) são um bom instrumento para garantir que os Estados-Membros disponham de oportunidades de participação iguais e para promover a cooperação e a sinergia entre eles</w:t>
      </w:r>
      <w:r w:rsidRPr="0036350D">
        <w:rPr>
          <w:rStyle w:val="FootnoteReference"/>
          <w:szCs w:val="24"/>
          <w:lang w:val="en-GB"/>
        </w:rPr>
        <w:footnoteReference w:id="7"/>
      </w:r>
      <w:r>
        <w:t>, a fim de evitar prejudicar determinados Estados-Membros, como acontece com alguns programas da UE em vigor</w:t>
      </w:r>
      <w:r w:rsidRPr="0036350D">
        <w:rPr>
          <w:rStyle w:val="FootnoteReference"/>
          <w:lang w:val="en-GB"/>
        </w:rPr>
        <w:footnoteReference w:id="8"/>
      </w:r>
      <w:r>
        <w:t>. Podem ser combinados com um requisito de validação pelo mercado, que estipula a obrigação de um requerente mobilizar uma determinada parte do financiamento privado nos mercados financeiros/de capitais, para ser elegível para o complemento da UE.</w:t>
      </w:r>
    </w:p>
    <w:p w14:paraId="5B05ED9B" w14:textId="77777777" w:rsidR="0090606C" w:rsidRPr="00DA5E8A" w:rsidRDefault="0090606C"/>
    <w:p w14:paraId="0D794893" w14:textId="36FA4DD3" w:rsidR="0090606C" w:rsidRPr="0036350D" w:rsidRDefault="00601604">
      <w:pPr>
        <w:pStyle w:val="Heading2"/>
      </w:pPr>
      <w:r>
        <w:t xml:space="preserve">É essencial ter em conta as disparidades regionais e promover a convergência através do apoio a projetos de importância local e regional e não apenas a grandes iniciativas centralizadas. Deve </w:t>
      </w:r>
      <w:r>
        <w:lastRenderedPageBreak/>
        <w:t>ser canalizado financiamento adicional especificamente para os países nas fronteiras da UE que enfrentam ameaças militares e não militares, a fim de reforçar a sua resiliência no domínio económico, societal e da segurança.</w:t>
      </w:r>
    </w:p>
    <w:p w14:paraId="00E1ED26" w14:textId="77777777" w:rsidR="0090606C" w:rsidRPr="00DA5E8A" w:rsidRDefault="0090606C"/>
    <w:p w14:paraId="23206951" w14:textId="7B4A85E2" w:rsidR="0090606C" w:rsidRPr="0036350D" w:rsidRDefault="00601604">
      <w:pPr>
        <w:pStyle w:val="Heading2"/>
      </w:pPr>
      <w:r>
        <w:t>No que respeita à participação de terceiros e de países terceiros, é fundamental obter um consenso sobre os critérios de seleção e um mecanismo comum de avaliação dos riscos para evitar erros e perdas e manter uma ênfase clara na promoção da competitividade europeia.</w:t>
      </w:r>
    </w:p>
    <w:p w14:paraId="74FF2B2E" w14:textId="071CBCDA" w:rsidR="00A27CE3" w:rsidRPr="00DA5E8A" w:rsidRDefault="00A27CE3"/>
    <w:p w14:paraId="132945C5" w14:textId="77777777" w:rsidR="00A27CE3" w:rsidRPr="0036350D" w:rsidRDefault="00A27CE3" w:rsidP="00A27CE3">
      <w:pPr>
        <w:pStyle w:val="Heading2"/>
        <w:rPr>
          <w:iCs/>
        </w:rPr>
      </w:pPr>
      <w:r>
        <w:t>O CESE reitera o seu apelo para que sejam tomadas medidas, ao abrigo do Pacto Azul, para reforçar a resiliência hídrica enquanto fator fundamental para a competitividade; considera que a água é uma prioridade estratégica</w:t>
      </w:r>
      <w:r w:rsidRPr="00FA5329">
        <w:rPr>
          <w:rStyle w:val="FootnoteReference"/>
          <w:iCs/>
          <w:lang w:val="en-GB"/>
        </w:rPr>
        <w:footnoteReference w:id="9"/>
      </w:r>
      <w:r>
        <w:t xml:space="preserve"> no que diz respeito ao financiamento, o que deve refletir-se no Fundo de Competitividade.</w:t>
      </w:r>
    </w:p>
    <w:p w14:paraId="2D74FD1A" w14:textId="77777777" w:rsidR="0090606C" w:rsidRPr="00DA5E8A" w:rsidRDefault="0090606C">
      <w:pPr>
        <w:ind w:left="567"/>
      </w:pPr>
    </w:p>
    <w:p w14:paraId="7C1E9C84" w14:textId="77777777" w:rsidR="0090606C" w:rsidRPr="0036350D" w:rsidRDefault="00601604">
      <w:pPr>
        <w:keepNext/>
        <w:keepLines/>
        <w:ind w:left="567"/>
        <w:rPr>
          <w:i/>
          <w:iCs/>
        </w:rPr>
      </w:pPr>
      <w:r>
        <w:rPr>
          <w:i/>
        </w:rPr>
        <w:t>Argumentos em apoio da recomendação 1.5 (fases de investimento)</w:t>
      </w:r>
    </w:p>
    <w:p w14:paraId="3D677E7F" w14:textId="77777777" w:rsidR="0090606C" w:rsidRPr="00DA5E8A" w:rsidRDefault="0090606C">
      <w:pPr>
        <w:keepNext/>
      </w:pPr>
    </w:p>
    <w:p w14:paraId="466CA26E" w14:textId="77777777" w:rsidR="0090606C" w:rsidRPr="0036350D" w:rsidRDefault="00601604">
      <w:pPr>
        <w:pStyle w:val="Heading2"/>
      </w:pPr>
      <w:r>
        <w:t>Uma vez que «[o] percurso de investimento não é linear, dado que todas as fases estão interligadas»</w:t>
      </w:r>
      <w:r w:rsidRPr="0036350D">
        <w:rPr>
          <w:sz w:val="24"/>
          <w:szCs w:val="24"/>
          <w:vertAlign w:val="superscript"/>
          <w:lang w:val="en-GB"/>
        </w:rPr>
        <w:footnoteReference w:id="10"/>
      </w:r>
      <w:r>
        <w:t>, é necessário adotar uma abordagem integrada que tenha em conta as necessidades de todas as fases de investimento, desde a investigação e inovação até à atividade empresarial em grande escala. Importa prestar especial atenção às fases de «mediação», tais como a criação de infraestruturas tecnológicas para facilitar o ensaio e a experimentação de novas tecnologias e, numa fase posterior, a mobilização de capital para permitir a expansão das empresas.</w:t>
      </w:r>
    </w:p>
    <w:p w14:paraId="50A03D10" w14:textId="77777777" w:rsidR="0090606C" w:rsidRPr="00DA5E8A" w:rsidRDefault="0090606C"/>
    <w:p w14:paraId="2E536641" w14:textId="4237FF58" w:rsidR="0090606C" w:rsidRPr="0036350D" w:rsidRDefault="00601604">
      <w:pPr>
        <w:pStyle w:val="Heading2"/>
      </w:pPr>
      <w:r>
        <w:t>O investimento no desenvolvimento de aptidões e competências deve alinhar-se por estes princípios, desde a promoção dos talentos de topo ao apoio específico à melhoria de competências e requalificação dos trabalhadores, passando pela promoção do ensino e formação profissionais e a aprendizagem ao longo da vida, tendo em conta não só as necessidades atuais do mercado de trabalho mas também as necessidades futuras. Este aspeto é crucial para responder à evolução das necessidades dos mercados de trabalho e para fazer face às grandes transformações. Importa reservar um montante específico do FEC para investimentos sociais, como a requalificação e a melhoria e adaptação das competências dos trabalhadores, com a condição de estes instrumentos serem geridos conjuntamente pelos parceiros sociais.</w:t>
      </w:r>
    </w:p>
    <w:p w14:paraId="5860C67E" w14:textId="77777777" w:rsidR="0090606C" w:rsidRPr="00DA5E8A" w:rsidRDefault="0090606C"/>
    <w:p w14:paraId="13ABB860" w14:textId="77777777" w:rsidR="0090606C" w:rsidRPr="0036350D" w:rsidRDefault="00601604">
      <w:pPr>
        <w:pStyle w:val="Heading2"/>
      </w:pPr>
      <w:r>
        <w:t>É acolhida com agrado a atenção especial dedicada às «colaborações [...] entre pequenas e grandes empresas, universidades, instituições de investigação [...] [e] fornecedores de infraestruturas»</w:t>
      </w:r>
      <w:r w:rsidRPr="0036350D">
        <w:rPr>
          <w:sz w:val="24"/>
          <w:szCs w:val="24"/>
          <w:vertAlign w:val="superscript"/>
          <w:lang w:val="en-GB"/>
        </w:rPr>
        <w:footnoteReference w:id="11"/>
      </w:r>
      <w:r>
        <w:t xml:space="preserve">. A fim de tirar pleno partido do potencial da UE, o FEC deve incentivar a criação de parcerias de inovação transfronteiriças e de ecossistemas empresariais e cadeias de valor europeus que incluam empresas diversificadas em diferentes locais. Para além do investimento em infraestruturas de inovação de alto nível, tal exige o investimento em infraestruturas físicas e a igualdade de acessibilidade ao mercado único, mesmo a partir de zonas remotas, nomeadamente através da prestação de apoio específico para custos adicionais </w:t>
      </w:r>
      <w:r>
        <w:lastRenderedPageBreak/>
        <w:t>de transporte e da atribuição de pontos de avaliação de bónus, a fim de ajudar a relocalizar as cadeias de valor na UE.</w:t>
      </w:r>
    </w:p>
    <w:p w14:paraId="3DCD043B" w14:textId="77777777" w:rsidR="0090606C" w:rsidRPr="00DA5E8A" w:rsidRDefault="0090606C"/>
    <w:p w14:paraId="7D281E9A" w14:textId="77777777" w:rsidR="0090606C" w:rsidRPr="0036350D" w:rsidRDefault="00601604">
      <w:pPr>
        <w:keepNext/>
        <w:ind w:firstLine="567"/>
        <w:rPr>
          <w:i/>
          <w:iCs/>
        </w:rPr>
      </w:pPr>
      <w:r>
        <w:rPr>
          <w:i/>
        </w:rPr>
        <w:t>Argumentos em apoio da recomendação 1.6 (instrumentos de financiamento)</w:t>
      </w:r>
    </w:p>
    <w:p w14:paraId="072AEB9E" w14:textId="77777777" w:rsidR="0090606C" w:rsidRPr="00DA5E8A" w:rsidRDefault="0090606C">
      <w:pPr>
        <w:keepNext/>
        <w:ind w:left="567" w:hanging="567"/>
        <w:rPr>
          <w:i/>
          <w:iCs/>
        </w:rPr>
      </w:pPr>
    </w:p>
    <w:p w14:paraId="149DAEA5" w14:textId="77777777" w:rsidR="0090606C" w:rsidRPr="0036350D" w:rsidRDefault="00601604">
      <w:pPr>
        <w:pStyle w:val="Heading2"/>
      </w:pPr>
      <w:r>
        <w:t>O FEC procura amplificar o seu impacto através da catalisação de capital privado e institucional. Este aspeto é crucial, tendo em conta as enormes necessidades de investimento em todos os domínios temáticos do FEC. Neste contexto, seria útil introduzir várias formas de mobilização de capital, nomeadamente a ligação entre o financiamento do FEC e o financiamento obtido nos mercados financeiros/de capitais pela proposta do candidato (validação pelo mercado). A mobilização dos fluxos de capitais privados e institucionais contribui igualmente para a integração dos mercados de capitais e para a criação de uma União da Poupança e dos Investimentos. O papel das organizações empresariais na facilitação do processo é importante.</w:t>
      </w:r>
    </w:p>
    <w:p w14:paraId="0041A3CC" w14:textId="77777777" w:rsidR="0090606C" w:rsidRPr="00DA5E8A" w:rsidRDefault="0090606C">
      <w:pPr>
        <w:pStyle w:val="Heading2"/>
        <w:numPr>
          <w:ilvl w:val="0"/>
          <w:numId w:val="0"/>
        </w:numPr>
        <w:ind w:left="567" w:hanging="567"/>
      </w:pPr>
    </w:p>
    <w:p w14:paraId="713570E5" w14:textId="77777777" w:rsidR="0090606C" w:rsidRPr="0036350D" w:rsidRDefault="00601604">
      <w:pPr>
        <w:pStyle w:val="Heading2"/>
      </w:pPr>
      <w:r>
        <w:t>O FEC abrange um vasto leque de instrumentos financeiros e visa facilitar o financiamento mais adequado para cada caso, através da congregação e de uma maior flexibilidade. Embora seja bem acolhida uma maior flexibilidade na utilização dos instrumentos de financiamento, os beneficiários devem ter uma maior influência na escolha do método final de financiamento, de modo a garantir que este se coaduna com as suas necessidades reais. Para tal, são necessários processos decisórios mais ágeis, interativos e abertos. A cooperação harmoniosa, a sinergia e a demarcação entre o FEC e os fundos autónomos conexos são igualmente indispensáveis.</w:t>
      </w:r>
    </w:p>
    <w:p w14:paraId="2A38EC58" w14:textId="77777777" w:rsidR="0090606C" w:rsidRPr="00DA5E8A" w:rsidRDefault="0090606C"/>
    <w:p w14:paraId="64CFA417" w14:textId="77777777" w:rsidR="0090606C" w:rsidRPr="0036350D" w:rsidRDefault="00601604">
      <w:pPr>
        <w:keepNext/>
        <w:ind w:left="567"/>
      </w:pPr>
      <w:r>
        <w:rPr>
          <w:i/>
        </w:rPr>
        <w:t>Argumentos em apoio da recomendação 1.7 (PME)</w:t>
      </w:r>
    </w:p>
    <w:p w14:paraId="0CD6E212" w14:textId="77777777" w:rsidR="0090606C" w:rsidRPr="00DA5E8A" w:rsidRDefault="0090606C">
      <w:pPr>
        <w:keepNext/>
      </w:pPr>
    </w:p>
    <w:p w14:paraId="2AAB8C9B" w14:textId="77777777" w:rsidR="0090606C" w:rsidRPr="0036350D" w:rsidRDefault="00601604">
      <w:pPr>
        <w:pStyle w:val="Heading2"/>
      </w:pPr>
      <w:r>
        <w:t>Embora o FEC proposto não inclua uma rubrica de financiamento específica para as PME, todas as vertentes e o Instrumento InvestEU do FEC se referem às PME, às empresas em fase de arranque e às empresas em fase de expansão, incluindo o FEC igualmente serviços para as PME. No entanto, é a execução que determina em que medida serão satisfeitas as necessidades destas empresas. Por conseguinte, é importante ancorar os regimes de promoção das PME a nível dos Estados-Membros.</w:t>
      </w:r>
    </w:p>
    <w:p w14:paraId="123DD567" w14:textId="77777777" w:rsidR="0090606C" w:rsidRPr="00DA5E8A" w:rsidRDefault="0090606C">
      <w:pPr>
        <w:ind w:left="567" w:hanging="567"/>
      </w:pPr>
    </w:p>
    <w:p w14:paraId="693081A5" w14:textId="77777777" w:rsidR="0090606C" w:rsidRPr="0036350D" w:rsidRDefault="00601604">
      <w:pPr>
        <w:pStyle w:val="Heading2"/>
      </w:pPr>
      <w:r>
        <w:t>A atenção especial dedicada às PME</w:t>
      </w:r>
      <w:r w:rsidRPr="0036350D">
        <w:rPr>
          <w:rStyle w:val="FootnoteReference"/>
          <w:szCs w:val="24"/>
          <w:lang w:val="en-GB"/>
        </w:rPr>
        <w:footnoteReference w:id="12"/>
      </w:r>
      <w:r>
        <w:t xml:space="preserve"> e a uma maior inclusão das pequenas empresas de média capitalização é positiva enquanto abordagem geral, mas é necessária uma segmentação melhor e mais precisa para responder às necessidades específicas de cada segmento de PME</w:t>
      </w:r>
      <w:r w:rsidRPr="0036350D">
        <w:rPr>
          <w:rStyle w:val="FootnoteReference"/>
          <w:szCs w:val="24"/>
          <w:lang w:val="en-GB"/>
        </w:rPr>
        <w:footnoteReference w:id="13"/>
      </w:r>
      <w:r>
        <w:t>.</w:t>
      </w:r>
    </w:p>
    <w:p w14:paraId="04EA7DBF" w14:textId="77777777" w:rsidR="0090606C" w:rsidRPr="00DA5E8A" w:rsidRDefault="0090606C">
      <w:pPr>
        <w:ind w:left="567" w:hanging="567"/>
      </w:pPr>
    </w:p>
    <w:p w14:paraId="32E6C3F5" w14:textId="77777777" w:rsidR="0090606C" w:rsidRPr="0036350D" w:rsidRDefault="00601604">
      <w:pPr>
        <w:pStyle w:val="Heading2"/>
      </w:pPr>
      <w:r>
        <w:t>O dinamismo e o rápido crescimento das empresas em fase de arranque e das empresas em fase de expansão são acompanhados de vários desafios no acesso aos recursos, nomeadamente em termos de capital próprio e de capital de risco. As medidas específicas destinadas a incentivar estas empresas a permanecerem na UE e a expandirem-se no seu território são importantes para o desenvolvimento global da produtividade e do crescimento.</w:t>
      </w:r>
    </w:p>
    <w:p w14:paraId="59F850FD" w14:textId="77777777" w:rsidR="0090606C" w:rsidRPr="00DA5E8A" w:rsidRDefault="0090606C"/>
    <w:p w14:paraId="2647E296" w14:textId="47A4E0E1" w:rsidR="0090606C" w:rsidRPr="0036350D" w:rsidRDefault="00601604">
      <w:pPr>
        <w:pStyle w:val="Heading2"/>
      </w:pPr>
      <w:r>
        <w:lastRenderedPageBreak/>
        <w:t>A fim de proteger melhor os interesses das PME no acesso ao financiamento, os Estados</w:t>
      </w:r>
      <w:r w:rsidR="00DA5E8A">
        <w:noBreakHyphen/>
      </w:r>
      <w:r>
        <w:t>Membros devem criar uma rede de «provedores financeiros e de financiamento», acompanhada de uma coordenação a nível da UE. O aconselhamento sobre projetos (artigo 26.º) deve ser concebido em estreita cooperação com a rede de representantes nacionais das PME e as organizações representativas das PME, tanto a nível da UE como a nível nacional. Neste contexto, não é claro qual o tipo de valor acrescentado que a criação de uma nova «Rede da UE a favor das Empresas» ofereceria aos intervenientes acima referidos.</w:t>
      </w:r>
    </w:p>
    <w:p w14:paraId="2ECC64D1" w14:textId="77777777" w:rsidR="0090606C" w:rsidRPr="00DA5E8A" w:rsidRDefault="0090606C">
      <w:pPr>
        <w:ind w:left="567" w:hanging="567"/>
      </w:pPr>
    </w:p>
    <w:p w14:paraId="724474F9" w14:textId="77777777" w:rsidR="0090606C" w:rsidRPr="0036350D" w:rsidRDefault="00601604">
      <w:pPr>
        <w:keepNext/>
        <w:ind w:left="567"/>
        <w:rPr>
          <w:i/>
          <w:iCs/>
        </w:rPr>
      </w:pPr>
      <w:r>
        <w:rPr>
          <w:i/>
        </w:rPr>
        <w:t>Argumentos em apoio da recomendação 1.8 (simplificação)</w:t>
      </w:r>
    </w:p>
    <w:p w14:paraId="4748667F" w14:textId="77777777" w:rsidR="0090606C" w:rsidRPr="00DA5E8A" w:rsidRDefault="0090606C">
      <w:pPr>
        <w:keepNext/>
      </w:pPr>
    </w:p>
    <w:p w14:paraId="3F9101A9" w14:textId="77777777" w:rsidR="0090606C" w:rsidRPr="0036350D" w:rsidRDefault="00601604">
      <w:pPr>
        <w:pStyle w:val="Heading2"/>
      </w:pPr>
      <w:r>
        <w:t>Embora a fusão de vários programas contribua para a simplificação dos processos de financiamento, importa igualmente integrar a simplificação como princípio fundamental na conceção de quaisquer elementos do FEC. Por exemplo, a simplificação deve assegurar que o conteúdo dos programas de trabalho é inequívoco e que os procedimentos e os documentos são simplificados em todas as fases do financiamento, desde a candidatura até à concessão. Cabe também estabelecer uma ligação clara entre os formulários de candidatura e a grelha de avaliação, incluindo a possibilidade de calcular as pontuações. São necessários sistemas e infraestruturas digitais sólidos para apoiar os esforços de simplificação e atenuar as diferenças linguísticas.</w:t>
      </w:r>
    </w:p>
    <w:p w14:paraId="38F97CF9" w14:textId="77777777" w:rsidR="0090606C" w:rsidRPr="00DA5E8A" w:rsidRDefault="0090606C"/>
    <w:p w14:paraId="563C285C" w14:textId="77777777" w:rsidR="0090606C" w:rsidRPr="0036350D" w:rsidRDefault="00601604">
      <w:pPr>
        <w:pStyle w:val="Heading2"/>
      </w:pPr>
      <w:r>
        <w:t>A introdução de um conjunto único de regras reduz significativamente os encargos para os candidatos, mas também cria um risco de multiplicação de erros, se não for concebido de forma adequada às diferentes necessidades e situações dos potenciais beneficiários. Por conseguinte, o conjunto de regras deve ser elaborado em estreita cooperação e consulta com as partes interessadas pertinentes e com as PME representativas e outras organizações empresariais a nível nacional e da UE.</w:t>
      </w:r>
    </w:p>
    <w:p w14:paraId="5CE52B56" w14:textId="77777777" w:rsidR="0090606C" w:rsidRPr="00DA5E8A" w:rsidRDefault="0090606C">
      <w:pPr>
        <w:pStyle w:val="Heading2"/>
        <w:numPr>
          <w:ilvl w:val="0"/>
          <w:numId w:val="0"/>
        </w:numPr>
        <w:ind w:left="567" w:hanging="567"/>
      </w:pPr>
    </w:p>
    <w:p w14:paraId="5EBC5AE1" w14:textId="77777777" w:rsidR="0090606C" w:rsidRPr="0036350D" w:rsidRDefault="00601604">
      <w:pPr>
        <w:pStyle w:val="Heading2"/>
      </w:pPr>
      <w:r>
        <w:t>Em vez de apenas «simplificar e acelerar a concessão do apoio da União a determinados projetos importantes»</w:t>
      </w:r>
      <w:r w:rsidRPr="0036350D">
        <w:rPr>
          <w:rStyle w:val="FootnoteReference"/>
          <w:szCs w:val="24"/>
          <w:lang w:val="en-GB"/>
        </w:rPr>
        <w:footnoteReference w:id="14"/>
      </w:r>
      <w:r>
        <w:t>, a simplificação deve ser aplicada a todos os projetos elegíveis, evitando assim um tratamento desigual dos beneficiários.</w:t>
      </w:r>
    </w:p>
    <w:p w14:paraId="7AF7655E" w14:textId="77777777" w:rsidR="0090606C" w:rsidRPr="00DA5E8A" w:rsidRDefault="0090606C">
      <w:pPr>
        <w:ind w:left="567" w:hanging="567"/>
      </w:pPr>
    </w:p>
    <w:p w14:paraId="7FF8BC1C" w14:textId="77777777" w:rsidR="0090606C" w:rsidRPr="0036350D" w:rsidRDefault="00601604">
      <w:pPr>
        <w:keepNext/>
        <w:ind w:left="567"/>
        <w:rPr>
          <w:i/>
          <w:iCs/>
        </w:rPr>
      </w:pPr>
      <w:r>
        <w:rPr>
          <w:i/>
        </w:rPr>
        <w:t>Argumentos em apoio da recomendação 1.9 (facilitar a execução)</w:t>
      </w:r>
    </w:p>
    <w:p w14:paraId="04556CD8" w14:textId="77777777" w:rsidR="0090606C" w:rsidRPr="00DA5E8A" w:rsidRDefault="0090606C">
      <w:pPr>
        <w:keepNext/>
        <w:ind w:left="567"/>
      </w:pPr>
    </w:p>
    <w:p w14:paraId="5C3D58E2" w14:textId="77777777" w:rsidR="0090606C" w:rsidRPr="0036350D" w:rsidRDefault="00601604">
      <w:pPr>
        <w:pStyle w:val="Heading2"/>
      </w:pPr>
      <w:r>
        <w:t>A fim de assegurar que a execução do FEC é harmoniosa, eficaz e inclusiva, deve ser apoiada por ações de sensibilização e comunicação sobre as oportunidades que oferece e os critérios a utilizar, bem como pelo reforço das capacidades dos Estados-Membros e das partes interessadas, a fim de lhes permitir orientarem-se nos procedimentos de financiamento.</w:t>
      </w:r>
    </w:p>
    <w:p w14:paraId="3887BBB5" w14:textId="77777777" w:rsidR="0090606C" w:rsidRPr="00DA5E8A" w:rsidRDefault="0090606C"/>
    <w:p w14:paraId="4A38CDEB" w14:textId="7EF5C9F4" w:rsidR="0090606C" w:rsidRPr="0036350D" w:rsidRDefault="00601604">
      <w:pPr>
        <w:pStyle w:val="Heading2"/>
      </w:pPr>
      <w:r>
        <w:t>Embora seja importante acompanhar e avaliar a eficácia e o impacto do FEC, é igualmente necessário manter os indicadores e os processos simplificados e alinhá-los com os quadros de acompanhamento e comunicação de informações em vigor com vista a um desempenho elevado no domínio social. A Diretiva Relato de Sustentabilidade das Empresas e as normas europeias de relato de sustentabilidade conexas proporcionam um quadro adequado para a transparência do desempenho global das empresas em matéria de sustentabilidade.</w:t>
      </w:r>
    </w:p>
    <w:p w14:paraId="00408EEF" w14:textId="77777777" w:rsidR="0090606C" w:rsidRPr="00DA5E8A" w:rsidRDefault="0090606C"/>
    <w:p w14:paraId="47B82324" w14:textId="77777777" w:rsidR="0090606C" w:rsidRPr="0036350D" w:rsidRDefault="00601604">
      <w:pPr>
        <w:pStyle w:val="Heading2"/>
      </w:pPr>
      <w:r>
        <w:t>A existência de definições adequadas é igualmente crucial para o desenvolvimento, a execução e a avaliação do FEC. No entanto, a proposta carece de definições para muitos conceitos fundamentais e as definições incluídas na proposta (artigo 2.º) não são muito claras e deixam margem para interpretações subjetivas. Tal aplica-se, por exemplo, ao «interesse público imperativo» e ao «percurso de investimento».</w:t>
      </w:r>
    </w:p>
    <w:p w14:paraId="7E28FE62" w14:textId="77777777" w:rsidR="0090606C" w:rsidRPr="00DA5E8A" w:rsidRDefault="0090606C">
      <w:pPr>
        <w:ind w:left="567" w:hanging="567"/>
      </w:pPr>
    </w:p>
    <w:p w14:paraId="05B3E9D2" w14:textId="7C287C1E" w:rsidR="0090606C" w:rsidRPr="0036350D" w:rsidRDefault="00601604">
      <w:pPr>
        <w:pStyle w:val="Heading2"/>
      </w:pPr>
      <w:r>
        <w:t>Para além de clarificar o significado de conceitos fundamentais, é necessário explicar melhor como são utilizados no decurso dos processos de financiamento. Embora o FEC apoie «determinadas ações de importância estratégica e económica»</w:t>
      </w:r>
      <w:r w:rsidRPr="0036350D">
        <w:rPr>
          <w:rStyle w:val="FootnoteReference"/>
          <w:szCs w:val="24"/>
          <w:lang w:val="en-GB"/>
        </w:rPr>
        <w:footnoteReference w:id="15"/>
      </w:r>
      <w:r>
        <w:t>, é necessária uma maior clareza sobre a forma como essas ações são consideradas elegíveis, tendo em conta a longa lista de atos que orientam essas decisões. As mesmas preocupações são válidas para os casos em que «só devem ser efetuadas determinadas verificações após a concessão do financiamento»</w:t>
      </w:r>
      <w:r w:rsidRPr="0036350D">
        <w:rPr>
          <w:rStyle w:val="FootnoteReference"/>
          <w:szCs w:val="24"/>
          <w:lang w:val="en-GB"/>
        </w:rPr>
        <w:footnoteReference w:id="16"/>
      </w:r>
      <w:r>
        <w:t xml:space="preserve"> e para o «mecanismo de "intervenção incentivadora"»</w:t>
      </w:r>
      <w:r w:rsidRPr="0036350D">
        <w:rPr>
          <w:rStyle w:val="FootnoteReference"/>
          <w:szCs w:val="24"/>
          <w:lang w:val="en-GB"/>
        </w:rPr>
        <w:footnoteReference w:id="17"/>
      </w:r>
      <w:r>
        <w:t>.</w:t>
      </w:r>
    </w:p>
    <w:p w14:paraId="382E8735" w14:textId="6C05BCEA" w:rsidR="00A27CE3" w:rsidRPr="00DA5E8A" w:rsidRDefault="00A27CE3" w:rsidP="00A27CE3"/>
    <w:p w14:paraId="6CF6629A" w14:textId="2FD746B6" w:rsidR="00A27CE3" w:rsidRPr="0036350D" w:rsidRDefault="00753D7F" w:rsidP="00A27CE3">
      <w:pPr>
        <w:pStyle w:val="Heading2"/>
        <w:rPr>
          <w:iCs/>
        </w:rPr>
      </w:pPr>
      <w:r>
        <w:t>O CESE considera que o acesso ao financiamento ao abrigo do FEC deve estar vinculado ao cumprimento de critérios sociais e convenções coletivas, a definir em conjunto com os parceiros sociais nacionais e no pleno respeito das especificidades dos Estados-Membros.</w:t>
      </w:r>
    </w:p>
    <w:p w14:paraId="621DC646" w14:textId="77777777" w:rsidR="0090606C" w:rsidRPr="00DA5E8A" w:rsidRDefault="0090606C"/>
    <w:p w14:paraId="2B4C52FB" w14:textId="77777777" w:rsidR="0090606C" w:rsidRPr="0036350D" w:rsidRDefault="00601604">
      <w:pPr>
        <w:keepNext/>
        <w:ind w:left="567"/>
        <w:rPr>
          <w:i/>
          <w:iCs/>
        </w:rPr>
      </w:pPr>
      <w:r>
        <w:rPr>
          <w:i/>
        </w:rPr>
        <w:t>Argumentos em apoio da recomendação 1.10 (governação)</w:t>
      </w:r>
    </w:p>
    <w:p w14:paraId="2A184213" w14:textId="77777777" w:rsidR="0090606C" w:rsidRPr="00DA5E8A" w:rsidRDefault="0090606C">
      <w:pPr>
        <w:keepNext/>
      </w:pPr>
    </w:p>
    <w:p w14:paraId="7FAB930A" w14:textId="77777777" w:rsidR="0090606C" w:rsidRPr="0036350D" w:rsidRDefault="00601604">
      <w:pPr>
        <w:pStyle w:val="Heading2"/>
      </w:pPr>
      <w:r>
        <w:t>As partes interessadas pertinentes, como os parceiros sociais, as PME, as organizações empresariais e de inovação e as ONG, devem ser devidamente envolvidas no desenvolvimento e na execução do FEC a todos os níveis. Este aspeto é crucial não só para poder responder às necessidades da vida real, mas também porque o contacto e a consulta estreitos e constantes com elas podem ajudar a prever mudanças futuras e a elaborar as melhores respostas. O acompanhamento deve assegurar a total transparência da gestão dos recursos públicos.</w:t>
      </w:r>
    </w:p>
    <w:p w14:paraId="7434D30D" w14:textId="77777777" w:rsidR="0090606C" w:rsidRPr="00DA5E8A" w:rsidRDefault="0090606C">
      <w:pPr>
        <w:ind w:left="567" w:hanging="567"/>
      </w:pPr>
    </w:p>
    <w:p w14:paraId="299193A2" w14:textId="77777777" w:rsidR="0090606C" w:rsidRPr="0036350D" w:rsidRDefault="00601604">
      <w:pPr>
        <w:pStyle w:val="Heading2"/>
      </w:pPr>
      <w:r>
        <w:t>Uma vez que o CESE representa a diversidade da sociedade civil organizada de toda a UE e está disposto a ser um parceiro proativo e de apoio ao desenvolvimento do FEC, deve ser membro de pleno direito do Conselho Estratégico de Partes Interessadas e os parceiros sociais e as organizações da sociedade civil devem estar devidamente representados, em conformidade com o princípio da parceria e as boas práticas.</w:t>
      </w:r>
    </w:p>
    <w:p w14:paraId="50D975B5" w14:textId="77777777" w:rsidR="0090606C" w:rsidRPr="00DA5E8A" w:rsidRDefault="0090606C">
      <w:pPr>
        <w:ind w:left="567" w:hanging="567"/>
      </w:pPr>
    </w:p>
    <w:p w14:paraId="41858203" w14:textId="77777777" w:rsidR="0090606C" w:rsidRPr="0036350D" w:rsidRDefault="00601604">
      <w:pPr>
        <w:pStyle w:val="Heading2"/>
      </w:pPr>
      <w:r>
        <w:t>A fim de aumentar a clareza da tomada de decisões, é necessário definir explicitamente os papéis e os mecanismos de cooperação entre a Comissão e os Estados-Membros, tanto no que diz respeito ao desenvolvimento como à execução do FEC. Este aspeto é importante para todas as partes, incluindo os potenciais beneficiários. Embora a utilização de atos delegados ou de atos de execução seja uma forma útil de acelerar a tomada de decisões, deve limitar-se estritamente à definição de pormenores práticos ou de outras questões não políticas.</w:t>
      </w:r>
    </w:p>
    <w:p w14:paraId="39D97E17" w14:textId="77777777" w:rsidR="0090606C" w:rsidRPr="00DA5E8A" w:rsidRDefault="0090606C">
      <w:pPr>
        <w:ind w:left="567" w:hanging="567"/>
      </w:pPr>
    </w:p>
    <w:p w14:paraId="67C6F964" w14:textId="77777777" w:rsidR="0090606C" w:rsidRPr="0036350D" w:rsidRDefault="00601604">
      <w:pPr>
        <w:pStyle w:val="Heading2"/>
      </w:pPr>
      <w:r>
        <w:lastRenderedPageBreak/>
        <w:t>A função e a utilização da Ferramenta de Coordenação da Competitividade no contexto do FEC exigem maior clareza. Os parceiros sociais devem também participar no processo de coordenação, nomeadamente sempre que sejam tomadas decisões em matéria de parcerias público-privadas. Além disso, é necessário definir funções e mecanismos de seleção claros para os vários comités e conselhos consultivos.</w:t>
      </w:r>
    </w:p>
    <w:p w14:paraId="575A64A4" w14:textId="77777777" w:rsidR="0090606C" w:rsidRPr="00DA5E8A" w:rsidRDefault="0090606C">
      <w:pPr>
        <w:ind w:left="567" w:hanging="567"/>
      </w:pPr>
    </w:p>
    <w:p w14:paraId="41D3D653" w14:textId="77777777" w:rsidR="0090606C" w:rsidRPr="0036350D" w:rsidRDefault="00601604">
      <w:pPr>
        <w:pStyle w:val="Heading2"/>
      </w:pPr>
      <w:r>
        <w:t>Para tirar o melhor partido da nova abordagem da arquitetura ágil e orientada para o futuro do FEC, é necessária uma nova mentalidade no seio da administração. Será um fator crítico para o êxito da execução do FEC, juntamente com a participação adequada das partes interessadas.</w:t>
      </w:r>
    </w:p>
    <w:p w14:paraId="76D1F375" w14:textId="77777777" w:rsidR="0090606C" w:rsidRPr="00DA5E8A" w:rsidRDefault="0090606C"/>
    <w:p w14:paraId="6F75D061" w14:textId="77777777" w:rsidR="0090606C" w:rsidRPr="0036350D" w:rsidRDefault="00601604">
      <w:pPr>
        <w:pStyle w:val="Heading1"/>
        <w:keepNext/>
        <w:rPr>
          <w:b/>
          <w:bCs/>
        </w:rPr>
      </w:pPr>
      <w:r>
        <w:rPr>
          <w:b/>
        </w:rPr>
        <w:t>PROPOSTAS DE ALTERAÇÃO À PROPOSTA LEGISLATIVA DA COMISSÃO EUROPEIA</w:t>
      </w:r>
    </w:p>
    <w:p w14:paraId="15C80344" w14:textId="77777777" w:rsidR="0090606C" w:rsidRPr="00DA5E8A" w:rsidRDefault="0090606C">
      <w:pPr>
        <w:keepNext/>
        <w:keepLines/>
      </w:pPr>
    </w:p>
    <w:p w14:paraId="3531FC14" w14:textId="77777777" w:rsidR="0090606C" w:rsidRPr="0036350D" w:rsidRDefault="00601604">
      <w:pPr>
        <w:pStyle w:val="Heading2"/>
        <w:keepNext/>
        <w:numPr>
          <w:ilvl w:val="0"/>
          <w:numId w:val="0"/>
        </w:numPr>
      </w:pPr>
      <w:r>
        <w:rPr>
          <w:b/>
        </w:rPr>
        <w:t>Alteração 1</w:t>
      </w:r>
    </w:p>
    <w:p w14:paraId="59A063D4" w14:textId="77777777" w:rsidR="0090606C" w:rsidRPr="0036350D" w:rsidRDefault="00601604">
      <w:pPr>
        <w:pStyle w:val="Heading2"/>
        <w:keepNext/>
        <w:numPr>
          <w:ilvl w:val="0"/>
          <w:numId w:val="0"/>
        </w:numPr>
        <w:rPr>
          <w:b/>
          <w:bCs/>
        </w:rPr>
      </w:pPr>
      <w:r>
        <w:t>relacionada com a recomendação 1.1</w:t>
      </w:r>
    </w:p>
    <w:p w14:paraId="7922B0AD" w14:textId="77777777" w:rsidR="0090606C" w:rsidRPr="0036350D" w:rsidRDefault="00601604">
      <w:pPr>
        <w:keepNext/>
        <w:keepLines/>
        <w:jc w:val="left"/>
      </w:pPr>
      <w:r>
        <w:t>Em todos os lugares pertinentes da proposta, a começar no título:</w:t>
      </w:r>
    </w:p>
    <w:p w14:paraId="42E0D5EF" w14:textId="77777777" w:rsidR="0090606C" w:rsidRPr="00DA5E8A" w:rsidRDefault="0090606C" w:rsidP="00FA5329">
      <w:pPr>
        <w:keepNext/>
        <w:keepLines/>
        <w:spacing w:line="240" w:lineRule="auto"/>
        <w:jc w:val="left"/>
      </w:pPr>
    </w:p>
    <w:tbl>
      <w:tblPr>
        <w:tblW w:w="5000" w:type="pct"/>
        <w:jc w:val="center"/>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4239"/>
        <w:gridCol w:w="4948"/>
      </w:tblGrid>
      <w:tr w:rsidR="0090606C" w:rsidRPr="0036350D" w14:paraId="65A8F197" w14:textId="77777777" w:rsidTr="00FA5329">
        <w:trPr>
          <w:trHeight w:val="300"/>
          <w:jc w:val="center"/>
        </w:trPr>
        <w:tc>
          <w:tcPr>
            <w:tcW w:w="4250" w:type="dxa"/>
            <w:tcBorders>
              <w:top w:val="single" w:sz="2" w:space="0" w:color="auto"/>
              <w:left w:val="single" w:sz="2" w:space="0" w:color="auto"/>
              <w:bottom w:val="single" w:sz="2" w:space="0" w:color="auto"/>
              <w:right w:val="single" w:sz="2" w:space="0" w:color="auto"/>
            </w:tcBorders>
            <w:hideMark/>
          </w:tcPr>
          <w:p w14:paraId="467BF9AE" w14:textId="77777777" w:rsidR="0090606C" w:rsidRPr="0036350D" w:rsidRDefault="00601604">
            <w:pPr>
              <w:jc w:val="center"/>
              <w:rPr>
                <w:strike/>
              </w:rPr>
            </w:pPr>
            <w:r>
              <w:rPr>
                <w:b/>
              </w:rPr>
              <w:t>Texto da proposta da Comissão Europeia</w:t>
            </w:r>
          </w:p>
        </w:tc>
        <w:tc>
          <w:tcPr>
            <w:tcW w:w="4961" w:type="dxa"/>
            <w:tcBorders>
              <w:top w:val="single" w:sz="2" w:space="0" w:color="auto"/>
              <w:left w:val="single" w:sz="2" w:space="0" w:color="auto"/>
              <w:bottom w:val="single" w:sz="2" w:space="0" w:color="auto"/>
              <w:right w:val="single" w:sz="2" w:space="0" w:color="auto"/>
            </w:tcBorders>
            <w:hideMark/>
          </w:tcPr>
          <w:p w14:paraId="1D266978" w14:textId="77777777" w:rsidR="0090606C" w:rsidRPr="0036350D" w:rsidRDefault="00601604">
            <w:pPr>
              <w:jc w:val="center"/>
            </w:pPr>
            <w:r>
              <w:rPr>
                <w:b/>
              </w:rPr>
              <w:t>Alteração proposta pelo CESE</w:t>
            </w:r>
          </w:p>
        </w:tc>
      </w:tr>
      <w:tr w:rsidR="0090606C" w:rsidRPr="0036350D" w14:paraId="6E70DFD7" w14:textId="77777777" w:rsidTr="00FA5329">
        <w:trPr>
          <w:trHeight w:val="300"/>
          <w:jc w:val="center"/>
        </w:trPr>
        <w:tc>
          <w:tcPr>
            <w:tcW w:w="4250" w:type="dxa"/>
            <w:tcBorders>
              <w:top w:val="single" w:sz="2" w:space="0" w:color="auto"/>
              <w:left w:val="single" w:sz="6" w:space="0" w:color="auto"/>
              <w:bottom w:val="single" w:sz="6" w:space="0" w:color="auto"/>
              <w:right w:val="single" w:sz="6" w:space="0" w:color="auto"/>
            </w:tcBorders>
            <w:hideMark/>
          </w:tcPr>
          <w:p w14:paraId="1D491542" w14:textId="77777777" w:rsidR="0090606C" w:rsidRPr="0036350D" w:rsidRDefault="00601604">
            <w:pPr>
              <w:ind w:left="30" w:right="30"/>
            </w:pPr>
            <w:r>
              <w:t xml:space="preserve">Fundo Europeu </w:t>
            </w:r>
            <w:r>
              <w:rPr>
                <w:b/>
                <w:i/>
              </w:rPr>
              <w:t>de</w:t>
            </w:r>
            <w:r>
              <w:t xml:space="preserve"> Competitividade (</w:t>
            </w:r>
            <w:r>
              <w:rPr>
                <w:b/>
                <w:i/>
              </w:rPr>
              <w:t>FEC</w:t>
            </w:r>
            <w:r>
              <w:t>)</w:t>
            </w:r>
          </w:p>
        </w:tc>
        <w:tc>
          <w:tcPr>
            <w:tcW w:w="4961" w:type="dxa"/>
            <w:tcBorders>
              <w:top w:val="single" w:sz="2" w:space="0" w:color="auto"/>
              <w:left w:val="single" w:sz="6" w:space="0" w:color="auto"/>
              <w:bottom w:val="single" w:sz="6" w:space="0" w:color="auto"/>
              <w:right w:val="single" w:sz="6" w:space="0" w:color="auto"/>
            </w:tcBorders>
            <w:hideMark/>
          </w:tcPr>
          <w:p w14:paraId="17C151EE" w14:textId="77777777" w:rsidR="0090606C" w:rsidRPr="0036350D" w:rsidRDefault="00601604">
            <w:pPr>
              <w:ind w:left="30" w:right="30"/>
            </w:pPr>
            <w:r>
              <w:t xml:space="preserve">Fundo Europeu </w:t>
            </w:r>
            <w:r>
              <w:rPr>
                <w:b/>
                <w:i/>
              </w:rPr>
              <w:t>para a</w:t>
            </w:r>
            <w:r>
              <w:t xml:space="preserve"> Competitividade </w:t>
            </w:r>
            <w:r>
              <w:rPr>
                <w:b/>
                <w:i/>
              </w:rPr>
              <w:t>e a Segurança</w:t>
            </w:r>
            <w:r>
              <w:t xml:space="preserve"> (</w:t>
            </w:r>
            <w:r>
              <w:rPr>
                <w:b/>
                <w:i/>
              </w:rPr>
              <w:t>FECS</w:t>
            </w:r>
            <w:r>
              <w:t>)</w:t>
            </w:r>
          </w:p>
        </w:tc>
      </w:tr>
    </w:tbl>
    <w:p w14:paraId="7B4826C6" w14:textId="77777777" w:rsidR="0090606C" w:rsidRPr="00DA5E8A" w:rsidRDefault="0090606C">
      <w:pPr>
        <w:jc w:val="center"/>
      </w:pPr>
    </w:p>
    <w:tbl>
      <w:tblPr>
        <w:tblW w:w="0" w:type="auto"/>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9057"/>
      </w:tblGrid>
      <w:tr w:rsidR="0090606C" w:rsidRPr="0036350D" w14:paraId="38EAFACE" w14:textId="77777777" w:rsidTr="00FA5329">
        <w:trPr>
          <w:trHeight w:val="300"/>
        </w:trPr>
        <w:tc>
          <w:tcPr>
            <w:tcW w:w="9057" w:type="dxa"/>
            <w:tcBorders>
              <w:top w:val="single" w:sz="2" w:space="0" w:color="auto"/>
              <w:left w:val="single" w:sz="2" w:space="0" w:color="auto"/>
              <w:bottom w:val="single" w:sz="2" w:space="0" w:color="auto"/>
              <w:right w:val="single" w:sz="2" w:space="0" w:color="auto"/>
            </w:tcBorders>
            <w:hideMark/>
          </w:tcPr>
          <w:p w14:paraId="1A047AE2" w14:textId="77777777" w:rsidR="0090606C" w:rsidRPr="0036350D" w:rsidRDefault="00601604">
            <w:pPr>
              <w:keepNext/>
              <w:keepLines/>
              <w:jc w:val="center"/>
            </w:pPr>
            <w:r>
              <w:rPr>
                <w:b/>
              </w:rPr>
              <w:t>Justificação</w:t>
            </w:r>
          </w:p>
        </w:tc>
      </w:tr>
      <w:tr w:rsidR="0090606C" w:rsidRPr="0036350D" w14:paraId="28F5BA2F" w14:textId="77777777" w:rsidTr="00FA5329">
        <w:trPr>
          <w:trHeight w:val="300"/>
        </w:trPr>
        <w:tc>
          <w:tcPr>
            <w:tcW w:w="9057" w:type="dxa"/>
            <w:tcBorders>
              <w:top w:val="single" w:sz="2" w:space="0" w:color="auto"/>
              <w:left w:val="single" w:sz="6" w:space="0" w:color="auto"/>
              <w:bottom w:val="single" w:sz="6" w:space="0" w:color="auto"/>
              <w:right w:val="single" w:sz="6" w:space="0" w:color="auto"/>
            </w:tcBorders>
            <w:hideMark/>
          </w:tcPr>
          <w:p w14:paraId="29A48E59" w14:textId="77777777" w:rsidR="0090606C" w:rsidRPr="0036350D" w:rsidRDefault="00601604">
            <w:pPr>
              <w:keepNext/>
              <w:keepLines/>
              <w:ind w:left="30" w:right="30"/>
            </w:pPr>
            <w:r>
              <w:t>Ver pontos 1.1 e 2.5.</w:t>
            </w:r>
          </w:p>
        </w:tc>
      </w:tr>
    </w:tbl>
    <w:p w14:paraId="75F46C58" w14:textId="77777777" w:rsidR="0090606C" w:rsidRPr="00FA5329" w:rsidRDefault="0090606C" w:rsidP="00FA5329">
      <w:pPr>
        <w:pStyle w:val="Heading2"/>
        <w:numPr>
          <w:ilvl w:val="0"/>
          <w:numId w:val="0"/>
        </w:numPr>
        <w:rPr>
          <w:lang w:val="en-GB"/>
        </w:rPr>
      </w:pPr>
    </w:p>
    <w:p w14:paraId="3CED72EA" w14:textId="77777777" w:rsidR="0090606C" w:rsidRPr="0036350D" w:rsidRDefault="00601604">
      <w:pPr>
        <w:pStyle w:val="Heading2"/>
        <w:keepNext/>
        <w:numPr>
          <w:ilvl w:val="0"/>
          <w:numId w:val="0"/>
        </w:numPr>
      </w:pPr>
      <w:r>
        <w:rPr>
          <w:b/>
        </w:rPr>
        <w:t>Alteração 2</w:t>
      </w:r>
      <w:r>
        <w:t xml:space="preserve"> </w:t>
      </w:r>
    </w:p>
    <w:p w14:paraId="7F9DD544" w14:textId="77777777" w:rsidR="0090606C" w:rsidRPr="0036350D" w:rsidRDefault="00601604">
      <w:pPr>
        <w:keepNext/>
        <w:keepLines/>
        <w:jc w:val="left"/>
      </w:pPr>
      <w:r>
        <w:t>relacionada com a recomendação 1.2</w:t>
      </w:r>
    </w:p>
    <w:p w14:paraId="7C5E5A17" w14:textId="36519DA3" w:rsidR="0090606C" w:rsidRPr="0036350D" w:rsidRDefault="00601604">
      <w:pPr>
        <w:keepNext/>
        <w:keepLines/>
        <w:jc w:val="left"/>
      </w:pPr>
      <w:r>
        <w:t>Aditar novo número no artigo 4.º, após o atual n.º 2:</w:t>
      </w:r>
    </w:p>
    <w:p w14:paraId="4AB31173" w14:textId="77777777" w:rsidR="0090606C" w:rsidRPr="00DA5E8A" w:rsidRDefault="0090606C" w:rsidP="00FA5329">
      <w:pPr>
        <w:keepNext/>
        <w:keepLines/>
        <w:spacing w:line="240" w:lineRule="auto"/>
        <w:jc w:val="left"/>
      </w:pPr>
    </w:p>
    <w:tbl>
      <w:tblPr>
        <w:tblW w:w="5000" w:type="pct"/>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4594"/>
        <w:gridCol w:w="4593"/>
      </w:tblGrid>
      <w:tr w:rsidR="0090606C" w:rsidRPr="0036350D" w14:paraId="4D15C6B0" w14:textId="77777777" w:rsidTr="00FA5329">
        <w:trPr>
          <w:trHeight w:val="300"/>
        </w:trPr>
        <w:tc>
          <w:tcPr>
            <w:tcW w:w="4529" w:type="dxa"/>
            <w:tcBorders>
              <w:top w:val="single" w:sz="2" w:space="0" w:color="auto"/>
              <w:left w:val="single" w:sz="2" w:space="0" w:color="auto"/>
              <w:bottom w:val="single" w:sz="2" w:space="0" w:color="auto"/>
              <w:right w:val="single" w:sz="2" w:space="0" w:color="auto"/>
            </w:tcBorders>
            <w:hideMark/>
          </w:tcPr>
          <w:p w14:paraId="52B15499" w14:textId="77777777" w:rsidR="0090606C" w:rsidRPr="0036350D" w:rsidRDefault="00601604">
            <w:pPr>
              <w:jc w:val="center"/>
              <w:rPr>
                <w:strike/>
              </w:rPr>
            </w:pPr>
            <w:r>
              <w:rPr>
                <w:b/>
              </w:rPr>
              <w:t>Texto da proposta da Comissão Europeia</w:t>
            </w:r>
          </w:p>
        </w:tc>
        <w:tc>
          <w:tcPr>
            <w:tcW w:w="4528" w:type="dxa"/>
            <w:tcBorders>
              <w:top w:val="single" w:sz="2" w:space="0" w:color="auto"/>
              <w:left w:val="single" w:sz="2" w:space="0" w:color="auto"/>
              <w:bottom w:val="single" w:sz="2" w:space="0" w:color="auto"/>
              <w:right w:val="single" w:sz="2" w:space="0" w:color="auto"/>
            </w:tcBorders>
            <w:hideMark/>
          </w:tcPr>
          <w:p w14:paraId="78075A07" w14:textId="77777777" w:rsidR="0090606C" w:rsidRPr="0036350D" w:rsidRDefault="00601604">
            <w:pPr>
              <w:jc w:val="center"/>
            </w:pPr>
            <w:r>
              <w:rPr>
                <w:b/>
              </w:rPr>
              <w:t>Alteração proposta pelo CESE</w:t>
            </w:r>
          </w:p>
        </w:tc>
      </w:tr>
      <w:tr w:rsidR="0090606C" w:rsidRPr="0036350D" w14:paraId="4BEBCCB7" w14:textId="77777777" w:rsidTr="00FA5329">
        <w:trPr>
          <w:trHeight w:val="300"/>
        </w:trPr>
        <w:tc>
          <w:tcPr>
            <w:tcW w:w="4529" w:type="dxa"/>
            <w:tcBorders>
              <w:top w:val="single" w:sz="2" w:space="0" w:color="auto"/>
              <w:left w:val="single" w:sz="6" w:space="0" w:color="auto"/>
              <w:bottom w:val="single" w:sz="6" w:space="0" w:color="auto"/>
              <w:right w:val="single" w:sz="6" w:space="0" w:color="auto"/>
            </w:tcBorders>
            <w:hideMark/>
          </w:tcPr>
          <w:p w14:paraId="5774296D" w14:textId="77777777" w:rsidR="0090606C" w:rsidRPr="0036350D" w:rsidRDefault="0090606C">
            <w:pPr>
              <w:ind w:left="30" w:right="30"/>
              <w:rPr>
                <w:lang w:val="en-GB"/>
              </w:rPr>
            </w:pPr>
          </w:p>
        </w:tc>
        <w:tc>
          <w:tcPr>
            <w:tcW w:w="4528" w:type="dxa"/>
            <w:tcBorders>
              <w:top w:val="single" w:sz="2" w:space="0" w:color="auto"/>
              <w:left w:val="single" w:sz="6" w:space="0" w:color="auto"/>
              <w:bottom w:val="single" w:sz="6" w:space="0" w:color="auto"/>
              <w:right w:val="single" w:sz="6" w:space="0" w:color="auto"/>
            </w:tcBorders>
            <w:hideMark/>
          </w:tcPr>
          <w:p w14:paraId="1E660C1F" w14:textId="07BB8F20" w:rsidR="0090606C" w:rsidRPr="0036350D" w:rsidRDefault="00601604">
            <w:pPr>
              <w:pStyle w:val="Heading1"/>
              <w:numPr>
                <w:ilvl w:val="0"/>
                <w:numId w:val="0"/>
              </w:numPr>
              <w:rPr>
                <w:b/>
                <w:bCs/>
                <w:i/>
                <w:iCs/>
              </w:rPr>
            </w:pPr>
            <w:r>
              <w:rPr>
                <w:b/>
                <w:i/>
              </w:rPr>
              <w:t>3. A distribuição indicativa dos recursos do FEC deve ser executada de forma a ter em conta os requisitos das iniciativas transversais às vertentes e outras ligações entre as vertentes, bem como situações em rápida mutação.</w:t>
            </w:r>
          </w:p>
        </w:tc>
      </w:tr>
    </w:tbl>
    <w:p w14:paraId="30195EF3" w14:textId="77777777" w:rsidR="0090606C" w:rsidRPr="00DA5E8A" w:rsidRDefault="0090606C">
      <w:pPr>
        <w:jc w:val="center"/>
      </w:pPr>
    </w:p>
    <w:tbl>
      <w:tblPr>
        <w:tblW w:w="0" w:type="auto"/>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9057"/>
      </w:tblGrid>
      <w:tr w:rsidR="0090606C" w:rsidRPr="0036350D" w14:paraId="6A26AC2D" w14:textId="77777777" w:rsidTr="00FA5329">
        <w:trPr>
          <w:trHeight w:val="300"/>
        </w:trPr>
        <w:tc>
          <w:tcPr>
            <w:tcW w:w="9057" w:type="dxa"/>
            <w:tcBorders>
              <w:top w:val="single" w:sz="2" w:space="0" w:color="auto"/>
              <w:left w:val="single" w:sz="2" w:space="0" w:color="auto"/>
              <w:bottom w:val="single" w:sz="2" w:space="0" w:color="auto"/>
              <w:right w:val="single" w:sz="2" w:space="0" w:color="auto"/>
            </w:tcBorders>
            <w:hideMark/>
          </w:tcPr>
          <w:p w14:paraId="585C5B48" w14:textId="77777777" w:rsidR="0090606C" w:rsidRPr="0036350D" w:rsidRDefault="00601604">
            <w:pPr>
              <w:keepNext/>
              <w:keepLines/>
              <w:jc w:val="center"/>
            </w:pPr>
            <w:r>
              <w:rPr>
                <w:b/>
              </w:rPr>
              <w:t>Justificação</w:t>
            </w:r>
          </w:p>
        </w:tc>
      </w:tr>
      <w:tr w:rsidR="0090606C" w:rsidRPr="0036350D" w14:paraId="1496B60B" w14:textId="77777777" w:rsidTr="00FA5329">
        <w:trPr>
          <w:trHeight w:val="300"/>
        </w:trPr>
        <w:tc>
          <w:tcPr>
            <w:tcW w:w="9057" w:type="dxa"/>
            <w:tcBorders>
              <w:top w:val="single" w:sz="2" w:space="0" w:color="auto"/>
              <w:left w:val="single" w:sz="6" w:space="0" w:color="auto"/>
              <w:bottom w:val="single" w:sz="6" w:space="0" w:color="auto"/>
              <w:right w:val="single" w:sz="6" w:space="0" w:color="auto"/>
            </w:tcBorders>
            <w:hideMark/>
          </w:tcPr>
          <w:p w14:paraId="68A81E13" w14:textId="77777777" w:rsidR="0090606C" w:rsidRPr="0036350D" w:rsidRDefault="00601604">
            <w:pPr>
              <w:keepNext/>
              <w:keepLines/>
              <w:ind w:left="30" w:right="30"/>
            </w:pPr>
            <w:r>
              <w:t>Ver ponto 2.8.</w:t>
            </w:r>
          </w:p>
        </w:tc>
      </w:tr>
    </w:tbl>
    <w:p w14:paraId="74D27020" w14:textId="77777777" w:rsidR="0090606C" w:rsidRPr="0036350D" w:rsidRDefault="0090606C">
      <w:pPr>
        <w:jc w:val="left"/>
        <w:rPr>
          <w:lang w:val="en-GB"/>
        </w:rPr>
      </w:pPr>
    </w:p>
    <w:p w14:paraId="48247B4D" w14:textId="77777777" w:rsidR="0090606C" w:rsidRPr="0036350D" w:rsidRDefault="00601604">
      <w:pPr>
        <w:pStyle w:val="Heading2"/>
        <w:keepNext/>
        <w:numPr>
          <w:ilvl w:val="0"/>
          <w:numId w:val="0"/>
        </w:numPr>
        <w:rPr>
          <w:b/>
          <w:bCs/>
        </w:rPr>
      </w:pPr>
      <w:r>
        <w:rPr>
          <w:b/>
        </w:rPr>
        <w:t>Alteração 3</w:t>
      </w:r>
    </w:p>
    <w:p w14:paraId="3A9B2698" w14:textId="77777777" w:rsidR="0090606C" w:rsidRPr="0036350D" w:rsidRDefault="00601604">
      <w:pPr>
        <w:keepNext/>
        <w:keepLines/>
        <w:jc w:val="left"/>
      </w:pPr>
      <w:r>
        <w:t>relacionada com a recomendação 1.3</w:t>
      </w:r>
    </w:p>
    <w:p w14:paraId="6D246517" w14:textId="08498FF9" w:rsidR="0090606C" w:rsidRPr="0036350D" w:rsidRDefault="00601604">
      <w:pPr>
        <w:keepNext/>
        <w:keepLines/>
        <w:jc w:val="left"/>
      </w:pPr>
      <w:r>
        <w:t>Aditar novo artigo, após o atual artigo 7.º:</w:t>
      </w:r>
    </w:p>
    <w:p w14:paraId="1EF155B4" w14:textId="77777777" w:rsidR="0090606C" w:rsidRPr="00DA5E8A" w:rsidRDefault="0090606C" w:rsidP="00FA5329">
      <w:pPr>
        <w:keepNext/>
        <w:keepLines/>
        <w:spacing w:line="240" w:lineRule="auto"/>
        <w:jc w:val="left"/>
      </w:pPr>
    </w:p>
    <w:tbl>
      <w:tblPr>
        <w:tblW w:w="5000" w:type="pct"/>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4594"/>
        <w:gridCol w:w="4593"/>
      </w:tblGrid>
      <w:tr w:rsidR="0090606C" w:rsidRPr="0036350D" w14:paraId="756153CB" w14:textId="77777777" w:rsidTr="00FA5329">
        <w:trPr>
          <w:trHeight w:val="300"/>
        </w:trPr>
        <w:tc>
          <w:tcPr>
            <w:tcW w:w="4529" w:type="dxa"/>
            <w:tcBorders>
              <w:top w:val="single" w:sz="2" w:space="0" w:color="auto"/>
              <w:left w:val="single" w:sz="2" w:space="0" w:color="auto"/>
              <w:bottom w:val="single" w:sz="2" w:space="0" w:color="auto"/>
              <w:right w:val="single" w:sz="2" w:space="0" w:color="auto"/>
            </w:tcBorders>
            <w:hideMark/>
          </w:tcPr>
          <w:p w14:paraId="28471553" w14:textId="77777777" w:rsidR="0090606C" w:rsidRPr="0036350D" w:rsidRDefault="00601604">
            <w:pPr>
              <w:jc w:val="center"/>
              <w:rPr>
                <w:strike/>
              </w:rPr>
            </w:pPr>
            <w:r>
              <w:rPr>
                <w:b/>
              </w:rPr>
              <w:t>Texto da proposta da Comissão Europeia</w:t>
            </w:r>
          </w:p>
        </w:tc>
        <w:tc>
          <w:tcPr>
            <w:tcW w:w="4528" w:type="dxa"/>
            <w:tcBorders>
              <w:top w:val="single" w:sz="2" w:space="0" w:color="auto"/>
              <w:left w:val="single" w:sz="2" w:space="0" w:color="auto"/>
              <w:bottom w:val="single" w:sz="2" w:space="0" w:color="auto"/>
              <w:right w:val="single" w:sz="2" w:space="0" w:color="auto"/>
            </w:tcBorders>
            <w:hideMark/>
          </w:tcPr>
          <w:p w14:paraId="4A09CF45" w14:textId="77777777" w:rsidR="0090606C" w:rsidRPr="0036350D" w:rsidRDefault="00601604">
            <w:pPr>
              <w:jc w:val="center"/>
            </w:pPr>
            <w:r>
              <w:rPr>
                <w:b/>
              </w:rPr>
              <w:t>Alteração proposta pelo CESE</w:t>
            </w:r>
          </w:p>
        </w:tc>
      </w:tr>
      <w:tr w:rsidR="0090606C" w:rsidRPr="0036350D" w14:paraId="12FDF21B" w14:textId="77777777" w:rsidTr="00FA5329">
        <w:trPr>
          <w:trHeight w:val="300"/>
        </w:trPr>
        <w:tc>
          <w:tcPr>
            <w:tcW w:w="4529" w:type="dxa"/>
            <w:tcBorders>
              <w:top w:val="single" w:sz="2" w:space="0" w:color="auto"/>
              <w:left w:val="single" w:sz="6" w:space="0" w:color="auto"/>
              <w:bottom w:val="single" w:sz="6" w:space="0" w:color="auto"/>
              <w:right w:val="single" w:sz="6" w:space="0" w:color="auto"/>
            </w:tcBorders>
            <w:hideMark/>
          </w:tcPr>
          <w:p w14:paraId="31D888C2" w14:textId="77777777" w:rsidR="0090606C" w:rsidRPr="0036350D" w:rsidRDefault="0090606C">
            <w:pPr>
              <w:ind w:left="30" w:right="30"/>
              <w:rPr>
                <w:lang w:val="en-GB"/>
              </w:rPr>
            </w:pPr>
          </w:p>
        </w:tc>
        <w:tc>
          <w:tcPr>
            <w:tcW w:w="4528" w:type="dxa"/>
            <w:tcBorders>
              <w:top w:val="single" w:sz="2" w:space="0" w:color="auto"/>
              <w:left w:val="single" w:sz="6" w:space="0" w:color="auto"/>
              <w:bottom w:val="single" w:sz="6" w:space="0" w:color="auto"/>
              <w:right w:val="single" w:sz="6" w:space="0" w:color="auto"/>
            </w:tcBorders>
            <w:hideMark/>
          </w:tcPr>
          <w:p w14:paraId="5B03579C" w14:textId="77777777" w:rsidR="0090606C" w:rsidRPr="0036350D" w:rsidRDefault="00601604">
            <w:pPr>
              <w:keepNext/>
              <w:keepLines/>
              <w:jc w:val="left"/>
              <w:rPr>
                <w:b/>
                <w:bCs/>
                <w:i/>
                <w:iCs/>
              </w:rPr>
            </w:pPr>
            <w:r>
              <w:rPr>
                <w:b/>
                <w:i/>
              </w:rPr>
              <w:t xml:space="preserve">Artigo 8.º </w:t>
            </w:r>
          </w:p>
          <w:p w14:paraId="2A44F369" w14:textId="77777777" w:rsidR="0090606C" w:rsidRPr="0036350D" w:rsidRDefault="00601604">
            <w:pPr>
              <w:keepNext/>
              <w:keepLines/>
              <w:jc w:val="left"/>
              <w:rPr>
                <w:b/>
                <w:bCs/>
                <w:i/>
                <w:iCs/>
              </w:rPr>
            </w:pPr>
            <w:r>
              <w:rPr>
                <w:b/>
                <w:i/>
              </w:rPr>
              <w:t>Critérios gerais de concessão</w:t>
            </w:r>
          </w:p>
          <w:p w14:paraId="323AC0A9" w14:textId="77777777" w:rsidR="0090606C" w:rsidRPr="0036350D" w:rsidRDefault="00601604">
            <w:pPr>
              <w:ind w:left="30" w:right="30"/>
              <w:rPr>
                <w:b/>
                <w:bCs/>
                <w:i/>
                <w:iCs/>
              </w:rPr>
            </w:pPr>
            <w:r>
              <w:rPr>
                <w:b/>
                <w:i/>
              </w:rPr>
              <w:t xml:space="preserve">Para apoiar os objetivos gerais do FEC </w:t>
            </w:r>
            <w:r>
              <w:rPr>
                <w:b/>
                <w:i/>
              </w:rPr>
              <w:lastRenderedPageBreak/>
              <w:t>(artigo 3.º, n.º 1), os seguintes critérios, relacionados com a competitividade global da UE, são considerados os principais critérios de concessão em todas as vertentes: 1) excelência, 2) orientação para o futuro, 3) potencial económico. Os critérios gerais são acompanhados de critérios específicos para cada vertente, em função dos objetivos específicos para cada uma (artigo 3.º, n.º 2).</w:t>
            </w:r>
          </w:p>
        </w:tc>
      </w:tr>
    </w:tbl>
    <w:p w14:paraId="333DC010" w14:textId="77777777" w:rsidR="0090606C" w:rsidRPr="00DA5E8A" w:rsidRDefault="0090606C" w:rsidP="00FA5329">
      <w:pPr>
        <w:spacing w:line="240" w:lineRule="auto"/>
        <w:jc w:val="center"/>
      </w:pPr>
    </w:p>
    <w:tbl>
      <w:tblPr>
        <w:tblW w:w="0" w:type="auto"/>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9057"/>
      </w:tblGrid>
      <w:tr w:rsidR="0090606C" w:rsidRPr="0036350D" w14:paraId="454E1AF4" w14:textId="77777777" w:rsidTr="00FA5329">
        <w:trPr>
          <w:trHeight w:val="300"/>
        </w:trPr>
        <w:tc>
          <w:tcPr>
            <w:tcW w:w="9057" w:type="dxa"/>
            <w:tcBorders>
              <w:top w:val="single" w:sz="2" w:space="0" w:color="auto"/>
              <w:left w:val="single" w:sz="2" w:space="0" w:color="auto"/>
              <w:bottom w:val="single" w:sz="2" w:space="0" w:color="auto"/>
              <w:right w:val="single" w:sz="2" w:space="0" w:color="auto"/>
            </w:tcBorders>
            <w:hideMark/>
          </w:tcPr>
          <w:p w14:paraId="62FDFFE0" w14:textId="77777777" w:rsidR="0090606C" w:rsidRPr="0036350D" w:rsidRDefault="00601604">
            <w:pPr>
              <w:keepNext/>
              <w:keepLines/>
              <w:jc w:val="center"/>
              <w:divId w:val="1334838238"/>
            </w:pPr>
            <w:r>
              <w:rPr>
                <w:b/>
              </w:rPr>
              <w:t>Justificação</w:t>
            </w:r>
          </w:p>
        </w:tc>
      </w:tr>
      <w:tr w:rsidR="0090606C" w:rsidRPr="0036350D" w14:paraId="4967A278" w14:textId="77777777" w:rsidTr="00FA5329">
        <w:trPr>
          <w:trHeight w:val="300"/>
        </w:trPr>
        <w:tc>
          <w:tcPr>
            <w:tcW w:w="9057" w:type="dxa"/>
            <w:tcBorders>
              <w:top w:val="single" w:sz="2" w:space="0" w:color="auto"/>
              <w:left w:val="single" w:sz="6" w:space="0" w:color="auto"/>
              <w:bottom w:val="single" w:sz="6" w:space="0" w:color="auto"/>
              <w:right w:val="single" w:sz="6" w:space="0" w:color="auto"/>
            </w:tcBorders>
            <w:hideMark/>
          </w:tcPr>
          <w:p w14:paraId="606CCFAA" w14:textId="77777777" w:rsidR="0090606C" w:rsidRPr="0036350D" w:rsidRDefault="00601604">
            <w:pPr>
              <w:keepNext/>
              <w:keepLines/>
              <w:ind w:left="30" w:right="30"/>
            </w:pPr>
            <w:r>
              <w:t>Ver pontos 2.1 e 2.9.</w:t>
            </w:r>
          </w:p>
        </w:tc>
      </w:tr>
    </w:tbl>
    <w:p w14:paraId="27D0BD25" w14:textId="77777777" w:rsidR="0090606C" w:rsidRPr="0036350D" w:rsidRDefault="0090606C">
      <w:pPr>
        <w:jc w:val="left"/>
        <w:rPr>
          <w:lang w:val="en-GB"/>
        </w:rPr>
      </w:pPr>
    </w:p>
    <w:p w14:paraId="0DF50F55" w14:textId="77777777" w:rsidR="0090606C" w:rsidRPr="0036350D" w:rsidRDefault="00601604">
      <w:pPr>
        <w:pStyle w:val="Heading2"/>
        <w:keepNext/>
        <w:numPr>
          <w:ilvl w:val="0"/>
          <w:numId w:val="0"/>
        </w:numPr>
        <w:rPr>
          <w:b/>
          <w:bCs/>
        </w:rPr>
      </w:pPr>
      <w:r>
        <w:rPr>
          <w:b/>
        </w:rPr>
        <w:t>Alteração 4</w:t>
      </w:r>
    </w:p>
    <w:p w14:paraId="4047D935" w14:textId="77777777" w:rsidR="0090606C" w:rsidRPr="0036350D" w:rsidRDefault="00601604">
      <w:pPr>
        <w:keepNext/>
        <w:keepLines/>
        <w:jc w:val="left"/>
      </w:pPr>
      <w:r>
        <w:t>relacionada com a recomendação 1.4</w:t>
      </w:r>
    </w:p>
    <w:p w14:paraId="0D59F005" w14:textId="0924E7F3" w:rsidR="0090606C" w:rsidRPr="0036350D" w:rsidRDefault="00601604">
      <w:pPr>
        <w:keepNext/>
        <w:keepLines/>
        <w:jc w:val="left"/>
      </w:pPr>
      <w:r>
        <w:t>Aditar novo artigo após o atual artigo 8.º (que seria o artigo 9.º devido à alteração 3):</w:t>
      </w:r>
    </w:p>
    <w:p w14:paraId="4E59B5E0" w14:textId="77777777" w:rsidR="0090606C" w:rsidRPr="00DA5E8A" w:rsidRDefault="0090606C" w:rsidP="00FA5329">
      <w:pPr>
        <w:keepNext/>
        <w:keepLines/>
        <w:spacing w:line="240" w:lineRule="auto"/>
        <w:jc w:val="left"/>
      </w:pPr>
    </w:p>
    <w:tbl>
      <w:tblPr>
        <w:tblW w:w="0" w:type="auto"/>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4529"/>
        <w:gridCol w:w="4528"/>
      </w:tblGrid>
      <w:tr w:rsidR="0090606C" w:rsidRPr="0036350D" w14:paraId="323EB65A" w14:textId="77777777" w:rsidTr="00FA5329">
        <w:trPr>
          <w:trHeight w:val="300"/>
        </w:trPr>
        <w:tc>
          <w:tcPr>
            <w:tcW w:w="4529" w:type="dxa"/>
            <w:tcBorders>
              <w:top w:val="single" w:sz="2" w:space="0" w:color="auto"/>
              <w:left w:val="single" w:sz="2" w:space="0" w:color="auto"/>
              <w:bottom w:val="single" w:sz="2" w:space="0" w:color="auto"/>
              <w:right w:val="single" w:sz="2" w:space="0" w:color="auto"/>
            </w:tcBorders>
            <w:hideMark/>
          </w:tcPr>
          <w:p w14:paraId="62A325D8" w14:textId="77777777" w:rsidR="0090606C" w:rsidRPr="0036350D" w:rsidRDefault="00601604" w:rsidP="00FA5329">
            <w:pPr>
              <w:outlineLvl w:val="1"/>
              <w:rPr>
                <w:strike/>
              </w:rPr>
            </w:pPr>
            <w:r>
              <w:rPr>
                <w:b/>
              </w:rPr>
              <w:t>Texto da proposta da Comissão Europeia</w:t>
            </w:r>
          </w:p>
        </w:tc>
        <w:tc>
          <w:tcPr>
            <w:tcW w:w="4528" w:type="dxa"/>
            <w:tcBorders>
              <w:top w:val="single" w:sz="2" w:space="0" w:color="auto"/>
              <w:left w:val="single" w:sz="2" w:space="0" w:color="auto"/>
              <w:bottom w:val="single" w:sz="2" w:space="0" w:color="auto"/>
              <w:right w:val="single" w:sz="2" w:space="0" w:color="auto"/>
            </w:tcBorders>
            <w:hideMark/>
          </w:tcPr>
          <w:p w14:paraId="27EFB6A6" w14:textId="77777777" w:rsidR="0090606C" w:rsidRPr="0036350D" w:rsidRDefault="00601604">
            <w:pPr>
              <w:jc w:val="center"/>
            </w:pPr>
            <w:r>
              <w:rPr>
                <w:b/>
              </w:rPr>
              <w:t>Alteração proposta pelo CESE</w:t>
            </w:r>
          </w:p>
        </w:tc>
      </w:tr>
      <w:tr w:rsidR="0090606C" w:rsidRPr="0036350D" w14:paraId="153EAE34" w14:textId="77777777" w:rsidTr="00FA5329">
        <w:trPr>
          <w:trHeight w:val="300"/>
        </w:trPr>
        <w:tc>
          <w:tcPr>
            <w:tcW w:w="4529" w:type="dxa"/>
            <w:tcBorders>
              <w:top w:val="single" w:sz="2" w:space="0" w:color="auto"/>
              <w:left w:val="single" w:sz="6" w:space="0" w:color="auto"/>
              <w:bottom w:val="single" w:sz="6" w:space="0" w:color="auto"/>
              <w:right w:val="single" w:sz="6" w:space="0" w:color="auto"/>
            </w:tcBorders>
            <w:hideMark/>
          </w:tcPr>
          <w:p w14:paraId="2AE66F71" w14:textId="77777777" w:rsidR="0090606C" w:rsidRPr="0036350D" w:rsidRDefault="0090606C" w:rsidP="00FA5329">
            <w:pPr>
              <w:ind w:left="57" w:right="57"/>
              <w:rPr>
                <w:lang w:val="en-GB"/>
              </w:rPr>
            </w:pPr>
          </w:p>
        </w:tc>
        <w:tc>
          <w:tcPr>
            <w:tcW w:w="4528" w:type="dxa"/>
            <w:tcBorders>
              <w:top w:val="single" w:sz="2" w:space="0" w:color="auto"/>
              <w:left w:val="single" w:sz="6" w:space="0" w:color="auto"/>
              <w:bottom w:val="single" w:sz="6" w:space="0" w:color="auto"/>
              <w:right w:val="single" w:sz="6" w:space="0" w:color="auto"/>
            </w:tcBorders>
            <w:hideMark/>
          </w:tcPr>
          <w:p w14:paraId="654E063C" w14:textId="77777777" w:rsidR="0090606C" w:rsidRPr="0036350D" w:rsidRDefault="00601604" w:rsidP="00FA5329">
            <w:pPr>
              <w:ind w:left="57" w:right="57"/>
              <w:rPr>
                <w:b/>
                <w:bCs/>
                <w:i/>
                <w:iCs/>
              </w:rPr>
            </w:pPr>
            <w:r>
              <w:rPr>
                <w:b/>
                <w:i/>
              </w:rPr>
              <w:t>Artigo 10.º</w:t>
            </w:r>
          </w:p>
          <w:p w14:paraId="7D5210DF" w14:textId="77777777" w:rsidR="0090606C" w:rsidRPr="0036350D" w:rsidRDefault="00601604" w:rsidP="00FA5329">
            <w:pPr>
              <w:ind w:left="57" w:right="57"/>
              <w:jc w:val="left"/>
              <w:rPr>
                <w:b/>
                <w:bCs/>
                <w:i/>
                <w:iCs/>
              </w:rPr>
            </w:pPr>
            <w:r>
              <w:rPr>
                <w:b/>
                <w:i/>
              </w:rPr>
              <w:t>Condições de concorrência equitativas</w:t>
            </w:r>
          </w:p>
          <w:p w14:paraId="505E3C7D" w14:textId="77777777" w:rsidR="0090606C" w:rsidRPr="00DA5E8A" w:rsidRDefault="0090606C" w:rsidP="00FA5329">
            <w:pPr>
              <w:ind w:left="57" w:right="57"/>
              <w:jc w:val="left"/>
            </w:pPr>
          </w:p>
          <w:p w14:paraId="4A435C74" w14:textId="77777777" w:rsidR="0090606C" w:rsidRPr="0036350D" w:rsidRDefault="00601604" w:rsidP="00FA5329">
            <w:pPr>
              <w:ind w:left="57" w:right="57"/>
              <w:jc w:val="left"/>
            </w:pPr>
            <w:r>
              <w:rPr>
                <w:b/>
                <w:i/>
              </w:rPr>
              <w:t>As decisões relativas ao financiamento para fins específicos (artigos 16.º a 20.º) devem nortear-se pelo princípio do reforço de condições de concorrência equitativas em toda a UE e entre os intervenientes económicos.</w:t>
            </w:r>
          </w:p>
        </w:tc>
      </w:tr>
    </w:tbl>
    <w:p w14:paraId="20ADAF20" w14:textId="77777777" w:rsidR="0090606C" w:rsidRPr="00DA5E8A" w:rsidRDefault="0090606C">
      <w:pPr>
        <w:jc w:val="center"/>
      </w:pPr>
    </w:p>
    <w:tbl>
      <w:tblPr>
        <w:tblW w:w="0" w:type="auto"/>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9057"/>
      </w:tblGrid>
      <w:tr w:rsidR="0090606C" w:rsidRPr="0036350D" w14:paraId="7D419C54" w14:textId="77777777">
        <w:trPr>
          <w:trHeight w:val="300"/>
        </w:trPr>
        <w:tc>
          <w:tcPr>
            <w:tcW w:w="9057" w:type="dxa"/>
            <w:tcBorders>
              <w:top w:val="single" w:sz="2" w:space="0" w:color="auto"/>
              <w:left w:val="single" w:sz="2" w:space="0" w:color="auto"/>
              <w:bottom w:val="single" w:sz="2" w:space="0" w:color="auto"/>
              <w:right w:val="single" w:sz="2" w:space="0" w:color="auto"/>
            </w:tcBorders>
            <w:hideMark/>
          </w:tcPr>
          <w:p w14:paraId="422414E0" w14:textId="77777777" w:rsidR="0090606C" w:rsidRPr="0036350D" w:rsidRDefault="00601604">
            <w:pPr>
              <w:keepNext/>
              <w:keepLines/>
              <w:jc w:val="center"/>
              <w:divId w:val="1152411509"/>
            </w:pPr>
            <w:r>
              <w:rPr>
                <w:b/>
              </w:rPr>
              <w:t>Justificação</w:t>
            </w:r>
          </w:p>
        </w:tc>
      </w:tr>
      <w:tr w:rsidR="0090606C" w:rsidRPr="0036350D" w14:paraId="6C7B7DC2" w14:textId="77777777">
        <w:trPr>
          <w:trHeight w:val="300"/>
        </w:trPr>
        <w:tc>
          <w:tcPr>
            <w:tcW w:w="9057" w:type="dxa"/>
            <w:tcBorders>
              <w:top w:val="single" w:sz="2" w:space="0" w:color="auto"/>
              <w:left w:val="single" w:sz="6" w:space="0" w:color="auto"/>
              <w:bottom w:val="single" w:sz="6" w:space="0" w:color="auto"/>
              <w:right w:val="single" w:sz="6" w:space="0" w:color="auto"/>
            </w:tcBorders>
            <w:hideMark/>
          </w:tcPr>
          <w:p w14:paraId="5917433E" w14:textId="77777777" w:rsidR="0090606C" w:rsidRPr="0036350D" w:rsidRDefault="00601604">
            <w:pPr>
              <w:keepNext/>
              <w:keepLines/>
              <w:ind w:left="30" w:right="30"/>
            </w:pPr>
            <w:r>
              <w:t>Ver pontos 2.11, 2.17. e 2.26.</w:t>
            </w:r>
          </w:p>
        </w:tc>
      </w:tr>
    </w:tbl>
    <w:p w14:paraId="58946C51" w14:textId="27E36A57" w:rsidR="0090606C" w:rsidRPr="0036350D" w:rsidRDefault="0090606C">
      <w:pPr>
        <w:pStyle w:val="Header"/>
        <w:rPr>
          <w:lang w:val="en-GB"/>
        </w:rPr>
      </w:pPr>
    </w:p>
    <w:p w14:paraId="5A734E24" w14:textId="1489A04F" w:rsidR="00CD1734" w:rsidRPr="0036350D" w:rsidRDefault="00CD1734">
      <w:pPr>
        <w:pStyle w:val="Header"/>
        <w:rPr>
          <w:lang w:val="en-GB"/>
        </w:rPr>
      </w:pPr>
    </w:p>
    <w:p w14:paraId="34EFD7C4" w14:textId="183B82D7" w:rsidR="00CD1734" w:rsidRPr="00FA5329" w:rsidRDefault="00CD1734" w:rsidP="00CD1734">
      <w:r>
        <w:t>Bruxelas, 14 de novembro de 2025</w:t>
      </w:r>
    </w:p>
    <w:p w14:paraId="70355B15" w14:textId="77777777" w:rsidR="00CD1734" w:rsidRPr="00FA5329" w:rsidRDefault="00CD1734" w:rsidP="00CD1734">
      <w:pPr>
        <w:rPr>
          <w:lang w:val="en-GB"/>
        </w:rPr>
      </w:pPr>
    </w:p>
    <w:p w14:paraId="49F42F83" w14:textId="77777777" w:rsidR="00CD1734" w:rsidRPr="00FA5329" w:rsidRDefault="00CD1734" w:rsidP="00CD1734">
      <w:pPr>
        <w:rPr>
          <w:lang w:val="en-GB"/>
        </w:rPr>
      </w:pPr>
    </w:p>
    <w:p w14:paraId="37CF8A3C" w14:textId="77777777" w:rsidR="00CD1734" w:rsidRPr="00FA5329" w:rsidRDefault="00CD1734" w:rsidP="00CD1734">
      <w:pPr>
        <w:spacing w:line="286" w:lineRule="auto"/>
        <w:jc w:val="left"/>
        <w:rPr>
          <w:i/>
        </w:rPr>
      </w:pPr>
      <w:r>
        <w:rPr>
          <w:i/>
        </w:rPr>
        <w:t>A Presidente da Secção do Mercado Único, Produção e Consumo</w:t>
      </w:r>
    </w:p>
    <w:p w14:paraId="7ED7B962" w14:textId="5AF8BB03" w:rsidR="00CD1734" w:rsidRPr="00FA5329" w:rsidRDefault="00CD1734" w:rsidP="00CD1734">
      <w:pPr>
        <w:pStyle w:val="Header"/>
      </w:pPr>
      <w:r>
        <w:t>Emilie Prouzet</w:t>
      </w:r>
    </w:p>
    <w:p w14:paraId="510C4E8B" w14:textId="77777777" w:rsidR="0090606C" w:rsidRPr="0036350D" w:rsidRDefault="00601604">
      <w:pPr>
        <w:jc w:val="center"/>
      </w:pPr>
      <w:r>
        <w:t>_____________</w:t>
      </w:r>
    </w:p>
    <w:sectPr w:rsidR="0090606C" w:rsidRPr="0036350D" w:rsidSect="00432D8E">
      <w:headerReference w:type="even" r:id="rId20"/>
      <w:headerReference w:type="default" r:id="rId21"/>
      <w:footerReference w:type="even" r:id="rId22"/>
      <w:footerReference w:type="default" r:id="rId23"/>
      <w:headerReference w:type="first" r:id="rId24"/>
      <w:footerReference w:type="first" r:id="rId25"/>
      <w:pgSz w:w="11907" w:h="16839" w:code="9"/>
      <w:pgMar w:top="1417" w:right="1417" w:bottom="1417" w:left="1417"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843987" w14:textId="77777777" w:rsidR="0090606C" w:rsidRDefault="00601604">
      <w:r>
        <w:separator/>
      </w:r>
    </w:p>
  </w:endnote>
  <w:endnote w:type="continuationSeparator" w:id="0">
    <w:p w14:paraId="1671EDD9" w14:textId="77777777" w:rsidR="0090606C" w:rsidRDefault="006016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581D4F" w14:textId="7411553A" w:rsidR="0090606C" w:rsidRPr="00432D8E" w:rsidRDefault="00432D8E" w:rsidP="00432D8E">
    <w:pPr>
      <w:pStyle w:val="Footer"/>
    </w:pPr>
    <w:r>
      <w:t xml:space="preserve">INT/1101 – EESC-2025-02576-00-01-AS-TRA (EN) </w:t>
    </w:r>
    <w:r>
      <w:fldChar w:fldCharType="begin"/>
    </w:r>
    <w:r>
      <w:instrText xml:space="preserve"> PAGE  \* Arabic  \* MERGEFORMAT </w:instrText>
    </w:r>
    <w:r>
      <w:fldChar w:fldCharType="separate"/>
    </w:r>
    <w:r w:rsidR="00374119">
      <w:t>1</w:t>
    </w:r>
    <w:r>
      <w:fldChar w:fldCharType="end"/>
    </w:r>
    <w:r>
      <w:t>/</w:t>
    </w:r>
    <w:fldSimple w:instr=" NUMPAGES ">
      <w:r w:rsidR="00374119">
        <w:t>1</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9EFBA" w14:textId="77777777" w:rsidR="0090606C" w:rsidRPr="00432D8E" w:rsidRDefault="0090606C" w:rsidP="00432D8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32F3A5" w14:textId="0C16FB65" w:rsidR="0090606C" w:rsidRPr="00432D8E" w:rsidRDefault="00432D8E" w:rsidP="00432D8E">
    <w:pPr>
      <w:pStyle w:val="Footer"/>
    </w:pPr>
    <w:r>
      <w:t xml:space="preserve">INT/1101 – EESC-2025-02576-00-01-AS-TRA (EN) </w:t>
    </w:r>
    <w:r>
      <w:fldChar w:fldCharType="begin"/>
    </w:r>
    <w:r>
      <w:instrText xml:space="preserve"> PAGE  \* Arabic  \* MERGEFORMAT </w:instrText>
    </w:r>
    <w:r>
      <w:fldChar w:fldCharType="separate"/>
    </w:r>
    <w:r>
      <w:t>2</w:t>
    </w:r>
    <w:r>
      <w:fldChar w:fldCharType="end"/>
    </w:r>
    <w:r>
      <w:t>/</w:t>
    </w:r>
    <w:fldSimple w:instr=" NUMPAGES ">
      <w:r>
        <w:t>12</w:t>
      </w:r>
    </w:fldSimple>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D33167" w14:textId="77777777" w:rsidR="0090606C" w:rsidRPr="00432D8E" w:rsidRDefault="0090606C" w:rsidP="00432D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EB2CA5" w14:textId="77777777" w:rsidR="0090606C" w:rsidRDefault="00601604">
      <w:r>
        <w:separator/>
      </w:r>
    </w:p>
  </w:footnote>
  <w:footnote w:type="continuationSeparator" w:id="0">
    <w:p w14:paraId="627C898A" w14:textId="77777777" w:rsidR="0090606C" w:rsidRDefault="00601604">
      <w:r>
        <w:continuationSeparator/>
      </w:r>
    </w:p>
  </w:footnote>
  <w:footnote w:id="1">
    <w:p w14:paraId="5D8D318F" w14:textId="1B31731C" w:rsidR="006F7338" w:rsidRPr="00FA5329" w:rsidRDefault="006F7338">
      <w:pPr>
        <w:pStyle w:val="FootnoteText"/>
      </w:pPr>
      <w:r>
        <w:rPr>
          <w:rStyle w:val="FootnoteReference"/>
        </w:rPr>
        <w:footnoteRef/>
      </w:r>
      <w:r>
        <w:tab/>
        <w:t>Princípio 12 da Declaração do CESE sobre o Pacto Azul Europeu (outubro de 2023).</w:t>
      </w:r>
    </w:p>
  </w:footnote>
  <w:footnote w:id="2">
    <w:p w14:paraId="3F42C207" w14:textId="45E837EF" w:rsidR="0090606C" w:rsidRDefault="00601604">
      <w:pPr>
        <w:pStyle w:val="FootnoteText"/>
      </w:pPr>
      <w:r>
        <w:rPr>
          <w:rStyle w:val="FootnoteReference"/>
        </w:rPr>
        <w:footnoteRef/>
      </w:r>
      <w:r>
        <w:tab/>
      </w:r>
      <w:hyperlink r:id="rId1" w:history="1">
        <w:r>
          <w:rPr>
            <w:rStyle w:val="Hyperlink"/>
          </w:rPr>
          <w:t>JO C 486 de 21.12.2022, p. 1</w:t>
        </w:r>
      </w:hyperlink>
      <w:r>
        <w:t xml:space="preserve">, pontos 1.1 e 2.12; </w:t>
      </w:r>
      <w:hyperlink r:id="rId2" w:history="1">
        <w:r>
          <w:rPr>
            <w:rStyle w:val="Hyperlink"/>
          </w:rPr>
          <w:t>JO C 194 de 12.5.2022, p. 7</w:t>
        </w:r>
      </w:hyperlink>
      <w:r>
        <w:t xml:space="preserve">, ponto 4.5; </w:t>
      </w:r>
      <w:hyperlink r:id="rId3" w:history="1">
        <w:r>
          <w:rPr>
            <w:rStyle w:val="Hyperlink"/>
          </w:rPr>
          <w:t>JO C 429 de 11.12.2020, p. 210</w:t>
        </w:r>
      </w:hyperlink>
      <w:r>
        <w:t>, ponto 2.2; JO C, C/2025/3189, 2.7.2025, ELI: </w:t>
      </w:r>
      <w:hyperlink r:id="rId4" w:tgtFrame="_blank" w:tooltip="Acesso ao documento através do seu URI do ELI." w:history="1">
        <w:r>
          <w:rPr>
            <w:rStyle w:val="Hyperlink"/>
          </w:rPr>
          <w:t>http://data.europa.eu/eli/C/2025/3189/oj</w:t>
        </w:r>
      </w:hyperlink>
      <w:r>
        <w:t>; JO C, C/2025/4212, 20.8.2025, ELI: </w:t>
      </w:r>
      <w:hyperlink r:id="rId5" w:tgtFrame="_blank" w:tooltip="Acesso ao documento através do seu URI do ELI." w:history="1">
        <w:r>
          <w:rPr>
            <w:rStyle w:val="Hyperlink"/>
          </w:rPr>
          <w:t>http://data.europa.eu/eli/C/2025/4212/oj</w:t>
        </w:r>
      </w:hyperlink>
      <w:r>
        <w:t>, ponto 3.2.1.</w:t>
      </w:r>
    </w:p>
  </w:footnote>
  <w:footnote w:id="3">
    <w:p w14:paraId="7F1A5F2E" w14:textId="0693CF06" w:rsidR="0090606C" w:rsidRDefault="00601604">
      <w:pPr>
        <w:pStyle w:val="FootnoteText"/>
        <w:rPr>
          <w:szCs w:val="16"/>
          <w:highlight w:val="yellow"/>
        </w:rPr>
      </w:pPr>
      <w:r>
        <w:rPr>
          <w:rStyle w:val="FootnoteReference"/>
        </w:rPr>
        <w:footnoteRef/>
      </w:r>
      <w:r>
        <w:tab/>
      </w:r>
      <w:hyperlink r:id="rId6" w:history="1">
        <w:r>
          <w:rPr>
            <w:rStyle w:val="Hyperlink"/>
          </w:rPr>
          <w:t>INT/1094 – Estratégia para o Mercado Único</w:t>
        </w:r>
      </w:hyperlink>
      <w:r>
        <w:t xml:space="preserve"> (em curso); </w:t>
      </w:r>
      <w:hyperlink r:id="rId7" w:history="1">
        <w:r>
          <w:rPr>
            <w:rStyle w:val="Hyperlink"/>
          </w:rPr>
          <w:t>Parecer do CESE – Reforço do cumprimento das regras do mercado único: revisão dos instrumentos e do quadro atuais</w:t>
        </w:r>
      </w:hyperlink>
      <w:r>
        <w:t xml:space="preserve"> (ainda não publicado no Jornal Oficial); JO C, C/2025/2004, 30.4.2025, ELI: </w:t>
      </w:r>
      <w:hyperlink r:id="rId8" w:tgtFrame="_blank" w:tooltip="Acesso ao documento através do seu URI do ELI." w:history="1">
        <w:r>
          <w:rPr>
            <w:rStyle w:val="Hyperlink"/>
          </w:rPr>
          <w:t>http://data.europa.eu/eli/C/2025/2004/oj</w:t>
        </w:r>
      </w:hyperlink>
      <w:r>
        <w:t>.</w:t>
      </w:r>
    </w:p>
  </w:footnote>
  <w:footnote w:id="4">
    <w:p w14:paraId="31C26358" w14:textId="77777777" w:rsidR="0090606C" w:rsidRDefault="00601604">
      <w:pPr>
        <w:pStyle w:val="FootnoteText"/>
        <w:spacing w:after="0"/>
      </w:pPr>
      <w:r>
        <w:rPr>
          <w:rStyle w:val="FootnoteReference"/>
          <w:szCs w:val="24"/>
        </w:rPr>
        <w:footnoteRef/>
      </w:r>
      <w:r>
        <w:tab/>
      </w:r>
      <w:r>
        <w:t>Por exemplo, para pagar os compromissos de compra de gás natural liquefeito (GNL) e circuitos integrados aos EUA.</w:t>
      </w:r>
    </w:p>
  </w:footnote>
  <w:footnote w:id="5">
    <w:p w14:paraId="0969F5B9" w14:textId="26105276" w:rsidR="0090606C" w:rsidRDefault="00601604">
      <w:pPr>
        <w:pStyle w:val="FootnoteText"/>
        <w:spacing w:after="0"/>
      </w:pPr>
      <w:r>
        <w:rPr>
          <w:rStyle w:val="FootnoteReference"/>
        </w:rPr>
        <w:footnoteRef/>
      </w:r>
      <w:r>
        <w:tab/>
      </w:r>
      <w:hyperlink r:id="rId9" w:history="1">
        <w:r>
          <w:rPr>
            <w:rStyle w:val="Hyperlink"/>
          </w:rPr>
          <w:t>https://commission.europa.eu/topics/budget/eu-budget-2028-2034-explained_pt</w:t>
        </w:r>
      </w:hyperlink>
      <w:r>
        <w:t xml:space="preserve">, </w:t>
      </w:r>
      <w:hyperlink r:id="rId10" w:history="1">
        <w:r>
          <w:rPr>
            <w:rStyle w:val="Hyperlink"/>
          </w:rPr>
          <w:t>https://commission.europa.eu/publications/multiannual-financial-framework_en</w:t>
        </w:r>
      </w:hyperlink>
      <w:r>
        <w:t xml:space="preserve">. </w:t>
      </w:r>
    </w:p>
  </w:footnote>
  <w:footnote w:id="6">
    <w:p w14:paraId="02415A5F" w14:textId="61A1FF63" w:rsidR="00D568A2" w:rsidRPr="00FA5329" w:rsidRDefault="00D568A2">
      <w:pPr>
        <w:pStyle w:val="FootnoteText"/>
        <w:rPr>
          <w:iCs/>
        </w:rPr>
      </w:pPr>
      <w:r>
        <w:rPr>
          <w:rStyle w:val="FootnoteReference"/>
        </w:rPr>
        <w:footnoteRef/>
      </w:r>
      <w:r>
        <w:tab/>
      </w:r>
      <w:r>
        <w:t>Ações 14 e 15 da Declaração do CESE sobre o Pacto Azul Europeu (outubro de 2023).</w:t>
      </w:r>
    </w:p>
  </w:footnote>
  <w:footnote w:id="7">
    <w:p w14:paraId="41046A03" w14:textId="77777777" w:rsidR="0090606C" w:rsidRDefault="00601604">
      <w:pPr>
        <w:pStyle w:val="FootnoteText"/>
      </w:pPr>
      <w:r>
        <w:rPr>
          <w:rStyle w:val="FootnoteReference"/>
        </w:rPr>
        <w:footnoteRef/>
      </w:r>
      <w:r>
        <w:tab/>
      </w:r>
      <w:r>
        <w:t>COM(2025) 555 final – 2025/0555 (COD), considerandos 70, 73 e 77.</w:t>
      </w:r>
    </w:p>
  </w:footnote>
  <w:footnote w:id="8">
    <w:p w14:paraId="6163CA95" w14:textId="77777777" w:rsidR="0090606C" w:rsidRPr="00DA5E8A" w:rsidRDefault="00601604">
      <w:pPr>
        <w:pStyle w:val="FootnoteText"/>
        <w:rPr>
          <w:lang w:val="fi-FI"/>
        </w:rPr>
      </w:pPr>
      <w:r>
        <w:rPr>
          <w:rStyle w:val="FootnoteReference"/>
        </w:rPr>
        <w:footnoteRef/>
      </w:r>
      <w:r w:rsidRPr="00DA5E8A">
        <w:rPr>
          <w:lang w:val="fi-FI"/>
        </w:rPr>
        <w:tab/>
        <w:t xml:space="preserve">JO C, C/2024/6874, 28.11.2024, ELI: </w:t>
      </w:r>
      <w:hyperlink r:id="rId11" w:tgtFrame="_blank" w:tooltip="Acesso ao documento através do seu URI do ELI." w:history="1">
        <w:r w:rsidRPr="00DA5E8A">
          <w:rPr>
            <w:rStyle w:val="Hyperlink"/>
            <w:lang w:val="fi-FI"/>
          </w:rPr>
          <w:t>http://data.europa.eu/eli/C/2024/6874/oj</w:t>
        </w:r>
      </w:hyperlink>
      <w:r w:rsidRPr="00DA5E8A">
        <w:rPr>
          <w:lang w:val="fi-FI"/>
        </w:rPr>
        <w:t xml:space="preserve">; </w:t>
      </w:r>
      <w:hyperlink r:id="rId12" w:tgtFrame="_blank" w:tooltip="(abre numa nova janela)" w:history="1">
        <w:r w:rsidRPr="00DA5E8A">
          <w:rPr>
            <w:rStyle w:val="Hyperlink"/>
            <w:lang w:val="fi-FI"/>
          </w:rPr>
          <w:t>JO C 62 de 15.2.2019, p. 33</w:t>
        </w:r>
      </w:hyperlink>
      <w:r w:rsidRPr="00DA5E8A">
        <w:rPr>
          <w:lang w:val="fi-FI"/>
        </w:rPr>
        <w:t xml:space="preserve"> e </w:t>
      </w:r>
      <w:hyperlink r:id="rId13" w:tgtFrame="_blank" w:tooltip="(abre numa nova janela)" w:history="1">
        <w:r w:rsidRPr="00DA5E8A">
          <w:rPr>
            <w:rStyle w:val="Hyperlink"/>
            <w:lang w:val="fi-FI"/>
          </w:rPr>
          <w:t>JO C 34 de 2.2.2017, p. 66</w:t>
        </w:r>
      </w:hyperlink>
      <w:r w:rsidRPr="00DA5E8A">
        <w:rPr>
          <w:lang w:val="fi-FI"/>
        </w:rPr>
        <w:t>.</w:t>
      </w:r>
    </w:p>
  </w:footnote>
  <w:footnote w:id="9">
    <w:p w14:paraId="316642A0" w14:textId="77777777" w:rsidR="00A27CE3" w:rsidRPr="0093057B" w:rsidRDefault="00A27CE3" w:rsidP="00A27CE3">
      <w:pPr>
        <w:pStyle w:val="FootnoteText"/>
      </w:pPr>
      <w:r>
        <w:rPr>
          <w:rStyle w:val="FootnoteReference"/>
        </w:rPr>
        <w:footnoteRef/>
      </w:r>
      <w:r>
        <w:tab/>
      </w:r>
      <w:r>
        <w:t>Princípio 12 da Declaração do CESE sobre o Pacto Azul Europeu (outubro de 2023) e iniciativa sobre a resiliência hídrica (setembro de 2025).</w:t>
      </w:r>
    </w:p>
  </w:footnote>
  <w:footnote w:id="10">
    <w:p w14:paraId="4C5F99A2" w14:textId="3A53E4C3" w:rsidR="0090606C" w:rsidRDefault="00601604">
      <w:pPr>
        <w:pStyle w:val="FootnoteText"/>
      </w:pPr>
      <w:r>
        <w:rPr>
          <w:rStyle w:val="FootnoteReference"/>
        </w:rPr>
        <w:footnoteRef/>
      </w:r>
      <w:r>
        <w:tab/>
      </w:r>
      <w:hyperlink r:id="rId14" w:history="1">
        <w:r>
          <w:rPr>
            <w:rStyle w:val="Hyperlink"/>
          </w:rPr>
          <w:t>COM(2025) 555 final – 2025/0555 (COD), considerando 4</w:t>
        </w:r>
      </w:hyperlink>
      <w:r>
        <w:t>.</w:t>
      </w:r>
    </w:p>
  </w:footnote>
  <w:footnote w:id="11">
    <w:p w14:paraId="0A95BE16" w14:textId="533085B0" w:rsidR="0090606C" w:rsidRDefault="00601604">
      <w:pPr>
        <w:pStyle w:val="FootnoteText"/>
      </w:pPr>
      <w:r>
        <w:rPr>
          <w:rStyle w:val="FootnoteReference"/>
        </w:rPr>
        <w:footnoteRef/>
      </w:r>
      <w:r>
        <w:tab/>
      </w:r>
      <w:hyperlink r:id="rId15" w:history="1">
        <w:r>
          <w:rPr>
            <w:rStyle w:val="Hyperlink"/>
          </w:rPr>
          <w:t>COM(2025) 555 final – 2025/0555 (COD), considerando 5</w:t>
        </w:r>
      </w:hyperlink>
      <w:r>
        <w:t>.</w:t>
      </w:r>
    </w:p>
  </w:footnote>
  <w:footnote w:id="12">
    <w:p w14:paraId="2DAA0A7D" w14:textId="5DBE7621" w:rsidR="0090606C" w:rsidRDefault="00601604">
      <w:pPr>
        <w:pStyle w:val="FootnoteText"/>
      </w:pPr>
      <w:r>
        <w:rPr>
          <w:rStyle w:val="FootnoteReference"/>
        </w:rPr>
        <w:footnoteRef/>
      </w:r>
      <w:r>
        <w:tab/>
      </w:r>
      <w:hyperlink r:id="rId16" w:history="1">
        <w:r>
          <w:rPr>
            <w:rStyle w:val="Hyperlink"/>
          </w:rPr>
          <w:t>COM(2025) 555 final – 2025/0555 (COD), considerandos 78 a 82</w:t>
        </w:r>
      </w:hyperlink>
      <w:r>
        <w:t>.</w:t>
      </w:r>
    </w:p>
  </w:footnote>
  <w:footnote w:id="13">
    <w:p w14:paraId="6F613599" w14:textId="3898FC9A" w:rsidR="0090606C" w:rsidRDefault="00601604">
      <w:pPr>
        <w:pStyle w:val="FootnoteText"/>
      </w:pPr>
      <w:r>
        <w:rPr>
          <w:rStyle w:val="FootnoteReference"/>
        </w:rPr>
        <w:footnoteRef/>
      </w:r>
      <w:r>
        <w:tab/>
      </w:r>
      <w:hyperlink r:id="rId17" w:history="1">
        <w:r>
          <w:rPr>
            <w:rStyle w:val="Hyperlink"/>
          </w:rPr>
          <w:t>JO C 486 de 21.12.2022, p. 1</w:t>
        </w:r>
      </w:hyperlink>
      <w:r>
        <w:t xml:space="preserve">, pontos 1.1 e 2.12; </w:t>
      </w:r>
      <w:hyperlink r:id="rId18" w:history="1">
        <w:r>
          <w:rPr>
            <w:rStyle w:val="Hyperlink"/>
          </w:rPr>
          <w:t>JO C 194 de 12.5.2022, p. 7</w:t>
        </w:r>
      </w:hyperlink>
      <w:r>
        <w:t xml:space="preserve">, ponto 4.5; </w:t>
      </w:r>
      <w:hyperlink r:id="rId19" w:history="1">
        <w:r>
          <w:rPr>
            <w:rStyle w:val="Hyperlink"/>
          </w:rPr>
          <w:t>JO C 429 de 11.12.2020, p. 210</w:t>
        </w:r>
      </w:hyperlink>
      <w:r>
        <w:t>, ponto 2.2; JO C, C/2025/4212, 20.8.2025, ELI: </w:t>
      </w:r>
      <w:hyperlink r:id="rId20" w:tgtFrame="_blank" w:tooltip="Acesso ao documento através do seu URI do ELI." w:history="1">
        <w:r>
          <w:rPr>
            <w:rStyle w:val="Hyperlink"/>
          </w:rPr>
          <w:t>http://data.europa.eu/eli/C/2025/4212/oj</w:t>
        </w:r>
      </w:hyperlink>
      <w:r>
        <w:t>, ponto 3.2.1.</w:t>
      </w:r>
    </w:p>
  </w:footnote>
  <w:footnote w:id="14">
    <w:p w14:paraId="7F5226C3" w14:textId="7F76B438" w:rsidR="0090606C" w:rsidRDefault="00601604">
      <w:pPr>
        <w:pStyle w:val="FootnoteText"/>
      </w:pPr>
      <w:r>
        <w:rPr>
          <w:rStyle w:val="FootnoteReference"/>
        </w:rPr>
        <w:footnoteRef/>
      </w:r>
      <w:r>
        <w:tab/>
      </w:r>
      <w:hyperlink r:id="rId21" w:history="1">
        <w:r>
          <w:rPr>
            <w:rStyle w:val="Hyperlink"/>
          </w:rPr>
          <w:t>COM(2025) 555 final – 2025/0555 (COD), considerando 66</w:t>
        </w:r>
      </w:hyperlink>
      <w:r>
        <w:t>.</w:t>
      </w:r>
    </w:p>
  </w:footnote>
  <w:footnote w:id="15">
    <w:p w14:paraId="0DA61488" w14:textId="4716B61C" w:rsidR="0090606C" w:rsidRDefault="00601604">
      <w:pPr>
        <w:pStyle w:val="FootnoteText"/>
      </w:pPr>
      <w:r>
        <w:rPr>
          <w:rStyle w:val="FootnoteReference"/>
        </w:rPr>
        <w:footnoteRef/>
      </w:r>
      <w:r>
        <w:tab/>
      </w:r>
      <w:hyperlink r:id="rId22" w:history="1">
        <w:r>
          <w:rPr>
            <w:rStyle w:val="Hyperlink"/>
          </w:rPr>
          <w:t>COM(2025) 555 final – 2025/0555 (COD), considerando 62</w:t>
        </w:r>
      </w:hyperlink>
      <w:r>
        <w:t>.</w:t>
      </w:r>
    </w:p>
  </w:footnote>
  <w:footnote w:id="16">
    <w:p w14:paraId="376E6B77" w14:textId="4D5519FA" w:rsidR="0090606C" w:rsidRDefault="00601604">
      <w:pPr>
        <w:pStyle w:val="FootnoteText"/>
      </w:pPr>
      <w:r>
        <w:rPr>
          <w:rStyle w:val="FootnoteReference"/>
        </w:rPr>
        <w:footnoteRef/>
      </w:r>
      <w:r>
        <w:tab/>
      </w:r>
      <w:hyperlink r:id="rId23" w:history="1">
        <w:r>
          <w:rPr>
            <w:rStyle w:val="Hyperlink"/>
          </w:rPr>
          <w:t>COM(2025) 555 final – 2025/0555 (COD), considerando 63</w:t>
        </w:r>
      </w:hyperlink>
      <w:r>
        <w:t>.</w:t>
      </w:r>
    </w:p>
  </w:footnote>
  <w:footnote w:id="17">
    <w:p w14:paraId="221D87B4" w14:textId="3D4DF7C1" w:rsidR="0090606C" w:rsidRDefault="00601604">
      <w:pPr>
        <w:pStyle w:val="FootnoteText"/>
      </w:pPr>
      <w:r>
        <w:rPr>
          <w:rStyle w:val="FootnoteReference"/>
        </w:rPr>
        <w:footnoteRef/>
      </w:r>
      <w:r>
        <w:tab/>
      </w:r>
      <w:hyperlink r:id="rId24" w:history="1">
        <w:r>
          <w:rPr>
            <w:rStyle w:val="Hyperlink"/>
          </w:rPr>
          <w:t>COM(2025) 555 final – 2025/0555 (COD), considerando 64</w:t>
        </w:r>
      </w:hyperlink>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733E1F" w14:textId="77777777" w:rsidR="0090606C" w:rsidRPr="00432D8E" w:rsidRDefault="0090606C" w:rsidP="00432D8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A95887" w14:textId="3BF8C1C3" w:rsidR="0090606C" w:rsidRPr="00432D8E" w:rsidRDefault="0090606C" w:rsidP="00432D8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EB323D" w14:textId="77777777" w:rsidR="0090606C" w:rsidRPr="00432D8E" w:rsidRDefault="0090606C" w:rsidP="00432D8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991E7CCC"/>
    <w:lvl w:ilvl="0">
      <w:start w:val="1"/>
      <w:numFmt w:val="decimal"/>
      <w:pStyle w:val="Heading1"/>
      <w:lvlText w:val="%1."/>
      <w:legacy w:legacy="1" w:legacySpace="0" w:legacyIndent="0"/>
      <w:lvlJc w:val="left"/>
      <w:rPr>
        <w:b w:val="0"/>
        <w:bCs w:val="0"/>
      </w:rPr>
    </w:lvl>
    <w:lvl w:ilvl="1">
      <w:start w:val="1"/>
      <w:numFmt w:val="decimal"/>
      <w:pStyle w:val="Heading2"/>
      <w:lvlText w:val="%1.%2"/>
      <w:legacy w:legacy="1" w:legacySpace="144" w:legacyIndent="0"/>
      <w:lvlJc w:val="left"/>
      <w:rPr>
        <w:b w:val="0"/>
        <w:bCs w:val="0"/>
      </w:rPr>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15:restartNumberingAfterBreak="0">
    <w:nsid w:val="00C239EF"/>
    <w:multiLevelType w:val="multilevel"/>
    <w:tmpl w:val="9462F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A05380"/>
    <w:multiLevelType w:val="hybridMultilevel"/>
    <w:tmpl w:val="0578441C"/>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272B563D"/>
    <w:multiLevelType w:val="hybridMultilevel"/>
    <w:tmpl w:val="6ACCA8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AAC080C"/>
    <w:multiLevelType w:val="hybridMultilevel"/>
    <w:tmpl w:val="B652DA40"/>
    <w:lvl w:ilvl="0" w:tplc="080C0017">
      <w:start w:val="1"/>
      <w:numFmt w:val="lowerLetter"/>
      <w:lvlText w:val="%1)"/>
      <w:lvlJc w:val="left"/>
      <w:pPr>
        <w:ind w:left="360" w:hanging="360"/>
      </w:pPr>
    </w:lvl>
    <w:lvl w:ilvl="1" w:tplc="080C0019" w:tentative="1">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5" w15:restartNumberingAfterBreak="0">
    <w:nsid w:val="3BAE4401"/>
    <w:multiLevelType w:val="hybridMultilevel"/>
    <w:tmpl w:val="3A5065D0"/>
    <w:lvl w:ilvl="0" w:tplc="52620F36">
      <w:start w:val="1"/>
      <w:numFmt w:val="lowerLetter"/>
      <w:lvlText w:val="%1)"/>
      <w:lvlJc w:val="left"/>
      <w:pPr>
        <w:ind w:left="720" w:hanging="360"/>
      </w:pPr>
      <w:rPr>
        <w:b w:val="0"/>
        <w:bCs w:val="0"/>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3EEC2C05"/>
    <w:multiLevelType w:val="hybridMultilevel"/>
    <w:tmpl w:val="D52C7A1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8BE5558"/>
    <w:multiLevelType w:val="hybridMultilevel"/>
    <w:tmpl w:val="3E28E23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 w15:restartNumberingAfterBreak="0">
    <w:nsid w:val="4D447DCE"/>
    <w:multiLevelType w:val="hybridMultilevel"/>
    <w:tmpl w:val="00729754"/>
    <w:lvl w:ilvl="0" w:tplc="F64660EC">
      <w:start w:val="1"/>
      <w:numFmt w:val="upperRoman"/>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7981E46"/>
    <w:multiLevelType w:val="hybridMultilevel"/>
    <w:tmpl w:val="01BAA456"/>
    <w:lvl w:ilvl="0" w:tplc="F75C0ABC">
      <w:start w:val="1"/>
      <w:numFmt w:val="lowerLetter"/>
      <w:lvlText w:val="%1)"/>
      <w:lvlJc w:val="left"/>
      <w:pPr>
        <w:ind w:left="360" w:hanging="360"/>
      </w:pPr>
      <w:rPr>
        <w:color w:val="auto"/>
      </w:rPr>
    </w:lvl>
    <w:lvl w:ilvl="1" w:tplc="080C0019" w:tentative="1">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10" w15:restartNumberingAfterBreak="0">
    <w:nsid w:val="6A8F3A17"/>
    <w:multiLevelType w:val="hybridMultilevel"/>
    <w:tmpl w:val="6F9E66CC"/>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1" w15:restartNumberingAfterBreak="0">
    <w:nsid w:val="703B6A5A"/>
    <w:multiLevelType w:val="hybridMultilevel"/>
    <w:tmpl w:val="B9626BE4"/>
    <w:lvl w:ilvl="0" w:tplc="201C4710">
      <w:start w:val="4"/>
      <w:numFmt w:val="bullet"/>
      <w:lvlText w:val="-"/>
      <w:lvlJc w:val="left"/>
      <w:pPr>
        <w:ind w:left="480" w:hanging="360"/>
      </w:pPr>
      <w:rPr>
        <w:rFonts w:ascii="Times New Roman" w:eastAsia="Times New Roman" w:hAnsi="Times New Roman" w:cs="Times New Roman" w:hint="default"/>
      </w:rPr>
    </w:lvl>
    <w:lvl w:ilvl="1" w:tplc="04020003">
      <w:start w:val="1"/>
      <w:numFmt w:val="bullet"/>
      <w:lvlText w:val="o"/>
      <w:lvlJc w:val="left"/>
      <w:pPr>
        <w:ind w:left="1200" w:hanging="360"/>
      </w:pPr>
      <w:rPr>
        <w:rFonts w:ascii="Courier New" w:hAnsi="Courier New" w:cs="Courier New" w:hint="default"/>
      </w:rPr>
    </w:lvl>
    <w:lvl w:ilvl="2" w:tplc="04020005">
      <w:start w:val="1"/>
      <w:numFmt w:val="bullet"/>
      <w:lvlText w:val=""/>
      <w:lvlJc w:val="left"/>
      <w:pPr>
        <w:ind w:left="1920" w:hanging="360"/>
      </w:pPr>
      <w:rPr>
        <w:rFonts w:ascii="Wingdings" w:hAnsi="Wingdings" w:hint="default"/>
      </w:rPr>
    </w:lvl>
    <w:lvl w:ilvl="3" w:tplc="04020001">
      <w:start w:val="1"/>
      <w:numFmt w:val="bullet"/>
      <w:lvlText w:val=""/>
      <w:lvlJc w:val="left"/>
      <w:pPr>
        <w:ind w:left="2640" w:hanging="360"/>
      </w:pPr>
      <w:rPr>
        <w:rFonts w:ascii="Symbol" w:hAnsi="Symbol" w:hint="default"/>
      </w:rPr>
    </w:lvl>
    <w:lvl w:ilvl="4" w:tplc="04020003">
      <w:start w:val="1"/>
      <w:numFmt w:val="bullet"/>
      <w:lvlText w:val="o"/>
      <w:lvlJc w:val="left"/>
      <w:pPr>
        <w:ind w:left="3360" w:hanging="360"/>
      </w:pPr>
      <w:rPr>
        <w:rFonts w:ascii="Courier New" w:hAnsi="Courier New" w:cs="Courier New" w:hint="default"/>
      </w:rPr>
    </w:lvl>
    <w:lvl w:ilvl="5" w:tplc="04020005">
      <w:start w:val="1"/>
      <w:numFmt w:val="bullet"/>
      <w:lvlText w:val=""/>
      <w:lvlJc w:val="left"/>
      <w:pPr>
        <w:ind w:left="4080" w:hanging="360"/>
      </w:pPr>
      <w:rPr>
        <w:rFonts w:ascii="Wingdings" w:hAnsi="Wingdings" w:hint="default"/>
      </w:rPr>
    </w:lvl>
    <w:lvl w:ilvl="6" w:tplc="04020001">
      <w:start w:val="1"/>
      <w:numFmt w:val="bullet"/>
      <w:lvlText w:val=""/>
      <w:lvlJc w:val="left"/>
      <w:pPr>
        <w:ind w:left="4800" w:hanging="360"/>
      </w:pPr>
      <w:rPr>
        <w:rFonts w:ascii="Symbol" w:hAnsi="Symbol" w:hint="default"/>
      </w:rPr>
    </w:lvl>
    <w:lvl w:ilvl="7" w:tplc="04020003">
      <w:start w:val="1"/>
      <w:numFmt w:val="bullet"/>
      <w:lvlText w:val="o"/>
      <w:lvlJc w:val="left"/>
      <w:pPr>
        <w:ind w:left="5520" w:hanging="360"/>
      </w:pPr>
      <w:rPr>
        <w:rFonts w:ascii="Courier New" w:hAnsi="Courier New" w:cs="Courier New" w:hint="default"/>
      </w:rPr>
    </w:lvl>
    <w:lvl w:ilvl="8" w:tplc="04020005">
      <w:start w:val="1"/>
      <w:numFmt w:val="bullet"/>
      <w:lvlText w:val=""/>
      <w:lvlJc w:val="left"/>
      <w:pPr>
        <w:ind w:left="6240" w:hanging="360"/>
      </w:pPr>
      <w:rPr>
        <w:rFonts w:ascii="Wingdings" w:hAnsi="Wingdings" w:hint="default"/>
      </w:rPr>
    </w:lvl>
  </w:abstractNum>
  <w:abstractNum w:abstractNumId="12" w15:restartNumberingAfterBreak="0">
    <w:nsid w:val="740C5072"/>
    <w:multiLevelType w:val="hybridMultilevel"/>
    <w:tmpl w:val="F22ACF22"/>
    <w:lvl w:ilvl="0" w:tplc="040B0001">
      <w:start w:val="1"/>
      <w:numFmt w:val="bullet"/>
      <w:lvlText w:val=""/>
      <w:lvlJc w:val="left"/>
      <w:pPr>
        <w:ind w:left="1440" w:hanging="360"/>
      </w:pPr>
      <w:rPr>
        <w:rFonts w:ascii="Symbol" w:hAnsi="Symbol" w:hint="default"/>
      </w:rPr>
    </w:lvl>
    <w:lvl w:ilvl="1" w:tplc="040B0003" w:tentative="1">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13" w15:restartNumberingAfterBreak="0">
    <w:nsid w:val="78B47322"/>
    <w:multiLevelType w:val="hybridMultilevel"/>
    <w:tmpl w:val="3C3C1E20"/>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4" w15:restartNumberingAfterBreak="0">
    <w:nsid w:val="7E281574"/>
    <w:multiLevelType w:val="hybridMultilevel"/>
    <w:tmpl w:val="6F9E66CC"/>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8"/>
  </w:num>
  <w:num w:numId="2">
    <w:abstractNumId w:val="0"/>
  </w:num>
  <w:num w:numId="3">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num>
  <w:num w:numId="5">
    <w:abstractNumId w:val="3"/>
  </w:num>
  <w:num w:numId="6">
    <w:abstractNumId w:val="1"/>
  </w:num>
  <w:num w:numId="7">
    <w:abstractNumId w:val="5"/>
  </w:num>
  <w:num w:numId="8">
    <w:abstractNumId w:val="10"/>
  </w:num>
  <w:num w:numId="9">
    <w:abstractNumId w:val="14"/>
  </w:num>
  <w:num w:numId="10">
    <w:abstractNumId w:val="13"/>
  </w:num>
  <w:num w:numId="11">
    <w:abstractNumId w:val="2"/>
  </w:num>
  <w:num w:numId="12">
    <w:abstractNumId w:val="9"/>
  </w:num>
  <w:num w:numId="13">
    <w:abstractNumId w:val="4"/>
  </w:num>
  <w:num w:numId="14">
    <w:abstractNumId w:val="1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4"/>
    </w:lvlOverride>
    <w:lvlOverride w:ilvl="1">
      <w:startOverride w:val="2"/>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12"/>
  </w:num>
  <w:num w:numId="1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num>
  <w:num w:numId="21">
    <w:abstractNumId w:val="0"/>
    <w:lvlOverride w:ilvl="0">
      <w:startOverride w:val="3"/>
    </w:lvlOverride>
  </w:num>
  <w:num w:numId="22">
    <w:abstractNumId w:val="0"/>
    <w:lvlOverride w:ilvl="0">
      <w:startOverride w:val="3"/>
    </w:lvlOverride>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embedSystemFonts/>
  <w:proofState w:spelling="clean" w:grammar="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doNotHyphenateCaps/>
  <w:drawingGridHorizontalSpacing w:val="110"/>
  <w:drawingGridVerticalSpacing w:val="299"/>
  <w:displayHorizontalDrawingGridEvery w:val="2"/>
  <w:displayVerticalDrawingGridEvery w:val="0"/>
  <w:noPunctuationKerning/>
  <w:characterSpacingControl w:val="doNotCompress"/>
  <w:doNotValidateAgainstSchema/>
  <w:doNotDemarcateInvalidXml/>
  <w:hdrShapeDefaults>
    <o:shapedefaults v:ext="edit" spidmax="716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F8F"/>
    <w:rsid w:val="000000C1"/>
    <w:rsid w:val="00000571"/>
    <w:rsid w:val="00000D0F"/>
    <w:rsid w:val="00001642"/>
    <w:rsid w:val="0000235E"/>
    <w:rsid w:val="00002741"/>
    <w:rsid w:val="00002B9F"/>
    <w:rsid w:val="00002FA7"/>
    <w:rsid w:val="00003646"/>
    <w:rsid w:val="00003A2F"/>
    <w:rsid w:val="00003F4C"/>
    <w:rsid w:val="00004050"/>
    <w:rsid w:val="00004188"/>
    <w:rsid w:val="00004856"/>
    <w:rsid w:val="00005AB9"/>
    <w:rsid w:val="00005EB9"/>
    <w:rsid w:val="00006217"/>
    <w:rsid w:val="00006912"/>
    <w:rsid w:val="00006BAD"/>
    <w:rsid w:val="00006E24"/>
    <w:rsid w:val="00007062"/>
    <w:rsid w:val="00007302"/>
    <w:rsid w:val="0000736E"/>
    <w:rsid w:val="00007560"/>
    <w:rsid w:val="000075E1"/>
    <w:rsid w:val="0000763E"/>
    <w:rsid w:val="00007A40"/>
    <w:rsid w:val="00011DA2"/>
    <w:rsid w:val="00012627"/>
    <w:rsid w:val="000128CD"/>
    <w:rsid w:val="00013F77"/>
    <w:rsid w:val="0001417B"/>
    <w:rsid w:val="0001472D"/>
    <w:rsid w:val="00015EA8"/>
    <w:rsid w:val="00016211"/>
    <w:rsid w:val="00016E22"/>
    <w:rsid w:val="00017391"/>
    <w:rsid w:val="00017B45"/>
    <w:rsid w:val="00020138"/>
    <w:rsid w:val="00020E6E"/>
    <w:rsid w:val="00022182"/>
    <w:rsid w:val="0002229F"/>
    <w:rsid w:val="000229C4"/>
    <w:rsid w:val="000229CD"/>
    <w:rsid w:val="00022A73"/>
    <w:rsid w:val="000242C4"/>
    <w:rsid w:val="00024685"/>
    <w:rsid w:val="00024D96"/>
    <w:rsid w:val="000255B3"/>
    <w:rsid w:val="00025D0E"/>
    <w:rsid w:val="00026608"/>
    <w:rsid w:val="000266E1"/>
    <w:rsid w:val="00026A08"/>
    <w:rsid w:val="00030973"/>
    <w:rsid w:val="00030E19"/>
    <w:rsid w:val="00030E72"/>
    <w:rsid w:val="00030F6C"/>
    <w:rsid w:val="000318A2"/>
    <w:rsid w:val="00031A4B"/>
    <w:rsid w:val="00031BFB"/>
    <w:rsid w:val="00032A1E"/>
    <w:rsid w:val="00032B76"/>
    <w:rsid w:val="000338E9"/>
    <w:rsid w:val="00033913"/>
    <w:rsid w:val="00033AFC"/>
    <w:rsid w:val="00033B4B"/>
    <w:rsid w:val="00033DB4"/>
    <w:rsid w:val="00033E5B"/>
    <w:rsid w:val="0003525D"/>
    <w:rsid w:val="000357A8"/>
    <w:rsid w:val="00035894"/>
    <w:rsid w:val="000377E7"/>
    <w:rsid w:val="00041305"/>
    <w:rsid w:val="000430A6"/>
    <w:rsid w:val="00044576"/>
    <w:rsid w:val="000446AF"/>
    <w:rsid w:val="00044923"/>
    <w:rsid w:val="000449C7"/>
    <w:rsid w:val="000458A4"/>
    <w:rsid w:val="00046BEA"/>
    <w:rsid w:val="00046E60"/>
    <w:rsid w:val="00046FAB"/>
    <w:rsid w:val="0005249C"/>
    <w:rsid w:val="00052551"/>
    <w:rsid w:val="000534A5"/>
    <w:rsid w:val="0005398E"/>
    <w:rsid w:val="0005435D"/>
    <w:rsid w:val="00054415"/>
    <w:rsid w:val="00054D94"/>
    <w:rsid w:val="00055094"/>
    <w:rsid w:val="000552FC"/>
    <w:rsid w:val="0005592F"/>
    <w:rsid w:val="00055A39"/>
    <w:rsid w:val="0005680D"/>
    <w:rsid w:val="00056DF4"/>
    <w:rsid w:val="00057433"/>
    <w:rsid w:val="0006012D"/>
    <w:rsid w:val="000608E4"/>
    <w:rsid w:val="00060B3D"/>
    <w:rsid w:val="00060EC5"/>
    <w:rsid w:val="00061FBF"/>
    <w:rsid w:val="000624E2"/>
    <w:rsid w:val="00062940"/>
    <w:rsid w:val="00062AD8"/>
    <w:rsid w:val="00062C52"/>
    <w:rsid w:val="00063389"/>
    <w:rsid w:val="00063763"/>
    <w:rsid w:val="0006385B"/>
    <w:rsid w:val="00063FB4"/>
    <w:rsid w:val="0006416A"/>
    <w:rsid w:val="000643AE"/>
    <w:rsid w:val="00064AA5"/>
    <w:rsid w:val="00064DD3"/>
    <w:rsid w:val="00065656"/>
    <w:rsid w:val="0006674E"/>
    <w:rsid w:val="000668AF"/>
    <w:rsid w:val="0006793E"/>
    <w:rsid w:val="00067A9B"/>
    <w:rsid w:val="00067C03"/>
    <w:rsid w:val="00072CC6"/>
    <w:rsid w:val="00072E0F"/>
    <w:rsid w:val="00073124"/>
    <w:rsid w:val="000735E5"/>
    <w:rsid w:val="0007392F"/>
    <w:rsid w:val="00074960"/>
    <w:rsid w:val="00075538"/>
    <w:rsid w:val="000769FB"/>
    <w:rsid w:val="00076F2D"/>
    <w:rsid w:val="00077E7C"/>
    <w:rsid w:val="00080042"/>
    <w:rsid w:val="00080F33"/>
    <w:rsid w:val="0008166C"/>
    <w:rsid w:val="00081D29"/>
    <w:rsid w:val="00082D59"/>
    <w:rsid w:val="00083005"/>
    <w:rsid w:val="0008339D"/>
    <w:rsid w:val="0008380C"/>
    <w:rsid w:val="00083CB5"/>
    <w:rsid w:val="00083CB8"/>
    <w:rsid w:val="000853C3"/>
    <w:rsid w:val="000854F1"/>
    <w:rsid w:val="000855B7"/>
    <w:rsid w:val="00085FA8"/>
    <w:rsid w:val="0008717F"/>
    <w:rsid w:val="000876F0"/>
    <w:rsid w:val="00087B39"/>
    <w:rsid w:val="00091DB5"/>
    <w:rsid w:val="00092A52"/>
    <w:rsid w:val="00092C9E"/>
    <w:rsid w:val="00093DCE"/>
    <w:rsid w:val="00093DE0"/>
    <w:rsid w:val="00094226"/>
    <w:rsid w:val="000943A9"/>
    <w:rsid w:val="0009484C"/>
    <w:rsid w:val="000948A2"/>
    <w:rsid w:val="00094ACC"/>
    <w:rsid w:val="00095279"/>
    <w:rsid w:val="00095701"/>
    <w:rsid w:val="0009643C"/>
    <w:rsid w:val="00096502"/>
    <w:rsid w:val="00096A64"/>
    <w:rsid w:val="00097E3F"/>
    <w:rsid w:val="000A08A7"/>
    <w:rsid w:val="000A0F76"/>
    <w:rsid w:val="000A23E3"/>
    <w:rsid w:val="000A3061"/>
    <w:rsid w:val="000A36B3"/>
    <w:rsid w:val="000A3D44"/>
    <w:rsid w:val="000A4385"/>
    <w:rsid w:val="000A49BB"/>
    <w:rsid w:val="000A54A5"/>
    <w:rsid w:val="000A5670"/>
    <w:rsid w:val="000A5829"/>
    <w:rsid w:val="000A5D7F"/>
    <w:rsid w:val="000A5E1D"/>
    <w:rsid w:val="000A621F"/>
    <w:rsid w:val="000A6251"/>
    <w:rsid w:val="000A64AE"/>
    <w:rsid w:val="000A7851"/>
    <w:rsid w:val="000A7B61"/>
    <w:rsid w:val="000B03A9"/>
    <w:rsid w:val="000B0CC8"/>
    <w:rsid w:val="000B106A"/>
    <w:rsid w:val="000B1073"/>
    <w:rsid w:val="000B24D9"/>
    <w:rsid w:val="000B349A"/>
    <w:rsid w:val="000B4774"/>
    <w:rsid w:val="000B5226"/>
    <w:rsid w:val="000B5C3F"/>
    <w:rsid w:val="000B5CF0"/>
    <w:rsid w:val="000B5F7B"/>
    <w:rsid w:val="000B67C2"/>
    <w:rsid w:val="000B68FA"/>
    <w:rsid w:val="000B6BA4"/>
    <w:rsid w:val="000B7369"/>
    <w:rsid w:val="000B7390"/>
    <w:rsid w:val="000B7545"/>
    <w:rsid w:val="000B77C8"/>
    <w:rsid w:val="000B79A7"/>
    <w:rsid w:val="000B7D06"/>
    <w:rsid w:val="000C095C"/>
    <w:rsid w:val="000C1524"/>
    <w:rsid w:val="000C3129"/>
    <w:rsid w:val="000C3441"/>
    <w:rsid w:val="000C3BEF"/>
    <w:rsid w:val="000C3C13"/>
    <w:rsid w:val="000C4328"/>
    <w:rsid w:val="000C4C09"/>
    <w:rsid w:val="000C5127"/>
    <w:rsid w:val="000C536A"/>
    <w:rsid w:val="000C54B1"/>
    <w:rsid w:val="000C5DA0"/>
    <w:rsid w:val="000C6B0C"/>
    <w:rsid w:val="000C6FED"/>
    <w:rsid w:val="000C70D6"/>
    <w:rsid w:val="000C7582"/>
    <w:rsid w:val="000C761B"/>
    <w:rsid w:val="000C7AFF"/>
    <w:rsid w:val="000C7BBE"/>
    <w:rsid w:val="000C7C5F"/>
    <w:rsid w:val="000C7E8E"/>
    <w:rsid w:val="000C7F53"/>
    <w:rsid w:val="000D01FF"/>
    <w:rsid w:val="000D0527"/>
    <w:rsid w:val="000D0A25"/>
    <w:rsid w:val="000D18A9"/>
    <w:rsid w:val="000D1A43"/>
    <w:rsid w:val="000D2215"/>
    <w:rsid w:val="000D2F8E"/>
    <w:rsid w:val="000D35B8"/>
    <w:rsid w:val="000D3BB3"/>
    <w:rsid w:val="000D3DA9"/>
    <w:rsid w:val="000D4E00"/>
    <w:rsid w:val="000D5881"/>
    <w:rsid w:val="000D6892"/>
    <w:rsid w:val="000D6CBA"/>
    <w:rsid w:val="000E03F7"/>
    <w:rsid w:val="000E09C2"/>
    <w:rsid w:val="000E235C"/>
    <w:rsid w:val="000E3187"/>
    <w:rsid w:val="000E3D1B"/>
    <w:rsid w:val="000E423D"/>
    <w:rsid w:val="000E514C"/>
    <w:rsid w:val="000E556D"/>
    <w:rsid w:val="000E5A1C"/>
    <w:rsid w:val="000E6DD2"/>
    <w:rsid w:val="000E7397"/>
    <w:rsid w:val="000E7564"/>
    <w:rsid w:val="000F099E"/>
    <w:rsid w:val="000F124B"/>
    <w:rsid w:val="000F1827"/>
    <w:rsid w:val="000F196B"/>
    <w:rsid w:val="000F1BF2"/>
    <w:rsid w:val="000F242E"/>
    <w:rsid w:val="000F251D"/>
    <w:rsid w:val="000F2898"/>
    <w:rsid w:val="000F2CBF"/>
    <w:rsid w:val="000F41C2"/>
    <w:rsid w:val="000F4B92"/>
    <w:rsid w:val="000F5DD2"/>
    <w:rsid w:val="000F72D2"/>
    <w:rsid w:val="00101352"/>
    <w:rsid w:val="0010241C"/>
    <w:rsid w:val="0010281D"/>
    <w:rsid w:val="00102D37"/>
    <w:rsid w:val="00103FE1"/>
    <w:rsid w:val="001041DC"/>
    <w:rsid w:val="001046B7"/>
    <w:rsid w:val="001050A0"/>
    <w:rsid w:val="00105361"/>
    <w:rsid w:val="001061CB"/>
    <w:rsid w:val="001064F3"/>
    <w:rsid w:val="00106D43"/>
    <w:rsid w:val="00106E23"/>
    <w:rsid w:val="00107235"/>
    <w:rsid w:val="00107982"/>
    <w:rsid w:val="001101F8"/>
    <w:rsid w:val="00111136"/>
    <w:rsid w:val="00111330"/>
    <w:rsid w:val="001116BD"/>
    <w:rsid w:val="00111995"/>
    <w:rsid w:val="00111A0D"/>
    <w:rsid w:val="0011206F"/>
    <w:rsid w:val="0011240F"/>
    <w:rsid w:val="00112DDB"/>
    <w:rsid w:val="00113A9A"/>
    <w:rsid w:val="00113F77"/>
    <w:rsid w:val="0011498A"/>
    <w:rsid w:val="0011538E"/>
    <w:rsid w:val="00115815"/>
    <w:rsid w:val="001164F5"/>
    <w:rsid w:val="0011656A"/>
    <w:rsid w:val="00117AB2"/>
    <w:rsid w:val="001208A1"/>
    <w:rsid w:val="00120987"/>
    <w:rsid w:val="00120C8B"/>
    <w:rsid w:val="00120E2F"/>
    <w:rsid w:val="00120E55"/>
    <w:rsid w:val="0012220C"/>
    <w:rsid w:val="00122327"/>
    <w:rsid w:val="00125835"/>
    <w:rsid w:val="00126630"/>
    <w:rsid w:val="00126BEB"/>
    <w:rsid w:val="00126C54"/>
    <w:rsid w:val="0012704E"/>
    <w:rsid w:val="00127387"/>
    <w:rsid w:val="00127493"/>
    <w:rsid w:val="00130928"/>
    <w:rsid w:val="00130983"/>
    <w:rsid w:val="00130BEC"/>
    <w:rsid w:val="00130DB0"/>
    <w:rsid w:val="00131982"/>
    <w:rsid w:val="00131F18"/>
    <w:rsid w:val="00131F37"/>
    <w:rsid w:val="0013362B"/>
    <w:rsid w:val="00133635"/>
    <w:rsid w:val="00133D9F"/>
    <w:rsid w:val="0013447C"/>
    <w:rsid w:val="00134583"/>
    <w:rsid w:val="00134E8C"/>
    <w:rsid w:val="001352EB"/>
    <w:rsid w:val="0013549B"/>
    <w:rsid w:val="00136531"/>
    <w:rsid w:val="00136A0D"/>
    <w:rsid w:val="00136EA3"/>
    <w:rsid w:val="00137575"/>
    <w:rsid w:val="00137808"/>
    <w:rsid w:val="00137CE2"/>
    <w:rsid w:val="00140323"/>
    <w:rsid w:val="0014036C"/>
    <w:rsid w:val="00140503"/>
    <w:rsid w:val="00140917"/>
    <w:rsid w:val="00141500"/>
    <w:rsid w:val="00141B3D"/>
    <w:rsid w:val="00142120"/>
    <w:rsid w:val="0014346D"/>
    <w:rsid w:val="00144231"/>
    <w:rsid w:val="001444BA"/>
    <w:rsid w:val="0014479F"/>
    <w:rsid w:val="001447DB"/>
    <w:rsid w:val="00144D19"/>
    <w:rsid w:val="00144DB0"/>
    <w:rsid w:val="00145470"/>
    <w:rsid w:val="00145838"/>
    <w:rsid w:val="0014636D"/>
    <w:rsid w:val="0014781D"/>
    <w:rsid w:val="00147BCA"/>
    <w:rsid w:val="00150434"/>
    <w:rsid w:val="0015084F"/>
    <w:rsid w:val="00151AAF"/>
    <w:rsid w:val="00152187"/>
    <w:rsid w:val="0015344E"/>
    <w:rsid w:val="001549A1"/>
    <w:rsid w:val="00154A79"/>
    <w:rsid w:val="001554E5"/>
    <w:rsid w:val="00155721"/>
    <w:rsid w:val="00155729"/>
    <w:rsid w:val="00155755"/>
    <w:rsid w:val="00156115"/>
    <w:rsid w:val="001579E5"/>
    <w:rsid w:val="00157E2B"/>
    <w:rsid w:val="001607A6"/>
    <w:rsid w:val="00160801"/>
    <w:rsid w:val="00161C0F"/>
    <w:rsid w:val="00163AFD"/>
    <w:rsid w:val="00163ED0"/>
    <w:rsid w:val="00164320"/>
    <w:rsid w:val="0016503F"/>
    <w:rsid w:val="00165131"/>
    <w:rsid w:val="0016674F"/>
    <w:rsid w:val="0016697C"/>
    <w:rsid w:val="00166B91"/>
    <w:rsid w:val="00167CA0"/>
    <w:rsid w:val="00170418"/>
    <w:rsid w:val="00170DF1"/>
    <w:rsid w:val="00171019"/>
    <w:rsid w:val="0017120D"/>
    <w:rsid w:val="001714F6"/>
    <w:rsid w:val="0017263F"/>
    <w:rsid w:val="00172A93"/>
    <w:rsid w:val="00175260"/>
    <w:rsid w:val="0017536B"/>
    <w:rsid w:val="00175823"/>
    <w:rsid w:val="0017597F"/>
    <w:rsid w:val="00175CD1"/>
    <w:rsid w:val="00175E26"/>
    <w:rsid w:val="00176168"/>
    <w:rsid w:val="0017650C"/>
    <w:rsid w:val="00176564"/>
    <w:rsid w:val="001766E3"/>
    <w:rsid w:val="00176CC6"/>
    <w:rsid w:val="00177028"/>
    <w:rsid w:val="00177158"/>
    <w:rsid w:val="00177B47"/>
    <w:rsid w:val="00181C57"/>
    <w:rsid w:val="0018206C"/>
    <w:rsid w:val="00182A2A"/>
    <w:rsid w:val="00182ECA"/>
    <w:rsid w:val="001831DB"/>
    <w:rsid w:val="00183E8C"/>
    <w:rsid w:val="0018421F"/>
    <w:rsid w:val="001843DE"/>
    <w:rsid w:val="00184FD4"/>
    <w:rsid w:val="00185DA5"/>
    <w:rsid w:val="0018609B"/>
    <w:rsid w:val="00186B04"/>
    <w:rsid w:val="00186F1E"/>
    <w:rsid w:val="00187DD3"/>
    <w:rsid w:val="001902FB"/>
    <w:rsid w:val="00190836"/>
    <w:rsid w:val="00190B4F"/>
    <w:rsid w:val="00190DD1"/>
    <w:rsid w:val="001916A1"/>
    <w:rsid w:val="001918EC"/>
    <w:rsid w:val="00191E06"/>
    <w:rsid w:val="00191F29"/>
    <w:rsid w:val="0019344F"/>
    <w:rsid w:val="00193460"/>
    <w:rsid w:val="0019354A"/>
    <w:rsid w:val="00193832"/>
    <w:rsid w:val="00193930"/>
    <w:rsid w:val="001944E9"/>
    <w:rsid w:val="00194B36"/>
    <w:rsid w:val="00194F66"/>
    <w:rsid w:val="001963A5"/>
    <w:rsid w:val="00196F1E"/>
    <w:rsid w:val="00196FBA"/>
    <w:rsid w:val="00197CFF"/>
    <w:rsid w:val="00197FCA"/>
    <w:rsid w:val="001A0211"/>
    <w:rsid w:val="001A08E3"/>
    <w:rsid w:val="001A0C9B"/>
    <w:rsid w:val="001A0FA8"/>
    <w:rsid w:val="001A1869"/>
    <w:rsid w:val="001A1C55"/>
    <w:rsid w:val="001A1FC3"/>
    <w:rsid w:val="001A24CB"/>
    <w:rsid w:val="001A27DB"/>
    <w:rsid w:val="001A529D"/>
    <w:rsid w:val="001A6852"/>
    <w:rsid w:val="001A6D93"/>
    <w:rsid w:val="001A7AB7"/>
    <w:rsid w:val="001B02A8"/>
    <w:rsid w:val="001B054B"/>
    <w:rsid w:val="001B19C6"/>
    <w:rsid w:val="001B2609"/>
    <w:rsid w:val="001B286A"/>
    <w:rsid w:val="001B2BA6"/>
    <w:rsid w:val="001B2D02"/>
    <w:rsid w:val="001B300F"/>
    <w:rsid w:val="001B3647"/>
    <w:rsid w:val="001B3A1F"/>
    <w:rsid w:val="001B3F2A"/>
    <w:rsid w:val="001B4DE7"/>
    <w:rsid w:val="001B659A"/>
    <w:rsid w:val="001B72FF"/>
    <w:rsid w:val="001B7708"/>
    <w:rsid w:val="001B77FA"/>
    <w:rsid w:val="001B79BE"/>
    <w:rsid w:val="001B7E07"/>
    <w:rsid w:val="001C0ABE"/>
    <w:rsid w:val="001C0B62"/>
    <w:rsid w:val="001C0D92"/>
    <w:rsid w:val="001C19F4"/>
    <w:rsid w:val="001C1CEB"/>
    <w:rsid w:val="001C1FFC"/>
    <w:rsid w:val="001C20B0"/>
    <w:rsid w:val="001C264C"/>
    <w:rsid w:val="001C2981"/>
    <w:rsid w:val="001C38B5"/>
    <w:rsid w:val="001C3BFA"/>
    <w:rsid w:val="001C4250"/>
    <w:rsid w:val="001C4A77"/>
    <w:rsid w:val="001C4AA3"/>
    <w:rsid w:val="001C4D9E"/>
    <w:rsid w:val="001C50F1"/>
    <w:rsid w:val="001C510A"/>
    <w:rsid w:val="001C5852"/>
    <w:rsid w:val="001C6856"/>
    <w:rsid w:val="001C69A5"/>
    <w:rsid w:val="001C7B6D"/>
    <w:rsid w:val="001D040A"/>
    <w:rsid w:val="001D0B67"/>
    <w:rsid w:val="001D19EB"/>
    <w:rsid w:val="001D201F"/>
    <w:rsid w:val="001D236F"/>
    <w:rsid w:val="001D3C4F"/>
    <w:rsid w:val="001D4556"/>
    <w:rsid w:val="001D45F0"/>
    <w:rsid w:val="001D4B77"/>
    <w:rsid w:val="001D5219"/>
    <w:rsid w:val="001D549B"/>
    <w:rsid w:val="001D6D46"/>
    <w:rsid w:val="001D6F62"/>
    <w:rsid w:val="001E05F9"/>
    <w:rsid w:val="001E0E7C"/>
    <w:rsid w:val="001E1335"/>
    <w:rsid w:val="001E1D16"/>
    <w:rsid w:val="001E227F"/>
    <w:rsid w:val="001E2610"/>
    <w:rsid w:val="001E4A33"/>
    <w:rsid w:val="001E5C27"/>
    <w:rsid w:val="001E6CAF"/>
    <w:rsid w:val="001E7117"/>
    <w:rsid w:val="001E789A"/>
    <w:rsid w:val="001F0B56"/>
    <w:rsid w:val="001F0EEB"/>
    <w:rsid w:val="001F110E"/>
    <w:rsid w:val="001F223A"/>
    <w:rsid w:val="001F2A2F"/>
    <w:rsid w:val="001F2BEB"/>
    <w:rsid w:val="001F371A"/>
    <w:rsid w:val="001F3853"/>
    <w:rsid w:val="001F5A94"/>
    <w:rsid w:val="001F602B"/>
    <w:rsid w:val="001F6AC8"/>
    <w:rsid w:val="001F7712"/>
    <w:rsid w:val="001F78DF"/>
    <w:rsid w:val="001F7A4D"/>
    <w:rsid w:val="001F7F4B"/>
    <w:rsid w:val="001F7F4C"/>
    <w:rsid w:val="00200540"/>
    <w:rsid w:val="0020057B"/>
    <w:rsid w:val="00200E75"/>
    <w:rsid w:val="002014DE"/>
    <w:rsid w:val="0020189B"/>
    <w:rsid w:val="002023F8"/>
    <w:rsid w:val="002024A8"/>
    <w:rsid w:val="002024E9"/>
    <w:rsid w:val="0020269F"/>
    <w:rsid w:val="002031DC"/>
    <w:rsid w:val="002031F9"/>
    <w:rsid w:val="00203741"/>
    <w:rsid w:val="002037D5"/>
    <w:rsid w:val="00203CCF"/>
    <w:rsid w:val="00204DD2"/>
    <w:rsid w:val="00204F81"/>
    <w:rsid w:val="002050E1"/>
    <w:rsid w:val="00205BC8"/>
    <w:rsid w:val="00205FB0"/>
    <w:rsid w:val="00206F90"/>
    <w:rsid w:val="00207500"/>
    <w:rsid w:val="00207B24"/>
    <w:rsid w:val="0021000D"/>
    <w:rsid w:val="002110FD"/>
    <w:rsid w:val="002115E5"/>
    <w:rsid w:val="00211D67"/>
    <w:rsid w:val="00212B03"/>
    <w:rsid w:val="002134AD"/>
    <w:rsid w:val="002142B8"/>
    <w:rsid w:val="00214394"/>
    <w:rsid w:val="00214410"/>
    <w:rsid w:val="00214BE4"/>
    <w:rsid w:val="00215828"/>
    <w:rsid w:val="002158CA"/>
    <w:rsid w:val="00215B56"/>
    <w:rsid w:val="00215C10"/>
    <w:rsid w:val="00215C2D"/>
    <w:rsid w:val="0021619E"/>
    <w:rsid w:val="00216B49"/>
    <w:rsid w:val="00216DC7"/>
    <w:rsid w:val="00217576"/>
    <w:rsid w:val="00217AD9"/>
    <w:rsid w:val="00217FA8"/>
    <w:rsid w:val="00220713"/>
    <w:rsid w:val="00220815"/>
    <w:rsid w:val="00220F59"/>
    <w:rsid w:val="002211D0"/>
    <w:rsid w:val="00221A06"/>
    <w:rsid w:val="00221A66"/>
    <w:rsid w:val="00222EC1"/>
    <w:rsid w:val="0022388F"/>
    <w:rsid w:val="0022399E"/>
    <w:rsid w:val="00224AF6"/>
    <w:rsid w:val="002252C4"/>
    <w:rsid w:val="0022541A"/>
    <w:rsid w:val="00226221"/>
    <w:rsid w:val="002267D2"/>
    <w:rsid w:val="00226A7C"/>
    <w:rsid w:val="00227E09"/>
    <w:rsid w:val="002313CF"/>
    <w:rsid w:val="0023140A"/>
    <w:rsid w:val="0023183A"/>
    <w:rsid w:val="0023183E"/>
    <w:rsid w:val="00232B04"/>
    <w:rsid w:val="00232F88"/>
    <w:rsid w:val="002330FC"/>
    <w:rsid w:val="00233227"/>
    <w:rsid w:val="0023377C"/>
    <w:rsid w:val="00233860"/>
    <w:rsid w:val="00233BB3"/>
    <w:rsid w:val="002340B7"/>
    <w:rsid w:val="00234A23"/>
    <w:rsid w:val="00235138"/>
    <w:rsid w:val="002356DD"/>
    <w:rsid w:val="00236BDA"/>
    <w:rsid w:val="00237E1D"/>
    <w:rsid w:val="0024002E"/>
    <w:rsid w:val="00241116"/>
    <w:rsid w:val="002411EE"/>
    <w:rsid w:val="002434ED"/>
    <w:rsid w:val="00243CF0"/>
    <w:rsid w:val="00243E36"/>
    <w:rsid w:val="00244393"/>
    <w:rsid w:val="0024540B"/>
    <w:rsid w:val="00245EF4"/>
    <w:rsid w:val="00245F43"/>
    <w:rsid w:val="002469D3"/>
    <w:rsid w:val="00246B00"/>
    <w:rsid w:val="00247AB0"/>
    <w:rsid w:val="00250E11"/>
    <w:rsid w:val="00250F3F"/>
    <w:rsid w:val="00251383"/>
    <w:rsid w:val="00251568"/>
    <w:rsid w:val="00251754"/>
    <w:rsid w:val="002522C9"/>
    <w:rsid w:val="00252A21"/>
    <w:rsid w:val="00253E4F"/>
    <w:rsid w:val="002542E4"/>
    <w:rsid w:val="0025540F"/>
    <w:rsid w:val="00256502"/>
    <w:rsid w:val="00256B6E"/>
    <w:rsid w:val="00257469"/>
    <w:rsid w:val="00257E7F"/>
    <w:rsid w:val="002602E5"/>
    <w:rsid w:val="00261053"/>
    <w:rsid w:val="002619A4"/>
    <w:rsid w:val="00261D79"/>
    <w:rsid w:val="0026220E"/>
    <w:rsid w:val="00262416"/>
    <w:rsid w:val="002624E5"/>
    <w:rsid w:val="00262FDE"/>
    <w:rsid w:val="00263629"/>
    <w:rsid w:val="00263E94"/>
    <w:rsid w:val="00263F28"/>
    <w:rsid w:val="002641D0"/>
    <w:rsid w:val="00265151"/>
    <w:rsid w:val="002663DC"/>
    <w:rsid w:val="00266A3B"/>
    <w:rsid w:val="0026785C"/>
    <w:rsid w:val="0027010A"/>
    <w:rsid w:val="002715EE"/>
    <w:rsid w:val="00272583"/>
    <w:rsid w:val="00273005"/>
    <w:rsid w:val="002733E5"/>
    <w:rsid w:val="00274649"/>
    <w:rsid w:val="0027499E"/>
    <w:rsid w:val="0027540A"/>
    <w:rsid w:val="00275E25"/>
    <w:rsid w:val="002764E0"/>
    <w:rsid w:val="00276930"/>
    <w:rsid w:val="002769BD"/>
    <w:rsid w:val="0028009F"/>
    <w:rsid w:val="00280912"/>
    <w:rsid w:val="002809EA"/>
    <w:rsid w:val="00280BE8"/>
    <w:rsid w:val="00280D5C"/>
    <w:rsid w:val="00280ED8"/>
    <w:rsid w:val="002812B8"/>
    <w:rsid w:val="00282B61"/>
    <w:rsid w:val="00283DCE"/>
    <w:rsid w:val="002845B9"/>
    <w:rsid w:val="002846C2"/>
    <w:rsid w:val="00284962"/>
    <w:rsid w:val="00284C67"/>
    <w:rsid w:val="00285CE0"/>
    <w:rsid w:val="00286280"/>
    <w:rsid w:val="00286318"/>
    <w:rsid w:val="00286CAE"/>
    <w:rsid w:val="00287414"/>
    <w:rsid w:val="002874BC"/>
    <w:rsid w:val="00287B0E"/>
    <w:rsid w:val="002901A7"/>
    <w:rsid w:val="00290D7E"/>
    <w:rsid w:val="002915C8"/>
    <w:rsid w:val="00293914"/>
    <w:rsid w:val="00293C9D"/>
    <w:rsid w:val="00293E1F"/>
    <w:rsid w:val="00295327"/>
    <w:rsid w:val="0029549C"/>
    <w:rsid w:val="002954B9"/>
    <w:rsid w:val="00295E76"/>
    <w:rsid w:val="00296554"/>
    <w:rsid w:val="00296829"/>
    <w:rsid w:val="002977EC"/>
    <w:rsid w:val="002A07A1"/>
    <w:rsid w:val="002A0B53"/>
    <w:rsid w:val="002A0EEF"/>
    <w:rsid w:val="002A173F"/>
    <w:rsid w:val="002A266B"/>
    <w:rsid w:val="002A28C9"/>
    <w:rsid w:val="002A2A7F"/>
    <w:rsid w:val="002A351C"/>
    <w:rsid w:val="002A478B"/>
    <w:rsid w:val="002A62C7"/>
    <w:rsid w:val="002A6949"/>
    <w:rsid w:val="002A6A34"/>
    <w:rsid w:val="002B1A65"/>
    <w:rsid w:val="002B1D88"/>
    <w:rsid w:val="002B2300"/>
    <w:rsid w:val="002B2316"/>
    <w:rsid w:val="002B2DF7"/>
    <w:rsid w:val="002B325E"/>
    <w:rsid w:val="002B33FF"/>
    <w:rsid w:val="002B3A28"/>
    <w:rsid w:val="002B3F78"/>
    <w:rsid w:val="002B4037"/>
    <w:rsid w:val="002B48D5"/>
    <w:rsid w:val="002B4CD2"/>
    <w:rsid w:val="002B5128"/>
    <w:rsid w:val="002B51C5"/>
    <w:rsid w:val="002B7200"/>
    <w:rsid w:val="002B7889"/>
    <w:rsid w:val="002B7B60"/>
    <w:rsid w:val="002B7D95"/>
    <w:rsid w:val="002C01B5"/>
    <w:rsid w:val="002C0CBD"/>
    <w:rsid w:val="002C0E0E"/>
    <w:rsid w:val="002C1D46"/>
    <w:rsid w:val="002C2111"/>
    <w:rsid w:val="002C2A0D"/>
    <w:rsid w:val="002C31A8"/>
    <w:rsid w:val="002C3BF4"/>
    <w:rsid w:val="002C4653"/>
    <w:rsid w:val="002C4ACC"/>
    <w:rsid w:val="002C5D23"/>
    <w:rsid w:val="002C6A6C"/>
    <w:rsid w:val="002C6CE6"/>
    <w:rsid w:val="002C6E45"/>
    <w:rsid w:val="002C6E9D"/>
    <w:rsid w:val="002C73DB"/>
    <w:rsid w:val="002C749F"/>
    <w:rsid w:val="002D006F"/>
    <w:rsid w:val="002D06D2"/>
    <w:rsid w:val="002D0983"/>
    <w:rsid w:val="002D185A"/>
    <w:rsid w:val="002D1F11"/>
    <w:rsid w:val="002D2288"/>
    <w:rsid w:val="002D2636"/>
    <w:rsid w:val="002D2E51"/>
    <w:rsid w:val="002D37B0"/>
    <w:rsid w:val="002D43AD"/>
    <w:rsid w:val="002D51E5"/>
    <w:rsid w:val="002D5AE6"/>
    <w:rsid w:val="002D60B4"/>
    <w:rsid w:val="002D7444"/>
    <w:rsid w:val="002D7FB6"/>
    <w:rsid w:val="002E1BC5"/>
    <w:rsid w:val="002E42C7"/>
    <w:rsid w:val="002E49B6"/>
    <w:rsid w:val="002E5AE1"/>
    <w:rsid w:val="002E5D57"/>
    <w:rsid w:val="002E6137"/>
    <w:rsid w:val="002E61A3"/>
    <w:rsid w:val="002E76B6"/>
    <w:rsid w:val="002E7A58"/>
    <w:rsid w:val="002E7A78"/>
    <w:rsid w:val="002F059B"/>
    <w:rsid w:val="002F12D7"/>
    <w:rsid w:val="002F13B7"/>
    <w:rsid w:val="002F1561"/>
    <w:rsid w:val="002F24B2"/>
    <w:rsid w:val="002F25A5"/>
    <w:rsid w:val="002F2ED5"/>
    <w:rsid w:val="002F3442"/>
    <w:rsid w:val="002F3A74"/>
    <w:rsid w:val="002F41CD"/>
    <w:rsid w:val="002F546A"/>
    <w:rsid w:val="002F5494"/>
    <w:rsid w:val="002F56C1"/>
    <w:rsid w:val="002F5B0B"/>
    <w:rsid w:val="002F5B13"/>
    <w:rsid w:val="002F6AC3"/>
    <w:rsid w:val="002F74BD"/>
    <w:rsid w:val="00300924"/>
    <w:rsid w:val="00300C1C"/>
    <w:rsid w:val="00300EA6"/>
    <w:rsid w:val="00303979"/>
    <w:rsid w:val="00304D46"/>
    <w:rsid w:val="00305777"/>
    <w:rsid w:val="0030596E"/>
    <w:rsid w:val="00305E7F"/>
    <w:rsid w:val="00305E96"/>
    <w:rsid w:val="003060D9"/>
    <w:rsid w:val="00306A57"/>
    <w:rsid w:val="003073AB"/>
    <w:rsid w:val="003073C3"/>
    <w:rsid w:val="003074AB"/>
    <w:rsid w:val="00307D89"/>
    <w:rsid w:val="00307F10"/>
    <w:rsid w:val="00310428"/>
    <w:rsid w:val="003106D7"/>
    <w:rsid w:val="0031071A"/>
    <w:rsid w:val="003107E1"/>
    <w:rsid w:val="00310992"/>
    <w:rsid w:val="00310B5D"/>
    <w:rsid w:val="00310B89"/>
    <w:rsid w:val="003114D3"/>
    <w:rsid w:val="00311759"/>
    <w:rsid w:val="00311946"/>
    <w:rsid w:val="003119B6"/>
    <w:rsid w:val="003127B4"/>
    <w:rsid w:val="00313941"/>
    <w:rsid w:val="00313A46"/>
    <w:rsid w:val="0031538C"/>
    <w:rsid w:val="00315539"/>
    <w:rsid w:val="0031582A"/>
    <w:rsid w:val="00316937"/>
    <w:rsid w:val="00316A35"/>
    <w:rsid w:val="00316F90"/>
    <w:rsid w:val="00317579"/>
    <w:rsid w:val="003178FB"/>
    <w:rsid w:val="00320A08"/>
    <w:rsid w:val="00320CA2"/>
    <w:rsid w:val="00320CAA"/>
    <w:rsid w:val="0032120A"/>
    <w:rsid w:val="00321C7C"/>
    <w:rsid w:val="00322963"/>
    <w:rsid w:val="00322DF3"/>
    <w:rsid w:val="00323637"/>
    <w:rsid w:val="00323C0E"/>
    <w:rsid w:val="00323FBB"/>
    <w:rsid w:val="00324666"/>
    <w:rsid w:val="00324E8A"/>
    <w:rsid w:val="00324EC9"/>
    <w:rsid w:val="00325E35"/>
    <w:rsid w:val="00326D1B"/>
    <w:rsid w:val="00326EA1"/>
    <w:rsid w:val="00327D26"/>
    <w:rsid w:val="00327DBC"/>
    <w:rsid w:val="0033024E"/>
    <w:rsid w:val="00331786"/>
    <w:rsid w:val="00331D87"/>
    <w:rsid w:val="00332095"/>
    <w:rsid w:val="0033246B"/>
    <w:rsid w:val="00332850"/>
    <w:rsid w:val="00332B80"/>
    <w:rsid w:val="00332D02"/>
    <w:rsid w:val="00332DEB"/>
    <w:rsid w:val="00334478"/>
    <w:rsid w:val="003346B4"/>
    <w:rsid w:val="00334AE6"/>
    <w:rsid w:val="00335107"/>
    <w:rsid w:val="00335249"/>
    <w:rsid w:val="00335BF4"/>
    <w:rsid w:val="00335F85"/>
    <w:rsid w:val="00335FCB"/>
    <w:rsid w:val="003360FA"/>
    <w:rsid w:val="003365D0"/>
    <w:rsid w:val="00336CCE"/>
    <w:rsid w:val="00337D54"/>
    <w:rsid w:val="00340558"/>
    <w:rsid w:val="00340E89"/>
    <w:rsid w:val="0034110C"/>
    <w:rsid w:val="00341CC6"/>
    <w:rsid w:val="00342FA4"/>
    <w:rsid w:val="003431AD"/>
    <w:rsid w:val="003439AB"/>
    <w:rsid w:val="00344195"/>
    <w:rsid w:val="00344667"/>
    <w:rsid w:val="00344C38"/>
    <w:rsid w:val="0034525B"/>
    <w:rsid w:val="003453E4"/>
    <w:rsid w:val="003458AD"/>
    <w:rsid w:val="00345916"/>
    <w:rsid w:val="00345A97"/>
    <w:rsid w:val="00346150"/>
    <w:rsid w:val="00346FFA"/>
    <w:rsid w:val="00350719"/>
    <w:rsid w:val="00351ABA"/>
    <w:rsid w:val="0035236E"/>
    <w:rsid w:val="003528F2"/>
    <w:rsid w:val="003536F7"/>
    <w:rsid w:val="00353B87"/>
    <w:rsid w:val="00353CB8"/>
    <w:rsid w:val="00354695"/>
    <w:rsid w:val="0035549B"/>
    <w:rsid w:val="00355563"/>
    <w:rsid w:val="00356B87"/>
    <w:rsid w:val="00356F62"/>
    <w:rsid w:val="00357CB3"/>
    <w:rsid w:val="003609F6"/>
    <w:rsid w:val="00360F0B"/>
    <w:rsid w:val="0036100C"/>
    <w:rsid w:val="00361882"/>
    <w:rsid w:val="00361CBE"/>
    <w:rsid w:val="0036350D"/>
    <w:rsid w:val="003635EA"/>
    <w:rsid w:val="003635EC"/>
    <w:rsid w:val="00363D47"/>
    <w:rsid w:val="0036429F"/>
    <w:rsid w:val="003645AD"/>
    <w:rsid w:val="003649EF"/>
    <w:rsid w:val="00365078"/>
    <w:rsid w:val="00365E7D"/>
    <w:rsid w:val="003665BC"/>
    <w:rsid w:val="00366C43"/>
    <w:rsid w:val="00367D8B"/>
    <w:rsid w:val="00367FD9"/>
    <w:rsid w:val="00371419"/>
    <w:rsid w:val="0037225F"/>
    <w:rsid w:val="00373E8F"/>
    <w:rsid w:val="00374119"/>
    <w:rsid w:val="00374B59"/>
    <w:rsid w:val="00374CA0"/>
    <w:rsid w:val="003755C8"/>
    <w:rsid w:val="00375687"/>
    <w:rsid w:val="003757C4"/>
    <w:rsid w:val="003759FC"/>
    <w:rsid w:val="00375C20"/>
    <w:rsid w:val="00375F6B"/>
    <w:rsid w:val="00376316"/>
    <w:rsid w:val="00377EAE"/>
    <w:rsid w:val="00380A75"/>
    <w:rsid w:val="00380AE0"/>
    <w:rsid w:val="00381078"/>
    <w:rsid w:val="00381DBD"/>
    <w:rsid w:val="00382C8A"/>
    <w:rsid w:val="00383324"/>
    <w:rsid w:val="00383465"/>
    <w:rsid w:val="00383967"/>
    <w:rsid w:val="00384FD5"/>
    <w:rsid w:val="00385B6A"/>
    <w:rsid w:val="00385CA8"/>
    <w:rsid w:val="00387357"/>
    <w:rsid w:val="00387527"/>
    <w:rsid w:val="00387A75"/>
    <w:rsid w:val="00387FB2"/>
    <w:rsid w:val="003904DC"/>
    <w:rsid w:val="003904FD"/>
    <w:rsid w:val="00390545"/>
    <w:rsid w:val="003906A8"/>
    <w:rsid w:val="00390F34"/>
    <w:rsid w:val="003914DB"/>
    <w:rsid w:val="00391694"/>
    <w:rsid w:val="003916DE"/>
    <w:rsid w:val="00391BFC"/>
    <w:rsid w:val="00391F83"/>
    <w:rsid w:val="003920AB"/>
    <w:rsid w:val="003923AF"/>
    <w:rsid w:val="0039246C"/>
    <w:rsid w:val="00393863"/>
    <w:rsid w:val="00394125"/>
    <w:rsid w:val="00394254"/>
    <w:rsid w:val="0039465F"/>
    <w:rsid w:val="00394B73"/>
    <w:rsid w:val="003976DE"/>
    <w:rsid w:val="00397B4F"/>
    <w:rsid w:val="003A0394"/>
    <w:rsid w:val="003A04BA"/>
    <w:rsid w:val="003A0B80"/>
    <w:rsid w:val="003A247D"/>
    <w:rsid w:val="003A2A3C"/>
    <w:rsid w:val="003A3172"/>
    <w:rsid w:val="003A326E"/>
    <w:rsid w:val="003A3B17"/>
    <w:rsid w:val="003A4B66"/>
    <w:rsid w:val="003A5098"/>
    <w:rsid w:val="003A5147"/>
    <w:rsid w:val="003A5331"/>
    <w:rsid w:val="003A5971"/>
    <w:rsid w:val="003A641F"/>
    <w:rsid w:val="003A65B9"/>
    <w:rsid w:val="003A71B0"/>
    <w:rsid w:val="003B0143"/>
    <w:rsid w:val="003B1B24"/>
    <w:rsid w:val="003B30BA"/>
    <w:rsid w:val="003B312F"/>
    <w:rsid w:val="003B46BA"/>
    <w:rsid w:val="003B4C3C"/>
    <w:rsid w:val="003C039B"/>
    <w:rsid w:val="003C05FA"/>
    <w:rsid w:val="003C08F8"/>
    <w:rsid w:val="003C14E0"/>
    <w:rsid w:val="003C1669"/>
    <w:rsid w:val="003C18A0"/>
    <w:rsid w:val="003C1902"/>
    <w:rsid w:val="003C1EF6"/>
    <w:rsid w:val="003C204A"/>
    <w:rsid w:val="003C2BFB"/>
    <w:rsid w:val="003C3440"/>
    <w:rsid w:val="003C3BA9"/>
    <w:rsid w:val="003C3CF9"/>
    <w:rsid w:val="003C3E2D"/>
    <w:rsid w:val="003C3FD6"/>
    <w:rsid w:val="003C436B"/>
    <w:rsid w:val="003C4D7A"/>
    <w:rsid w:val="003C4F20"/>
    <w:rsid w:val="003C5109"/>
    <w:rsid w:val="003C5337"/>
    <w:rsid w:val="003C5EEF"/>
    <w:rsid w:val="003C5F92"/>
    <w:rsid w:val="003C67D3"/>
    <w:rsid w:val="003C6CED"/>
    <w:rsid w:val="003C770D"/>
    <w:rsid w:val="003C7B5F"/>
    <w:rsid w:val="003C7BBE"/>
    <w:rsid w:val="003C7FD8"/>
    <w:rsid w:val="003D0EAB"/>
    <w:rsid w:val="003D0EAE"/>
    <w:rsid w:val="003D0F03"/>
    <w:rsid w:val="003D279E"/>
    <w:rsid w:val="003D2FD6"/>
    <w:rsid w:val="003D329F"/>
    <w:rsid w:val="003D37EE"/>
    <w:rsid w:val="003D3DFC"/>
    <w:rsid w:val="003D4C7B"/>
    <w:rsid w:val="003D6F2E"/>
    <w:rsid w:val="003D7771"/>
    <w:rsid w:val="003D794D"/>
    <w:rsid w:val="003D7A8C"/>
    <w:rsid w:val="003D7C00"/>
    <w:rsid w:val="003D7E27"/>
    <w:rsid w:val="003E0EB4"/>
    <w:rsid w:val="003E1662"/>
    <w:rsid w:val="003E3071"/>
    <w:rsid w:val="003E3078"/>
    <w:rsid w:val="003E38C6"/>
    <w:rsid w:val="003E423D"/>
    <w:rsid w:val="003E4D48"/>
    <w:rsid w:val="003E56E5"/>
    <w:rsid w:val="003E5BAE"/>
    <w:rsid w:val="003E6BA5"/>
    <w:rsid w:val="003E7051"/>
    <w:rsid w:val="003E7237"/>
    <w:rsid w:val="003E74FE"/>
    <w:rsid w:val="003E7E60"/>
    <w:rsid w:val="003F00D4"/>
    <w:rsid w:val="003F00E8"/>
    <w:rsid w:val="003F0171"/>
    <w:rsid w:val="003F01E9"/>
    <w:rsid w:val="003F0592"/>
    <w:rsid w:val="003F08BB"/>
    <w:rsid w:val="003F0DDC"/>
    <w:rsid w:val="003F2209"/>
    <w:rsid w:val="003F28DB"/>
    <w:rsid w:val="003F2C3F"/>
    <w:rsid w:val="003F381E"/>
    <w:rsid w:val="003F3D39"/>
    <w:rsid w:val="003F3F1B"/>
    <w:rsid w:val="003F500E"/>
    <w:rsid w:val="003F5337"/>
    <w:rsid w:val="003F5621"/>
    <w:rsid w:val="003F646A"/>
    <w:rsid w:val="003F6761"/>
    <w:rsid w:val="003F6A0A"/>
    <w:rsid w:val="003F6A36"/>
    <w:rsid w:val="003F7ECD"/>
    <w:rsid w:val="00400D8D"/>
    <w:rsid w:val="00400FEE"/>
    <w:rsid w:val="00401032"/>
    <w:rsid w:val="00401C1B"/>
    <w:rsid w:val="004020EA"/>
    <w:rsid w:val="00402156"/>
    <w:rsid w:val="004024F5"/>
    <w:rsid w:val="00402D79"/>
    <w:rsid w:val="00402DE1"/>
    <w:rsid w:val="0040369D"/>
    <w:rsid w:val="004038D8"/>
    <w:rsid w:val="00403D8B"/>
    <w:rsid w:val="00403DDD"/>
    <w:rsid w:val="0040582C"/>
    <w:rsid w:val="004058F1"/>
    <w:rsid w:val="00405F00"/>
    <w:rsid w:val="00407E7D"/>
    <w:rsid w:val="00410214"/>
    <w:rsid w:val="0041040B"/>
    <w:rsid w:val="0041076A"/>
    <w:rsid w:val="0041283D"/>
    <w:rsid w:val="004130B9"/>
    <w:rsid w:val="00413899"/>
    <w:rsid w:val="00413AB4"/>
    <w:rsid w:val="00413DAB"/>
    <w:rsid w:val="00415EBC"/>
    <w:rsid w:val="00417182"/>
    <w:rsid w:val="00417467"/>
    <w:rsid w:val="00417468"/>
    <w:rsid w:val="0042037B"/>
    <w:rsid w:val="00420597"/>
    <w:rsid w:val="00420814"/>
    <w:rsid w:val="00421373"/>
    <w:rsid w:val="00421AE6"/>
    <w:rsid w:val="00421FB7"/>
    <w:rsid w:val="004220C3"/>
    <w:rsid w:val="00422512"/>
    <w:rsid w:val="00422D8F"/>
    <w:rsid w:val="00422D96"/>
    <w:rsid w:val="00422FD4"/>
    <w:rsid w:val="00423F44"/>
    <w:rsid w:val="004240E2"/>
    <w:rsid w:val="00424568"/>
    <w:rsid w:val="00424A75"/>
    <w:rsid w:val="004251D4"/>
    <w:rsid w:val="004261F4"/>
    <w:rsid w:val="00426AD1"/>
    <w:rsid w:val="0042763B"/>
    <w:rsid w:val="00427B1E"/>
    <w:rsid w:val="00427B79"/>
    <w:rsid w:val="00427D1C"/>
    <w:rsid w:val="00427D2C"/>
    <w:rsid w:val="0043024C"/>
    <w:rsid w:val="00430FCF"/>
    <w:rsid w:val="004319A9"/>
    <w:rsid w:val="00431A0D"/>
    <w:rsid w:val="004321C9"/>
    <w:rsid w:val="00432D8E"/>
    <w:rsid w:val="00432DF6"/>
    <w:rsid w:val="00433887"/>
    <w:rsid w:val="004338A0"/>
    <w:rsid w:val="00433FEC"/>
    <w:rsid w:val="00433FF7"/>
    <w:rsid w:val="00434D6D"/>
    <w:rsid w:val="004358FD"/>
    <w:rsid w:val="004359DD"/>
    <w:rsid w:val="00436706"/>
    <w:rsid w:val="004367EC"/>
    <w:rsid w:val="00436F96"/>
    <w:rsid w:val="004371A0"/>
    <w:rsid w:val="004371CE"/>
    <w:rsid w:val="00440657"/>
    <w:rsid w:val="00440CC4"/>
    <w:rsid w:val="00440CFA"/>
    <w:rsid w:val="00440EF5"/>
    <w:rsid w:val="00441CF0"/>
    <w:rsid w:val="00441EEE"/>
    <w:rsid w:val="00442487"/>
    <w:rsid w:val="004437EF"/>
    <w:rsid w:val="00443D38"/>
    <w:rsid w:val="00445EE3"/>
    <w:rsid w:val="00446015"/>
    <w:rsid w:val="00446740"/>
    <w:rsid w:val="00446CEC"/>
    <w:rsid w:val="0044723A"/>
    <w:rsid w:val="00447885"/>
    <w:rsid w:val="00447960"/>
    <w:rsid w:val="00447D5F"/>
    <w:rsid w:val="00447D8E"/>
    <w:rsid w:val="00450E7A"/>
    <w:rsid w:val="0045102B"/>
    <w:rsid w:val="0045135E"/>
    <w:rsid w:val="00451656"/>
    <w:rsid w:val="00451D96"/>
    <w:rsid w:val="00452496"/>
    <w:rsid w:val="00452AD0"/>
    <w:rsid w:val="00453A82"/>
    <w:rsid w:val="00453B5E"/>
    <w:rsid w:val="0045469A"/>
    <w:rsid w:val="00454F47"/>
    <w:rsid w:val="0045573C"/>
    <w:rsid w:val="0045593F"/>
    <w:rsid w:val="00456348"/>
    <w:rsid w:val="004563DB"/>
    <w:rsid w:val="004567AD"/>
    <w:rsid w:val="0045680D"/>
    <w:rsid w:val="00456AF8"/>
    <w:rsid w:val="004571C5"/>
    <w:rsid w:val="00457A79"/>
    <w:rsid w:val="004600C0"/>
    <w:rsid w:val="00460938"/>
    <w:rsid w:val="00460B85"/>
    <w:rsid w:val="00460E65"/>
    <w:rsid w:val="00461D4B"/>
    <w:rsid w:val="00462678"/>
    <w:rsid w:val="00462983"/>
    <w:rsid w:val="004631C3"/>
    <w:rsid w:val="0046343D"/>
    <w:rsid w:val="00463460"/>
    <w:rsid w:val="004645A4"/>
    <w:rsid w:val="0046475E"/>
    <w:rsid w:val="00464D98"/>
    <w:rsid w:val="0046682B"/>
    <w:rsid w:val="00466871"/>
    <w:rsid w:val="00466979"/>
    <w:rsid w:val="0046720F"/>
    <w:rsid w:val="00467611"/>
    <w:rsid w:val="004678DF"/>
    <w:rsid w:val="00470089"/>
    <w:rsid w:val="004702A0"/>
    <w:rsid w:val="00470537"/>
    <w:rsid w:val="00470B15"/>
    <w:rsid w:val="00470D8B"/>
    <w:rsid w:val="00472BCC"/>
    <w:rsid w:val="00472D89"/>
    <w:rsid w:val="00473AA5"/>
    <w:rsid w:val="00474955"/>
    <w:rsid w:val="00475869"/>
    <w:rsid w:val="00475A77"/>
    <w:rsid w:val="00476299"/>
    <w:rsid w:val="004765AC"/>
    <w:rsid w:val="0047670C"/>
    <w:rsid w:val="00476736"/>
    <w:rsid w:val="00476FC9"/>
    <w:rsid w:val="004776A8"/>
    <w:rsid w:val="00477EF1"/>
    <w:rsid w:val="004801EB"/>
    <w:rsid w:val="00480282"/>
    <w:rsid w:val="00482595"/>
    <w:rsid w:val="00482DDC"/>
    <w:rsid w:val="00483261"/>
    <w:rsid w:val="00483E6C"/>
    <w:rsid w:val="00484421"/>
    <w:rsid w:val="00485129"/>
    <w:rsid w:val="00485254"/>
    <w:rsid w:val="0048565B"/>
    <w:rsid w:val="00486335"/>
    <w:rsid w:val="004866A9"/>
    <w:rsid w:val="004867FF"/>
    <w:rsid w:val="0048687E"/>
    <w:rsid w:val="004904CD"/>
    <w:rsid w:val="00490FB8"/>
    <w:rsid w:val="00491018"/>
    <w:rsid w:val="00491220"/>
    <w:rsid w:val="00492774"/>
    <w:rsid w:val="00493E0B"/>
    <w:rsid w:val="00493EFE"/>
    <w:rsid w:val="004958F5"/>
    <w:rsid w:val="004961F3"/>
    <w:rsid w:val="004962AB"/>
    <w:rsid w:val="00496BB4"/>
    <w:rsid w:val="00496CB0"/>
    <w:rsid w:val="00496D7A"/>
    <w:rsid w:val="004979DC"/>
    <w:rsid w:val="00497B6D"/>
    <w:rsid w:val="004A1852"/>
    <w:rsid w:val="004A2136"/>
    <w:rsid w:val="004A229D"/>
    <w:rsid w:val="004A2EBF"/>
    <w:rsid w:val="004A2F3C"/>
    <w:rsid w:val="004A31BC"/>
    <w:rsid w:val="004A3F1A"/>
    <w:rsid w:val="004A3F45"/>
    <w:rsid w:val="004A65D1"/>
    <w:rsid w:val="004A704F"/>
    <w:rsid w:val="004B0550"/>
    <w:rsid w:val="004B0CE7"/>
    <w:rsid w:val="004B1262"/>
    <w:rsid w:val="004B148F"/>
    <w:rsid w:val="004B1743"/>
    <w:rsid w:val="004B19FC"/>
    <w:rsid w:val="004B1AFA"/>
    <w:rsid w:val="004B1D73"/>
    <w:rsid w:val="004B1F26"/>
    <w:rsid w:val="004B22C0"/>
    <w:rsid w:val="004B4626"/>
    <w:rsid w:val="004B5B67"/>
    <w:rsid w:val="004B5DA2"/>
    <w:rsid w:val="004B6047"/>
    <w:rsid w:val="004B6B0A"/>
    <w:rsid w:val="004B6BBA"/>
    <w:rsid w:val="004B7088"/>
    <w:rsid w:val="004B74BC"/>
    <w:rsid w:val="004B761C"/>
    <w:rsid w:val="004B7CF2"/>
    <w:rsid w:val="004B7F3D"/>
    <w:rsid w:val="004C252E"/>
    <w:rsid w:val="004C2A6B"/>
    <w:rsid w:val="004C319C"/>
    <w:rsid w:val="004C3479"/>
    <w:rsid w:val="004C3948"/>
    <w:rsid w:val="004C3E08"/>
    <w:rsid w:val="004C4B79"/>
    <w:rsid w:val="004C4C94"/>
    <w:rsid w:val="004C5491"/>
    <w:rsid w:val="004C5B76"/>
    <w:rsid w:val="004C5C04"/>
    <w:rsid w:val="004C60A0"/>
    <w:rsid w:val="004C6918"/>
    <w:rsid w:val="004C6EC9"/>
    <w:rsid w:val="004D02CD"/>
    <w:rsid w:val="004D0ADC"/>
    <w:rsid w:val="004D0B24"/>
    <w:rsid w:val="004D1243"/>
    <w:rsid w:val="004D1450"/>
    <w:rsid w:val="004D1FA1"/>
    <w:rsid w:val="004D2A8D"/>
    <w:rsid w:val="004D31B3"/>
    <w:rsid w:val="004D3EA5"/>
    <w:rsid w:val="004D4283"/>
    <w:rsid w:val="004D4B90"/>
    <w:rsid w:val="004D5056"/>
    <w:rsid w:val="004D537A"/>
    <w:rsid w:val="004D56A4"/>
    <w:rsid w:val="004D620F"/>
    <w:rsid w:val="004D6247"/>
    <w:rsid w:val="004D6B95"/>
    <w:rsid w:val="004D6DA3"/>
    <w:rsid w:val="004D7E4E"/>
    <w:rsid w:val="004D7F41"/>
    <w:rsid w:val="004E03A2"/>
    <w:rsid w:val="004E043E"/>
    <w:rsid w:val="004E12C9"/>
    <w:rsid w:val="004E1422"/>
    <w:rsid w:val="004E205F"/>
    <w:rsid w:val="004E2730"/>
    <w:rsid w:val="004E2765"/>
    <w:rsid w:val="004E317E"/>
    <w:rsid w:val="004E31B9"/>
    <w:rsid w:val="004E339A"/>
    <w:rsid w:val="004E3906"/>
    <w:rsid w:val="004E3954"/>
    <w:rsid w:val="004E3A9D"/>
    <w:rsid w:val="004E3AD2"/>
    <w:rsid w:val="004E408F"/>
    <w:rsid w:val="004E4A5D"/>
    <w:rsid w:val="004E4E24"/>
    <w:rsid w:val="004E5856"/>
    <w:rsid w:val="004E667F"/>
    <w:rsid w:val="004E7246"/>
    <w:rsid w:val="004E728F"/>
    <w:rsid w:val="004E7B1A"/>
    <w:rsid w:val="004E7DB9"/>
    <w:rsid w:val="004F02BE"/>
    <w:rsid w:val="004F0D22"/>
    <w:rsid w:val="004F10B8"/>
    <w:rsid w:val="004F2330"/>
    <w:rsid w:val="004F2631"/>
    <w:rsid w:val="004F27F6"/>
    <w:rsid w:val="004F2C85"/>
    <w:rsid w:val="004F378E"/>
    <w:rsid w:val="004F3D3A"/>
    <w:rsid w:val="004F4C0F"/>
    <w:rsid w:val="004F53C6"/>
    <w:rsid w:val="004F5789"/>
    <w:rsid w:val="004F5989"/>
    <w:rsid w:val="004F5F81"/>
    <w:rsid w:val="004F619E"/>
    <w:rsid w:val="004F677A"/>
    <w:rsid w:val="004F69DB"/>
    <w:rsid w:val="004F6B87"/>
    <w:rsid w:val="004F6BFE"/>
    <w:rsid w:val="004F7544"/>
    <w:rsid w:val="004F7AE7"/>
    <w:rsid w:val="004F7F01"/>
    <w:rsid w:val="0050015A"/>
    <w:rsid w:val="005006DE"/>
    <w:rsid w:val="00501C2D"/>
    <w:rsid w:val="00502103"/>
    <w:rsid w:val="00502487"/>
    <w:rsid w:val="00502637"/>
    <w:rsid w:val="0050483E"/>
    <w:rsid w:val="00505167"/>
    <w:rsid w:val="005059F2"/>
    <w:rsid w:val="00506053"/>
    <w:rsid w:val="00506F7A"/>
    <w:rsid w:val="005078DF"/>
    <w:rsid w:val="00507EE9"/>
    <w:rsid w:val="00510179"/>
    <w:rsid w:val="005109CB"/>
    <w:rsid w:val="00511018"/>
    <w:rsid w:val="00511140"/>
    <w:rsid w:val="0051157E"/>
    <w:rsid w:val="0051175C"/>
    <w:rsid w:val="00511DED"/>
    <w:rsid w:val="00511F86"/>
    <w:rsid w:val="005122A0"/>
    <w:rsid w:val="00512514"/>
    <w:rsid w:val="00513CFE"/>
    <w:rsid w:val="00513EAF"/>
    <w:rsid w:val="00514C65"/>
    <w:rsid w:val="00514DB6"/>
    <w:rsid w:val="005156F1"/>
    <w:rsid w:val="00515C33"/>
    <w:rsid w:val="00516849"/>
    <w:rsid w:val="00516C82"/>
    <w:rsid w:val="00516E55"/>
    <w:rsid w:val="00516EDB"/>
    <w:rsid w:val="00521071"/>
    <w:rsid w:val="005216BB"/>
    <w:rsid w:val="00521C23"/>
    <w:rsid w:val="0052260A"/>
    <w:rsid w:val="00522EEB"/>
    <w:rsid w:val="00522F21"/>
    <w:rsid w:val="0052384A"/>
    <w:rsid w:val="00523B6A"/>
    <w:rsid w:val="005243DC"/>
    <w:rsid w:val="00524827"/>
    <w:rsid w:val="00524CBF"/>
    <w:rsid w:val="00525F53"/>
    <w:rsid w:val="00525F6C"/>
    <w:rsid w:val="00526373"/>
    <w:rsid w:val="005264D9"/>
    <w:rsid w:val="005273D4"/>
    <w:rsid w:val="005319D8"/>
    <w:rsid w:val="00531AD3"/>
    <w:rsid w:val="00531EE5"/>
    <w:rsid w:val="005335E1"/>
    <w:rsid w:val="005354C7"/>
    <w:rsid w:val="005354D8"/>
    <w:rsid w:val="00535C98"/>
    <w:rsid w:val="005360F6"/>
    <w:rsid w:val="0053701A"/>
    <w:rsid w:val="00537564"/>
    <w:rsid w:val="00537EAA"/>
    <w:rsid w:val="00540463"/>
    <w:rsid w:val="00540700"/>
    <w:rsid w:val="00540B9A"/>
    <w:rsid w:val="0054188D"/>
    <w:rsid w:val="00542BBF"/>
    <w:rsid w:val="0054481C"/>
    <w:rsid w:val="00544D9D"/>
    <w:rsid w:val="0054525B"/>
    <w:rsid w:val="0054526B"/>
    <w:rsid w:val="00545FC2"/>
    <w:rsid w:val="00546AB4"/>
    <w:rsid w:val="00546BE2"/>
    <w:rsid w:val="00547D97"/>
    <w:rsid w:val="00550591"/>
    <w:rsid w:val="00550AD2"/>
    <w:rsid w:val="00551090"/>
    <w:rsid w:val="005514E5"/>
    <w:rsid w:val="00551E9C"/>
    <w:rsid w:val="00552A47"/>
    <w:rsid w:val="00552B23"/>
    <w:rsid w:val="00552CC3"/>
    <w:rsid w:val="00553500"/>
    <w:rsid w:val="00554CEE"/>
    <w:rsid w:val="00554E77"/>
    <w:rsid w:val="00554F99"/>
    <w:rsid w:val="005550B5"/>
    <w:rsid w:val="00555998"/>
    <w:rsid w:val="0055684B"/>
    <w:rsid w:val="00557D20"/>
    <w:rsid w:val="005622A4"/>
    <w:rsid w:val="005628AE"/>
    <w:rsid w:val="005629C6"/>
    <w:rsid w:val="00562C3D"/>
    <w:rsid w:val="005637A7"/>
    <w:rsid w:val="00563BFF"/>
    <w:rsid w:val="00563C84"/>
    <w:rsid w:val="00563D67"/>
    <w:rsid w:val="005659F9"/>
    <w:rsid w:val="005661BE"/>
    <w:rsid w:val="0056661C"/>
    <w:rsid w:val="00566A44"/>
    <w:rsid w:val="0056730D"/>
    <w:rsid w:val="00567AF3"/>
    <w:rsid w:val="005703FB"/>
    <w:rsid w:val="00570DDA"/>
    <w:rsid w:val="00570E4B"/>
    <w:rsid w:val="00570F6D"/>
    <w:rsid w:val="00571545"/>
    <w:rsid w:val="00571C20"/>
    <w:rsid w:val="00572F95"/>
    <w:rsid w:val="0057392D"/>
    <w:rsid w:val="005746CD"/>
    <w:rsid w:val="00574EDD"/>
    <w:rsid w:val="00574FB4"/>
    <w:rsid w:val="005761C7"/>
    <w:rsid w:val="005762F6"/>
    <w:rsid w:val="00580680"/>
    <w:rsid w:val="00580DC5"/>
    <w:rsid w:val="00580F36"/>
    <w:rsid w:val="00581CCC"/>
    <w:rsid w:val="0058214A"/>
    <w:rsid w:val="0058393E"/>
    <w:rsid w:val="00583C56"/>
    <w:rsid w:val="00584398"/>
    <w:rsid w:val="00584511"/>
    <w:rsid w:val="00584FBE"/>
    <w:rsid w:val="0058501A"/>
    <w:rsid w:val="00585483"/>
    <w:rsid w:val="005858A5"/>
    <w:rsid w:val="00585B32"/>
    <w:rsid w:val="005861C9"/>
    <w:rsid w:val="00586CFE"/>
    <w:rsid w:val="00587378"/>
    <w:rsid w:val="00587C05"/>
    <w:rsid w:val="00587D57"/>
    <w:rsid w:val="005903FF"/>
    <w:rsid w:val="00590AAB"/>
    <w:rsid w:val="00590F9C"/>
    <w:rsid w:val="00591160"/>
    <w:rsid w:val="0059116F"/>
    <w:rsid w:val="0059331E"/>
    <w:rsid w:val="005938C3"/>
    <w:rsid w:val="00593EE2"/>
    <w:rsid w:val="00594185"/>
    <w:rsid w:val="0059468C"/>
    <w:rsid w:val="00594D24"/>
    <w:rsid w:val="00595125"/>
    <w:rsid w:val="005957EA"/>
    <w:rsid w:val="005965B9"/>
    <w:rsid w:val="00596B38"/>
    <w:rsid w:val="00596F21"/>
    <w:rsid w:val="005A03FA"/>
    <w:rsid w:val="005A05E4"/>
    <w:rsid w:val="005A1957"/>
    <w:rsid w:val="005A288B"/>
    <w:rsid w:val="005A34EA"/>
    <w:rsid w:val="005A44AC"/>
    <w:rsid w:val="005A466B"/>
    <w:rsid w:val="005A4C4B"/>
    <w:rsid w:val="005A5E10"/>
    <w:rsid w:val="005A62FC"/>
    <w:rsid w:val="005A7745"/>
    <w:rsid w:val="005A7B8E"/>
    <w:rsid w:val="005A7D03"/>
    <w:rsid w:val="005B0082"/>
    <w:rsid w:val="005B0704"/>
    <w:rsid w:val="005B0CBB"/>
    <w:rsid w:val="005B155C"/>
    <w:rsid w:val="005B15CC"/>
    <w:rsid w:val="005B1B51"/>
    <w:rsid w:val="005B1CDD"/>
    <w:rsid w:val="005B1E19"/>
    <w:rsid w:val="005B22C9"/>
    <w:rsid w:val="005B4144"/>
    <w:rsid w:val="005B4435"/>
    <w:rsid w:val="005B55FC"/>
    <w:rsid w:val="005B6456"/>
    <w:rsid w:val="005B78F3"/>
    <w:rsid w:val="005C151D"/>
    <w:rsid w:val="005C1D3F"/>
    <w:rsid w:val="005C2D5D"/>
    <w:rsid w:val="005C2D5E"/>
    <w:rsid w:val="005C3B81"/>
    <w:rsid w:val="005C4C9D"/>
    <w:rsid w:val="005C4D16"/>
    <w:rsid w:val="005C5182"/>
    <w:rsid w:val="005C57F3"/>
    <w:rsid w:val="005C5967"/>
    <w:rsid w:val="005C650C"/>
    <w:rsid w:val="005C6670"/>
    <w:rsid w:val="005C6855"/>
    <w:rsid w:val="005C71F1"/>
    <w:rsid w:val="005C7DCD"/>
    <w:rsid w:val="005D0360"/>
    <w:rsid w:val="005D086C"/>
    <w:rsid w:val="005D0B6B"/>
    <w:rsid w:val="005D11D3"/>
    <w:rsid w:val="005D13FD"/>
    <w:rsid w:val="005D1403"/>
    <w:rsid w:val="005D2143"/>
    <w:rsid w:val="005D2A02"/>
    <w:rsid w:val="005D2DA9"/>
    <w:rsid w:val="005D44A7"/>
    <w:rsid w:val="005D4E1F"/>
    <w:rsid w:val="005D4FB3"/>
    <w:rsid w:val="005D4FF2"/>
    <w:rsid w:val="005D515D"/>
    <w:rsid w:val="005D5F58"/>
    <w:rsid w:val="005D613A"/>
    <w:rsid w:val="005D6938"/>
    <w:rsid w:val="005D7EBA"/>
    <w:rsid w:val="005E0064"/>
    <w:rsid w:val="005E0A59"/>
    <w:rsid w:val="005E0B58"/>
    <w:rsid w:val="005E0CA0"/>
    <w:rsid w:val="005E24B2"/>
    <w:rsid w:val="005E2616"/>
    <w:rsid w:val="005E2F07"/>
    <w:rsid w:val="005E2FEA"/>
    <w:rsid w:val="005E3331"/>
    <w:rsid w:val="005E3F78"/>
    <w:rsid w:val="005E400C"/>
    <w:rsid w:val="005E536E"/>
    <w:rsid w:val="005E67F6"/>
    <w:rsid w:val="005E727A"/>
    <w:rsid w:val="005E7648"/>
    <w:rsid w:val="005E76CF"/>
    <w:rsid w:val="005E7A83"/>
    <w:rsid w:val="005E7B59"/>
    <w:rsid w:val="005F047A"/>
    <w:rsid w:val="005F0C07"/>
    <w:rsid w:val="005F1D8C"/>
    <w:rsid w:val="005F253C"/>
    <w:rsid w:val="005F314B"/>
    <w:rsid w:val="005F3C28"/>
    <w:rsid w:val="005F4722"/>
    <w:rsid w:val="005F4A85"/>
    <w:rsid w:val="005F5624"/>
    <w:rsid w:val="005F56DA"/>
    <w:rsid w:val="005F67D5"/>
    <w:rsid w:val="005F7187"/>
    <w:rsid w:val="005F722D"/>
    <w:rsid w:val="005F7707"/>
    <w:rsid w:val="00601223"/>
    <w:rsid w:val="006012AC"/>
    <w:rsid w:val="0060140E"/>
    <w:rsid w:val="00601604"/>
    <w:rsid w:val="00601886"/>
    <w:rsid w:val="00602044"/>
    <w:rsid w:val="006022AC"/>
    <w:rsid w:val="00602ED2"/>
    <w:rsid w:val="00603C9D"/>
    <w:rsid w:val="00603E6B"/>
    <w:rsid w:val="006051E3"/>
    <w:rsid w:val="006053E8"/>
    <w:rsid w:val="0060576B"/>
    <w:rsid w:val="00605797"/>
    <w:rsid w:val="00605CB7"/>
    <w:rsid w:val="00606383"/>
    <w:rsid w:val="00606DE4"/>
    <w:rsid w:val="00610C10"/>
    <w:rsid w:val="006110CF"/>
    <w:rsid w:val="006118A9"/>
    <w:rsid w:val="00611AF2"/>
    <w:rsid w:val="00611B72"/>
    <w:rsid w:val="0061212B"/>
    <w:rsid w:val="00612349"/>
    <w:rsid w:val="006127AF"/>
    <w:rsid w:val="0061307D"/>
    <w:rsid w:val="0061311D"/>
    <w:rsid w:val="00613212"/>
    <w:rsid w:val="0061483E"/>
    <w:rsid w:val="00614871"/>
    <w:rsid w:val="00615237"/>
    <w:rsid w:val="0061531B"/>
    <w:rsid w:val="006158B3"/>
    <w:rsid w:val="00615D12"/>
    <w:rsid w:val="00615DB9"/>
    <w:rsid w:val="00615FB2"/>
    <w:rsid w:val="006175C9"/>
    <w:rsid w:val="00617A07"/>
    <w:rsid w:val="00617BD1"/>
    <w:rsid w:val="00617C55"/>
    <w:rsid w:val="00617CE8"/>
    <w:rsid w:val="00621FF0"/>
    <w:rsid w:val="006225F3"/>
    <w:rsid w:val="006233F8"/>
    <w:rsid w:val="00625168"/>
    <w:rsid w:val="0062548D"/>
    <w:rsid w:val="00625E41"/>
    <w:rsid w:val="006264DB"/>
    <w:rsid w:val="006271F3"/>
    <w:rsid w:val="006278A0"/>
    <w:rsid w:val="00627E7F"/>
    <w:rsid w:val="00630408"/>
    <w:rsid w:val="0063095F"/>
    <w:rsid w:val="00630E8E"/>
    <w:rsid w:val="00630FBB"/>
    <w:rsid w:val="006311E2"/>
    <w:rsid w:val="00632221"/>
    <w:rsid w:val="006338B0"/>
    <w:rsid w:val="00634236"/>
    <w:rsid w:val="006345DB"/>
    <w:rsid w:val="006346DF"/>
    <w:rsid w:val="00635BF0"/>
    <w:rsid w:val="006361A6"/>
    <w:rsid w:val="00636626"/>
    <w:rsid w:val="00636EFC"/>
    <w:rsid w:val="006371A9"/>
    <w:rsid w:val="0063731C"/>
    <w:rsid w:val="0063780F"/>
    <w:rsid w:val="00640E34"/>
    <w:rsid w:val="00640FA8"/>
    <w:rsid w:val="0064103C"/>
    <w:rsid w:val="00641062"/>
    <w:rsid w:val="00641A42"/>
    <w:rsid w:val="00642D36"/>
    <w:rsid w:val="00643F5C"/>
    <w:rsid w:val="00644E36"/>
    <w:rsid w:val="0064640D"/>
    <w:rsid w:val="006467FA"/>
    <w:rsid w:val="00646AC2"/>
    <w:rsid w:val="00646E81"/>
    <w:rsid w:val="00647031"/>
    <w:rsid w:val="006477FB"/>
    <w:rsid w:val="00650390"/>
    <w:rsid w:val="006508F0"/>
    <w:rsid w:val="00651080"/>
    <w:rsid w:val="006520C9"/>
    <w:rsid w:val="00653FCE"/>
    <w:rsid w:val="00654DAB"/>
    <w:rsid w:val="0065534F"/>
    <w:rsid w:val="00655521"/>
    <w:rsid w:val="00655736"/>
    <w:rsid w:val="00656F1E"/>
    <w:rsid w:val="00657C6F"/>
    <w:rsid w:val="0066056F"/>
    <w:rsid w:val="0066112F"/>
    <w:rsid w:val="00661ABD"/>
    <w:rsid w:val="0066204A"/>
    <w:rsid w:val="00663599"/>
    <w:rsid w:val="00663812"/>
    <w:rsid w:val="00663DA1"/>
    <w:rsid w:val="00665875"/>
    <w:rsid w:val="00666565"/>
    <w:rsid w:val="00666761"/>
    <w:rsid w:val="00666E6A"/>
    <w:rsid w:val="00667562"/>
    <w:rsid w:val="00667906"/>
    <w:rsid w:val="00667B11"/>
    <w:rsid w:val="00667FB0"/>
    <w:rsid w:val="00667FC0"/>
    <w:rsid w:val="00670145"/>
    <w:rsid w:val="006701C0"/>
    <w:rsid w:val="00670D82"/>
    <w:rsid w:val="00670E3C"/>
    <w:rsid w:val="006729EE"/>
    <w:rsid w:val="0067439E"/>
    <w:rsid w:val="00675ED3"/>
    <w:rsid w:val="00676601"/>
    <w:rsid w:val="00677092"/>
    <w:rsid w:val="006770E6"/>
    <w:rsid w:val="006772F5"/>
    <w:rsid w:val="006779EB"/>
    <w:rsid w:val="00677F57"/>
    <w:rsid w:val="006801C0"/>
    <w:rsid w:val="00680F95"/>
    <w:rsid w:val="00680FC5"/>
    <w:rsid w:val="00681088"/>
    <w:rsid w:val="00681299"/>
    <w:rsid w:val="00681543"/>
    <w:rsid w:val="006820B1"/>
    <w:rsid w:val="00682A7D"/>
    <w:rsid w:val="00682DDD"/>
    <w:rsid w:val="006832F1"/>
    <w:rsid w:val="0068459E"/>
    <w:rsid w:val="00685176"/>
    <w:rsid w:val="00686035"/>
    <w:rsid w:val="0068651E"/>
    <w:rsid w:val="0068726F"/>
    <w:rsid w:val="0068732B"/>
    <w:rsid w:val="00687473"/>
    <w:rsid w:val="006877B4"/>
    <w:rsid w:val="00687818"/>
    <w:rsid w:val="006878A8"/>
    <w:rsid w:val="00690738"/>
    <w:rsid w:val="00691264"/>
    <w:rsid w:val="00691627"/>
    <w:rsid w:val="0069225C"/>
    <w:rsid w:val="00692C7D"/>
    <w:rsid w:val="00692C9D"/>
    <w:rsid w:val="00692E7B"/>
    <w:rsid w:val="00693396"/>
    <w:rsid w:val="006934C0"/>
    <w:rsid w:val="0069577E"/>
    <w:rsid w:val="00695F5F"/>
    <w:rsid w:val="0069634B"/>
    <w:rsid w:val="00696623"/>
    <w:rsid w:val="00697369"/>
    <w:rsid w:val="006A0376"/>
    <w:rsid w:val="006A04E9"/>
    <w:rsid w:val="006A08E2"/>
    <w:rsid w:val="006A09C7"/>
    <w:rsid w:val="006A0A18"/>
    <w:rsid w:val="006A10C8"/>
    <w:rsid w:val="006A1AA2"/>
    <w:rsid w:val="006A24AF"/>
    <w:rsid w:val="006A268F"/>
    <w:rsid w:val="006A41DE"/>
    <w:rsid w:val="006A42EC"/>
    <w:rsid w:val="006A452E"/>
    <w:rsid w:val="006A4A03"/>
    <w:rsid w:val="006A4F6E"/>
    <w:rsid w:val="006A531E"/>
    <w:rsid w:val="006A55DB"/>
    <w:rsid w:val="006A585F"/>
    <w:rsid w:val="006A5BDC"/>
    <w:rsid w:val="006A5D27"/>
    <w:rsid w:val="006A67ED"/>
    <w:rsid w:val="006A72FA"/>
    <w:rsid w:val="006A7543"/>
    <w:rsid w:val="006A7C44"/>
    <w:rsid w:val="006B0FF4"/>
    <w:rsid w:val="006B0FFA"/>
    <w:rsid w:val="006B1690"/>
    <w:rsid w:val="006B2E21"/>
    <w:rsid w:val="006B3EB8"/>
    <w:rsid w:val="006B4C0D"/>
    <w:rsid w:val="006B4FE5"/>
    <w:rsid w:val="006B5EC0"/>
    <w:rsid w:val="006B6EDE"/>
    <w:rsid w:val="006B710D"/>
    <w:rsid w:val="006B725C"/>
    <w:rsid w:val="006B7553"/>
    <w:rsid w:val="006B7791"/>
    <w:rsid w:val="006C03DF"/>
    <w:rsid w:val="006C14FD"/>
    <w:rsid w:val="006C1B85"/>
    <w:rsid w:val="006C1DE9"/>
    <w:rsid w:val="006C273D"/>
    <w:rsid w:val="006C2B8D"/>
    <w:rsid w:val="006C2F2C"/>
    <w:rsid w:val="006C3420"/>
    <w:rsid w:val="006C3ECB"/>
    <w:rsid w:val="006C3FE4"/>
    <w:rsid w:val="006C41F1"/>
    <w:rsid w:val="006C4973"/>
    <w:rsid w:val="006C52F7"/>
    <w:rsid w:val="006C5C4F"/>
    <w:rsid w:val="006C6282"/>
    <w:rsid w:val="006C6419"/>
    <w:rsid w:val="006C641D"/>
    <w:rsid w:val="006C762A"/>
    <w:rsid w:val="006C7A87"/>
    <w:rsid w:val="006D0156"/>
    <w:rsid w:val="006D05A1"/>
    <w:rsid w:val="006D0D09"/>
    <w:rsid w:val="006D10CD"/>
    <w:rsid w:val="006D10E5"/>
    <w:rsid w:val="006D1863"/>
    <w:rsid w:val="006D1CB4"/>
    <w:rsid w:val="006D24F1"/>
    <w:rsid w:val="006D3C2A"/>
    <w:rsid w:val="006D42F5"/>
    <w:rsid w:val="006D5FF9"/>
    <w:rsid w:val="006D690C"/>
    <w:rsid w:val="006D7D9B"/>
    <w:rsid w:val="006E0772"/>
    <w:rsid w:val="006E0C77"/>
    <w:rsid w:val="006E0F86"/>
    <w:rsid w:val="006E13D7"/>
    <w:rsid w:val="006E1874"/>
    <w:rsid w:val="006E1B8A"/>
    <w:rsid w:val="006E204B"/>
    <w:rsid w:val="006E2F3B"/>
    <w:rsid w:val="006E2F8B"/>
    <w:rsid w:val="006E4459"/>
    <w:rsid w:val="006E74B5"/>
    <w:rsid w:val="006E76FD"/>
    <w:rsid w:val="006F037E"/>
    <w:rsid w:val="006F099E"/>
    <w:rsid w:val="006F0B15"/>
    <w:rsid w:val="006F0DCC"/>
    <w:rsid w:val="006F0FF4"/>
    <w:rsid w:val="006F1141"/>
    <w:rsid w:val="006F1862"/>
    <w:rsid w:val="006F1928"/>
    <w:rsid w:val="006F25F3"/>
    <w:rsid w:val="006F2DDF"/>
    <w:rsid w:val="006F405C"/>
    <w:rsid w:val="006F4732"/>
    <w:rsid w:val="006F474E"/>
    <w:rsid w:val="006F4AA5"/>
    <w:rsid w:val="006F52DA"/>
    <w:rsid w:val="006F54D1"/>
    <w:rsid w:val="006F5EEB"/>
    <w:rsid w:val="006F6711"/>
    <w:rsid w:val="006F6836"/>
    <w:rsid w:val="006F7338"/>
    <w:rsid w:val="007009F9"/>
    <w:rsid w:val="007016CC"/>
    <w:rsid w:val="007018E7"/>
    <w:rsid w:val="00701BDE"/>
    <w:rsid w:val="00702151"/>
    <w:rsid w:val="007023C8"/>
    <w:rsid w:val="00702579"/>
    <w:rsid w:val="00703DF9"/>
    <w:rsid w:val="007048EB"/>
    <w:rsid w:val="00704B6E"/>
    <w:rsid w:val="00704FBB"/>
    <w:rsid w:val="0070505E"/>
    <w:rsid w:val="0070551C"/>
    <w:rsid w:val="00705D2B"/>
    <w:rsid w:val="007067DD"/>
    <w:rsid w:val="0070715D"/>
    <w:rsid w:val="0070726A"/>
    <w:rsid w:val="0070729B"/>
    <w:rsid w:val="00707886"/>
    <w:rsid w:val="00707A8A"/>
    <w:rsid w:val="00707AFA"/>
    <w:rsid w:val="007103D8"/>
    <w:rsid w:val="00711094"/>
    <w:rsid w:val="007112E3"/>
    <w:rsid w:val="00711DF0"/>
    <w:rsid w:val="007121BC"/>
    <w:rsid w:val="0071226B"/>
    <w:rsid w:val="00713D39"/>
    <w:rsid w:val="0071410E"/>
    <w:rsid w:val="0071532B"/>
    <w:rsid w:val="00715470"/>
    <w:rsid w:val="00715C90"/>
    <w:rsid w:val="00715FAE"/>
    <w:rsid w:val="007161DA"/>
    <w:rsid w:val="00716A7A"/>
    <w:rsid w:val="00717040"/>
    <w:rsid w:val="00717184"/>
    <w:rsid w:val="007207E2"/>
    <w:rsid w:val="00721430"/>
    <w:rsid w:val="00721C92"/>
    <w:rsid w:val="00721D02"/>
    <w:rsid w:val="00722353"/>
    <w:rsid w:val="007223BF"/>
    <w:rsid w:val="00722409"/>
    <w:rsid w:val="00722A7B"/>
    <w:rsid w:val="00722F97"/>
    <w:rsid w:val="0072336D"/>
    <w:rsid w:val="00723861"/>
    <w:rsid w:val="00725E86"/>
    <w:rsid w:val="00725F2C"/>
    <w:rsid w:val="00726228"/>
    <w:rsid w:val="00726AAF"/>
    <w:rsid w:val="00726CBE"/>
    <w:rsid w:val="00726F3A"/>
    <w:rsid w:val="00727496"/>
    <w:rsid w:val="00727B40"/>
    <w:rsid w:val="007302E1"/>
    <w:rsid w:val="007304EE"/>
    <w:rsid w:val="00730643"/>
    <w:rsid w:val="00730882"/>
    <w:rsid w:val="0073091F"/>
    <w:rsid w:val="00730A2C"/>
    <w:rsid w:val="00730DF0"/>
    <w:rsid w:val="00732B7A"/>
    <w:rsid w:val="00733508"/>
    <w:rsid w:val="00733983"/>
    <w:rsid w:val="007339B7"/>
    <w:rsid w:val="007348EE"/>
    <w:rsid w:val="00734A38"/>
    <w:rsid w:val="0073590D"/>
    <w:rsid w:val="00735AA2"/>
    <w:rsid w:val="00736209"/>
    <w:rsid w:val="007368A3"/>
    <w:rsid w:val="00736E0A"/>
    <w:rsid w:val="0074003B"/>
    <w:rsid w:val="00741DA1"/>
    <w:rsid w:val="007420D3"/>
    <w:rsid w:val="00742506"/>
    <w:rsid w:val="0074357D"/>
    <w:rsid w:val="0074368B"/>
    <w:rsid w:val="00743AB6"/>
    <w:rsid w:val="00743BAE"/>
    <w:rsid w:val="007448A5"/>
    <w:rsid w:val="007456C6"/>
    <w:rsid w:val="00745B5A"/>
    <w:rsid w:val="0074681B"/>
    <w:rsid w:val="00746875"/>
    <w:rsid w:val="00746C9F"/>
    <w:rsid w:val="00746D68"/>
    <w:rsid w:val="00747640"/>
    <w:rsid w:val="00747981"/>
    <w:rsid w:val="00750B64"/>
    <w:rsid w:val="0075174E"/>
    <w:rsid w:val="007519EA"/>
    <w:rsid w:val="00751F52"/>
    <w:rsid w:val="0075201E"/>
    <w:rsid w:val="007527D4"/>
    <w:rsid w:val="00752E13"/>
    <w:rsid w:val="00753046"/>
    <w:rsid w:val="00753C7D"/>
    <w:rsid w:val="00753D7F"/>
    <w:rsid w:val="007553B6"/>
    <w:rsid w:val="00755C17"/>
    <w:rsid w:val="00756EC4"/>
    <w:rsid w:val="00756EDF"/>
    <w:rsid w:val="00757112"/>
    <w:rsid w:val="0075713B"/>
    <w:rsid w:val="00757C32"/>
    <w:rsid w:val="007603F6"/>
    <w:rsid w:val="00760DA8"/>
    <w:rsid w:val="0076146B"/>
    <w:rsid w:val="00761844"/>
    <w:rsid w:val="00762012"/>
    <w:rsid w:val="00762288"/>
    <w:rsid w:val="007628B1"/>
    <w:rsid w:val="007634AB"/>
    <w:rsid w:val="00763529"/>
    <w:rsid w:val="00763E59"/>
    <w:rsid w:val="00765D6A"/>
    <w:rsid w:val="00766054"/>
    <w:rsid w:val="007662D5"/>
    <w:rsid w:val="00766473"/>
    <w:rsid w:val="00766CC0"/>
    <w:rsid w:val="0076743B"/>
    <w:rsid w:val="007674FD"/>
    <w:rsid w:val="007706BC"/>
    <w:rsid w:val="00772492"/>
    <w:rsid w:val="00772720"/>
    <w:rsid w:val="00772DA9"/>
    <w:rsid w:val="00772F19"/>
    <w:rsid w:val="007735D1"/>
    <w:rsid w:val="007738AA"/>
    <w:rsid w:val="00773F5E"/>
    <w:rsid w:val="00773FE2"/>
    <w:rsid w:val="007750A2"/>
    <w:rsid w:val="007751AD"/>
    <w:rsid w:val="00775A52"/>
    <w:rsid w:val="00775CDC"/>
    <w:rsid w:val="00777D76"/>
    <w:rsid w:val="00777EDA"/>
    <w:rsid w:val="00780E28"/>
    <w:rsid w:val="00781175"/>
    <w:rsid w:val="007817D6"/>
    <w:rsid w:val="00782D70"/>
    <w:rsid w:val="00783618"/>
    <w:rsid w:val="007837BD"/>
    <w:rsid w:val="00783A31"/>
    <w:rsid w:val="00783B15"/>
    <w:rsid w:val="00783B42"/>
    <w:rsid w:val="00784E65"/>
    <w:rsid w:val="00786203"/>
    <w:rsid w:val="0078637F"/>
    <w:rsid w:val="00786E0A"/>
    <w:rsid w:val="00786F92"/>
    <w:rsid w:val="00786FFD"/>
    <w:rsid w:val="00787912"/>
    <w:rsid w:val="00790DB1"/>
    <w:rsid w:val="0079177A"/>
    <w:rsid w:val="00791CFA"/>
    <w:rsid w:val="007929DA"/>
    <w:rsid w:val="00793EC4"/>
    <w:rsid w:val="00794836"/>
    <w:rsid w:val="007948D5"/>
    <w:rsid w:val="00794F4C"/>
    <w:rsid w:val="00795501"/>
    <w:rsid w:val="00795AC7"/>
    <w:rsid w:val="00795C1D"/>
    <w:rsid w:val="00795FE0"/>
    <w:rsid w:val="00796130"/>
    <w:rsid w:val="0079624E"/>
    <w:rsid w:val="007978D4"/>
    <w:rsid w:val="00797B23"/>
    <w:rsid w:val="007A033F"/>
    <w:rsid w:val="007A06A1"/>
    <w:rsid w:val="007A14F0"/>
    <w:rsid w:val="007A15C9"/>
    <w:rsid w:val="007A1FE3"/>
    <w:rsid w:val="007A21C5"/>
    <w:rsid w:val="007A38E6"/>
    <w:rsid w:val="007A4001"/>
    <w:rsid w:val="007A459F"/>
    <w:rsid w:val="007A501C"/>
    <w:rsid w:val="007A52A0"/>
    <w:rsid w:val="007A612A"/>
    <w:rsid w:val="007A618B"/>
    <w:rsid w:val="007A6676"/>
    <w:rsid w:val="007A7B26"/>
    <w:rsid w:val="007B0070"/>
    <w:rsid w:val="007B01BC"/>
    <w:rsid w:val="007B01DC"/>
    <w:rsid w:val="007B0587"/>
    <w:rsid w:val="007B1C4F"/>
    <w:rsid w:val="007B3255"/>
    <w:rsid w:val="007B341E"/>
    <w:rsid w:val="007B459C"/>
    <w:rsid w:val="007B5BA6"/>
    <w:rsid w:val="007B60EA"/>
    <w:rsid w:val="007B6145"/>
    <w:rsid w:val="007B6223"/>
    <w:rsid w:val="007B622D"/>
    <w:rsid w:val="007B6CF5"/>
    <w:rsid w:val="007B6D4B"/>
    <w:rsid w:val="007B6E19"/>
    <w:rsid w:val="007B79A1"/>
    <w:rsid w:val="007B7FF5"/>
    <w:rsid w:val="007C057D"/>
    <w:rsid w:val="007C0B8E"/>
    <w:rsid w:val="007C2C22"/>
    <w:rsid w:val="007C2C57"/>
    <w:rsid w:val="007C3FC6"/>
    <w:rsid w:val="007C4200"/>
    <w:rsid w:val="007C5578"/>
    <w:rsid w:val="007C6353"/>
    <w:rsid w:val="007C653B"/>
    <w:rsid w:val="007C6A25"/>
    <w:rsid w:val="007C6D16"/>
    <w:rsid w:val="007C7164"/>
    <w:rsid w:val="007C71AA"/>
    <w:rsid w:val="007C72B9"/>
    <w:rsid w:val="007D0D82"/>
    <w:rsid w:val="007D1641"/>
    <w:rsid w:val="007D1AC0"/>
    <w:rsid w:val="007D1D6F"/>
    <w:rsid w:val="007D2CE9"/>
    <w:rsid w:val="007D39F2"/>
    <w:rsid w:val="007D4400"/>
    <w:rsid w:val="007D47E9"/>
    <w:rsid w:val="007D4951"/>
    <w:rsid w:val="007D4D10"/>
    <w:rsid w:val="007D4FED"/>
    <w:rsid w:val="007D5770"/>
    <w:rsid w:val="007D5AD4"/>
    <w:rsid w:val="007D6128"/>
    <w:rsid w:val="007D69DA"/>
    <w:rsid w:val="007D70B1"/>
    <w:rsid w:val="007D7140"/>
    <w:rsid w:val="007D7797"/>
    <w:rsid w:val="007D7EB8"/>
    <w:rsid w:val="007E11A0"/>
    <w:rsid w:val="007E1B62"/>
    <w:rsid w:val="007E1C73"/>
    <w:rsid w:val="007E1CDB"/>
    <w:rsid w:val="007E2767"/>
    <w:rsid w:val="007E3302"/>
    <w:rsid w:val="007E3532"/>
    <w:rsid w:val="007E408C"/>
    <w:rsid w:val="007E41AF"/>
    <w:rsid w:val="007E42D3"/>
    <w:rsid w:val="007E42E7"/>
    <w:rsid w:val="007E679B"/>
    <w:rsid w:val="007E6B19"/>
    <w:rsid w:val="007E6FA2"/>
    <w:rsid w:val="007E7E21"/>
    <w:rsid w:val="007F0460"/>
    <w:rsid w:val="007F0DA2"/>
    <w:rsid w:val="007F1D85"/>
    <w:rsid w:val="007F2220"/>
    <w:rsid w:val="007F25BE"/>
    <w:rsid w:val="007F39CE"/>
    <w:rsid w:val="007F3B58"/>
    <w:rsid w:val="007F3E71"/>
    <w:rsid w:val="007F49E9"/>
    <w:rsid w:val="007F5E09"/>
    <w:rsid w:val="007F5E0D"/>
    <w:rsid w:val="007F6510"/>
    <w:rsid w:val="007F6C44"/>
    <w:rsid w:val="007F6F3F"/>
    <w:rsid w:val="007F7997"/>
    <w:rsid w:val="007F7F7F"/>
    <w:rsid w:val="00800C1B"/>
    <w:rsid w:val="00801027"/>
    <w:rsid w:val="00801085"/>
    <w:rsid w:val="00801592"/>
    <w:rsid w:val="00801A89"/>
    <w:rsid w:val="00805038"/>
    <w:rsid w:val="0080603F"/>
    <w:rsid w:val="008071B0"/>
    <w:rsid w:val="0080727A"/>
    <w:rsid w:val="00807800"/>
    <w:rsid w:val="00807B57"/>
    <w:rsid w:val="008103CF"/>
    <w:rsid w:val="0081052D"/>
    <w:rsid w:val="008106AE"/>
    <w:rsid w:val="00810714"/>
    <w:rsid w:val="00810E22"/>
    <w:rsid w:val="0081174F"/>
    <w:rsid w:val="00812132"/>
    <w:rsid w:val="00812138"/>
    <w:rsid w:val="008125A3"/>
    <w:rsid w:val="00812CC4"/>
    <w:rsid w:val="00813050"/>
    <w:rsid w:val="00814391"/>
    <w:rsid w:val="008151F2"/>
    <w:rsid w:val="008152C7"/>
    <w:rsid w:val="008161B9"/>
    <w:rsid w:val="00816D46"/>
    <w:rsid w:val="00816D7C"/>
    <w:rsid w:val="008171BB"/>
    <w:rsid w:val="0081777A"/>
    <w:rsid w:val="008178EA"/>
    <w:rsid w:val="00817F5A"/>
    <w:rsid w:val="00820D3D"/>
    <w:rsid w:val="00820E3A"/>
    <w:rsid w:val="008210E0"/>
    <w:rsid w:val="008210E2"/>
    <w:rsid w:val="00822191"/>
    <w:rsid w:val="0082291F"/>
    <w:rsid w:val="00822E1B"/>
    <w:rsid w:val="00822F91"/>
    <w:rsid w:val="008236D7"/>
    <w:rsid w:val="00823F36"/>
    <w:rsid w:val="00824079"/>
    <w:rsid w:val="00824789"/>
    <w:rsid w:val="008247E4"/>
    <w:rsid w:val="008252D5"/>
    <w:rsid w:val="008257DC"/>
    <w:rsid w:val="00825B60"/>
    <w:rsid w:val="00826078"/>
    <w:rsid w:val="00826121"/>
    <w:rsid w:val="00826538"/>
    <w:rsid w:val="00826839"/>
    <w:rsid w:val="00827185"/>
    <w:rsid w:val="0082769D"/>
    <w:rsid w:val="008277B8"/>
    <w:rsid w:val="008307E1"/>
    <w:rsid w:val="00830B89"/>
    <w:rsid w:val="008311F9"/>
    <w:rsid w:val="00831C05"/>
    <w:rsid w:val="00831F0A"/>
    <w:rsid w:val="008320B2"/>
    <w:rsid w:val="00832B37"/>
    <w:rsid w:val="00833791"/>
    <w:rsid w:val="00833A78"/>
    <w:rsid w:val="00833E92"/>
    <w:rsid w:val="00834B9B"/>
    <w:rsid w:val="00835088"/>
    <w:rsid w:val="008356E6"/>
    <w:rsid w:val="008356FA"/>
    <w:rsid w:val="00835F60"/>
    <w:rsid w:val="00836638"/>
    <w:rsid w:val="008368CA"/>
    <w:rsid w:val="00837A1A"/>
    <w:rsid w:val="008407D5"/>
    <w:rsid w:val="008409B0"/>
    <w:rsid w:val="00842165"/>
    <w:rsid w:val="0084222C"/>
    <w:rsid w:val="008438ED"/>
    <w:rsid w:val="00844500"/>
    <w:rsid w:val="00844B16"/>
    <w:rsid w:val="0084585F"/>
    <w:rsid w:val="00845CCD"/>
    <w:rsid w:val="00845F6A"/>
    <w:rsid w:val="008462B4"/>
    <w:rsid w:val="00846A62"/>
    <w:rsid w:val="008471F2"/>
    <w:rsid w:val="0085047C"/>
    <w:rsid w:val="00850FB3"/>
    <w:rsid w:val="00851066"/>
    <w:rsid w:val="008514A9"/>
    <w:rsid w:val="0085172F"/>
    <w:rsid w:val="00851A29"/>
    <w:rsid w:val="0085290F"/>
    <w:rsid w:val="00853414"/>
    <w:rsid w:val="008534C4"/>
    <w:rsid w:val="00853E53"/>
    <w:rsid w:val="008547CD"/>
    <w:rsid w:val="008549B6"/>
    <w:rsid w:val="00854D91"/>
    <w:rsid w:val="00855133"/>
    <w:rsid w:val="00856118"/>
    <w:rsid w:val="00856239"/>
    <w:rsid w:val="00856321"/>
    <w:rsid w:val="00856671"/>
    <w:rsid w:val="008569B3"/>
    <w:rsid w:val="00856BBC"/>
    <w:rsid w:val="0085716E"/>
    <w:rsid w:val="00857B77"/>
    <w:rsid w:val="00860312"/>
    <w:rsid w:val="00860A57"/>
    <w:rsid w:val="008615FF"/>
    <w:rsid w:val="00862019"/>
    <w:rsid w:val="008621E0"/>
    <w:rsid w:val="0086294A"/>
    <w:rsid w:val="00863317"/>
    <w:rsid w:val="008647D0"/>
    <w:rsid w:val="00864D76"/>
    <w:rsid w:val="0086506A"/>
    <w:rsid w:val="00865159"/>
    <w:rsid w:val="008653A0"/>
    <w:rsid w:val="00865663"/>
    <w:rsid w:val="008656C9"/>
    <w:rsid w:val="00865BA8"/>
    <w:rsid w:val="008669FD"/>
    <w:rsid w:val="0086711C"/>
    <w:rsid w:val="008671B4"/>
    <w:rsid w:val="00867535"/>
    <w:rsid w:val="00867686"/>
    <w:rsid w:val="00867C30"/>
    <w:rsid w:val="00870242"/>
    <w:rsid w:val="00870762"/>
    <w:rsid w:val="0087076C"/>
    <w:rsid w:val="0087177D"/>
    <w:rsid w:val="0087236A"/>
    <w:rsid w:val="008727ED"/>
    <w:rsid w:val="008729EB"/>
    <w:rsid w:val="00874110"/>
    <w:rsid w:val="00874456"/>
    <w:rsid w:val="00875285"/>
    <w:rsid w:val="008758F9"/>
    <w:rsid w:val="00875C5B"/>
    <w:rsid w:val="00877D5C"/>
    <w:rsid w:val="0088004C"/>
    <w:rsid w:val="00880F13"/>
    <w:rsid w:val="00880FE2"/>
    <w:rsid w:val="0088193E"/>
    <w:rsid w:val="008822E4"/>
    <w:rsid w:val="0088232B"/>
    <w:rsid w:val="00882425"/>
    <w:rsid w:val="0088309C"/>
    <w:rsid w:val="008831D9"/>
    <w:rsid w:val="00883C5F"/>
    <w:rsid w:val="00883FCA"/>
    <w:rsid w:val="008844DD"/>
    <w:rsid w:val="00884C4A"/>
    <w:rsid w:val="00885CAA"/>
    <w:rsid w:val="00887978"/>
    <w:rsid w:val="0089016C"/>
    <w:rsid w:val="008901ED"/>
    <w:rsid w:val="0089107C"/>
    <w:rsid w:val="008913BB"/>
    <w:rsid w:val="00891C7D"/>
    <w:rsid w:val="0089200C"/>
    <w:rsid w:val="00892FA7"/>
    <w:rsid w:val="00893B8C"/>
    <w:rsid w:val="00895030"/>
    <w:rsid w:val="00895628"/>
    <w:rsid w:val="00896B4D"/>
    <w:rsid w:val="00896BB4"/>
    <w:rsid w:val="00896F44"/>
    <w:rsid w:val="008976C9"/>
    <w:rsid w:val="00897794"/>
    <w:rsid w:val="008A0B4F"/>
    <w:rsid w:val="008A0D12"/>
    <w:rsid w:val="008A2226"/>
    <w:rsid w:val="008A2603"/>
    <w:rsid w:val="008A2796"/>
    <w:rsid w:val="008A2CFC"/>
    <w:rsid w:val="008A3301"/>
    <w:rsid w:val="008A4775"/>
    <w:rsid w:val="008A4DF1"/>
    <w:rsid w:val="008A54E7"/>
    <w:rsid w:val="008A55D2"/>
    <w:rsid w:val="008A5636"/>
    <w:rsid w:val="008A6877"/>
    <w:rsid w:val="008A6899"/>
    <w:rsid w:val="008A71AD"/>
    <w:rsid w:val="008A74D3"/>
    <w:rsid w:val="008A7531"/>
    <w:rsid w:val="008A78FB"/>
    <w:rsid w:val="008B06EC"/>
    <w:rsid w:val="008B0967"/>
    <w:rsid w:val="008B0BA0"/>
    <w:rsid w:val="008B125E"/>
    <w:rsid w:val="008B2022"/>
    <w:rsid w:val="008B241C"/>
    <w:rsid w:val="008B2AFA"/>
    <w:rsid w:val="008B2E01"/>
    <w:rsid w:val="008B36BF"/>
    <w:rsid w:val="008B3A64"/>
    <w:rsid w:val="008B3F08"/>
    <w:rsid w:val="008B408B"/>
    <w:rsid w:val="008B4C6D"/>
    <w:rsid w:val="008B4F11"/>
    <w:rsid w:val="008B5184"/>
    <w:rsid w:val="008B54FE"/>
    <w:rsid w:val="008B6745"/>
    <w:rsid w:val="008B6D2E"/>
    <w:rsid w:val="008B7D7A"/>
    <w:rsid w:val="008B7F10"/>
    <w:rsid w:val="008C008D"/>
    <w:rsid w:val="008C04C4"/>
    <w:rsid w:val="008C0C0B"/>
    <w:rsid w:val="008C2362"/>
    <w:rsid w:val="008C23C5"/>
    <w:rsid w:val="008C2E45"/>
    <w:rsid w:val="008C3049"/>
    <w:rsid w:val="008C32E8"/>
    <w:rsid w:val="008C3A0C"/>
    <w:rsid w:val="008C5CCB"/>
    <w:rsid w:val="008C6836"/>
    <w:rsid w:val="008C6F2C"/>
    <w:rsid w:val="008C736F"/>
    <w:rsid w:val="008C75AF"/>
    <w:rsid w:val="008C777E"/>
    <w:rsid w:val="008C7780"/>
    <w:rsid w:val="008C7F9A"/>
    <w:rsid w:val="008D0590"/>
    <w:rsid w:val="008D0D9D"/>
    <w:rsid w:val="008D16A9"/>
    <w:rsid w:val="008D1AFA"/>
    <w:rsid w:val="008D1B27"/>
    <w:rsid w:val="008D1C80"/>
    <w:rsid w:val="008D232D"/>
    <w:rsid w:val="008D2A34"/>
    <w:rsid w:val="008D31D0"/>
    <w:rsid w:val="008D3363"/>
    <w:rsid w:val="008D4AE9"/>
    <w:rsid w:val="008D55A6"/>
    <w:rsid w:val="008D5C3A"/>
    <w:rsid w:val="008D5CA4"/>
    <w:rsid w:val="008D5CF3"/>
    <w:rsid w:val="008D5E21"/>
    <w:rsid w:val="008D5F78"/>
    <w:rsid w:val="008D6097"/>
    <w:rsid w:val="008D62AF"/>
    <w:rsid w:val="008D6A3E"/>
    <w:rsid w:val="008D7D39"/>
    <w:rsid w:val="008E0C0D"/>
    <w:rsid w:val="008E1C9F"/>
    <w:rsid w:val="008E2B8A"/>
    <w:rsid w:val="008E3AA1"/>
    <w:rsid w:val="008E3E6B"/>
    <w:rsid w:val="008E418D"/>
    <w:rsid w:val="008E4574"/>
    <w:rsid w:val="008E5409"/>
    <w:rsid w:val="008E553C"/>
    <w:rsid w:val="008E5956"/>
    <w:rsid w:val="008E5FAB"/>
    <w:rsid w:val="008E5FFE"/>
    <w:rsid w:val="008E61F0"/>
    <w:rsid w:val="008F00D0"/>
    <w:rsid w:val="008F1182"/>
    <w:rsid w:val="008F22FF"/>
    <w:rsid w:val="008F3976"/>
    <w:rsid w:val="008F400E"/>
    <w:rsid w:val="008F4016"/>
    <w:rsid w:val="008F41A0"/>
    <w:rsid w:val="008F42FE"/>
    <w:rsid w:val="008F4A00"/>
    <w:rsid w:val="008F51CF"/>
    <w:rsid w:val="008F5402"/>
    <w:rsid w:val="008F6652"/>
    <w:rsid w:val="008F67D8"/>
    <w:rsid w:val="008F6C91"/>
    <w:rsid w:val="008F7073"/>
    <w:rsid w:val="008F79F5"/>
    <w:rsid w:val="008F7D19"/>
    <w:rsid w:val="00900085"/>
    <w:rsid w:val="0090053A"/>
    <w:rsid w:val="00900EB3"/>
    <w:rsid w:val="009010DD"/>
    <w:rsid w:val="00901272"/>
    <w:rsid w:val="00901C2A"/>
    <w:rsid w:val="00902091"/>
    <w:rsid w:val="00902219"/>
    <w:rsid w:val="009029E7"/>
    <w:rsid w:val="00902F72"/>
    <w:rsid w:val="00902F7B"/>
    <w:rsid w:val="009031F2"/>
    <w:rsid w:val="00903976"/>
    <w:rsid w:val="00903B30"/>
    <w:rsid w:val="00904137"/>
    <w:rsid w:val="00904806"/>
    <w:rsid w:val="00904D49"/>
    <w:rsid w:val="009059C6"/>
    <w:rsid w:val="00905C32"/>
    <w:rsid w:val="0090606C"/>
    <w:rsid w:val="00906B56"/>
    <w:rsid w:val="00906ECA"/>
    <w:rsid w:val="009076F9"/>
    <w:rsid w:val="00907CF1"/>
    <w:rsid w:val="009104AB"/>
    <w:rsid w:val="009113E7"/>
    <w:rsid w:val="009118C7"/>
    <w:rsid w:val="00911CDA"/>
    <w:rsid w:val="009126E5"/>
    <w:rsid w:val="00912808"/>
    <w:rsid w:val="00914AEC"/>
    <w:rsid w:val="00915316"/>
    <w:rsid w:val="0091648E"/>
    <w:rsid w:val="0091680C"/>
    <w:rsid w:val="00916B32"/>
    <w:rsid w:val="00916EB5"/>
    <w:rsid w:val="00917D76"/>
    <w:rsid w:val="00917DBE"/>
    <w:rsid w:val="00917E51"/>
    <w:rsid w:val="00917E8A"/>
    <w:rsid w:val="00917F2F"/>
    <w:rsid w:val="009201A0"/>
    <w:rsid w:val="0092046E"/>
    <w:rsid w:val="009210B0"/>
    <w:rsid w:val="00921641"/>
    <w:rsid w:val="00921B69"/>
    <w:rsid w:val="009223A1"/>
    <w:rsid w:val="009225B6"/>
    <w:rsid w:val="00922F4C"/>
    <w:rsid w:val="00923B4E"/>
    <w:rsid w:val="009242CA"/>
    <w:rsid w:val="009243A0"/>
    <w:rsid w:val="00925015"/>
    <w:rsid w:val="00925397"/>
    <w:rsid w:val="009253F5"/>
    <w:rsid w:val="0092749D"/>
    <w:rsid w:val="0092756A"/>
    <w:rsid w:val="009278D3"/>
    <w:rsid w:val="00930DFA"/>
    <w:rsid w:val="0093148D"/>
    <w:rsid w:val="009322CA"/>
    <w:rsid w:val="00932A7E"/>
    <w:rsid w:val="0093351B"/>
    <w:rsid w:val="0093382E"/>
    <w:rsid w:val="00933A21"/>
    <w:rsid w:val="009345EE"/>
    <w:rsid w:val="00934C10"/>
    <w:rsid w:val="00934FF6"/>
    <w:rsid w:val="00934FFB"/>
    <w:rsid w:val="0093564E"/>
    <w:rsid w:val="0093662A"/>
    <w:rsid w:val="009369E8"/>
    <w:rsid w:val="009369F1"/>
    <w:rsid w:val="00936E5C"/>
    <w:rsid w:val="009375C3"/>
    <w:rsid w:val="009375D1"/>
    <w:rsid w:val="00940015"/>
    <w:rsid w:val="009401CE"/>
    <w:rsid w:val="00940214"/>
    <w:rsid w:val="00940345"/>
    <w:rsid w:val="0094051B"/>
    <w:rsid w:val="0094060C"/>
    <w:rsid w:val="00940666"/>
    <w:rsid w:val="009421D6"/>
    <w:rsid w:val="00942E5B"/>
    <w:rsid w:val="009431FC"/>
    <w:rsid w:val="00943BB4"/>
    <w:rsid w:val="00943F66"/>
    <w:rsid w:val="00944075"/>
    <w:rsid w:val="00947042"/>
    <w:rsid w:val="00947B88"/>
    <w:rsid w:val="00947E32"/>
    <w:rsid w:val="0095038D"/>
    <w:rsid w:val="0095096B"/>
    <w:rsid w:val="00950A6F"/>
    <w:rsid w:val="00951550"/>
    <w:rsid w:val="00951CBC"/>
    <w:rsid w:val="00951F5C"/>
    <w:rsid w:val="00952389"/>
    <w:rsid w:val="0095316A"/>
    <w:rsid w:val="009533AB"/>
    <w:rsid w:val="009534AA"/>
    <w:rsid w:val="009535E8"/>
    <w:rsid w:val="009538BD"/>
    <w:rsid w:val="00953928"/>
    <w:rsid w:val="00953EE0"/>
    <w:rsid w:val="0095408A"/>
    <w:rsid w:val="00954331"/>
    <w:rsid w:val="0095444A"/>
    <w:rsid w:val="00955A4A"/>
    <w:rsid w:val="00955A7E"/>
    <w:rsid w:val="0095736E"/>
    <w:rsid w:val="009606A5"/>
    <w:rsid w:val="00962C79"/>
    <w:rsid w:val="00962F1F"/>
    <w:rsid w:val="00962FD0"/>
    <w:rsid w:val="00963351"/>
    <w:rsid w:val="00963702"/>
    <w:rsid w:val="00964083"/>
    <w:rsid w:val="00964B6F"/>
    <w:rsid w:val="00965304"/>
    <w:rsid w:val="009655F0"/>
    <w:rsid w:val="00966D01"/>
    <w:rsid w:val="00966F1B"/>
    <w:rsid w:val="00966FC7"/>
    <w:rsid w:val="00970041"/>
    <w:rsid w:val="00970715"/>
    <w:rsid w:val="00971293"/>
    <w:rsid w:val="009716E3"/>
    <w:rsid w:val="00971FA5"/>
    <w:rsid w:val="009733BF"/>
    <w:rsid w:val="0097363E"/>
    <w:rsid w:val="009736BB"/>
    <w:rsid w:val="00973926"/>
    <w:rsid w:val="00973A3B"/>
    <w:rsid w:val="00973C8C"/>
    <w:rsid w:val="009743B9"/>
    <w:rsid w:val="00975B1A"/>
    <w:rsid w:val="00975C03"/>
    <w:rsid w:val="00976025"/>
    <w:rsid w:val="00976205"/>
    <w:rsid w:val="0097674A"/>
    <w:rsid w:val="009770D0"/>
    <w:rsid w:val="009779EA"/>
    <w:rsid w:val="009802F4"/>
    <w:rsid w:val="009806A7"/>
    <w:rsid w:val="009808AB"/>
    <w:rsid w:val="00980AFF"/>
    <w:rsid w:val="00981045"/>
    <w:rsid w:val="00981930"/>
    <w:rsid w:val="00981D12"/>
    <w:rsid w:val="00981E6C"/>
    <w:rsid w:val="00981F02"/>
    <w:rsid w:val="00982227"/>
    <w:rsid w:val="00982532"/>
    <w:rsid w:val="00982678"/>
    <w:rsid w:val="00982B0B"/>
    <w:rsid w:val="009832DB"/>
    <w:rsid w:val="00983797"/>
    <w:rsid w:val="00983EAE"/>
    <w:rsid w:val="00984816"/>
    <w:rsid w:val="00984D51"/>
    <w:rsid w:val="00985663"/>
    <w:rsid w:val="00985FBF"/>
    <w:rsid w:val="00986122"/>
    <w:rsid w:val="0098682E"/>
    <w:rsid w:val="0098760B"/>
    <w:rsid w:val="00987A2A"/>
    <w:rsid w:val="00991AAF"/>
    <w:rsid w:val="00991EF7"/>
    <w:rsid w:val="00993124"/>
    <w:rsid w:val="00993C75"/>
    <w:rsid w:val="0099406B"/>
    <w:rsid w:val="009960C3"/>
    <w:rsid w:val="00996113"/>
    <w:rsid w:val="0099768E"/>
    <w:rsid w:val="00997864"/>
    <w:rsid w:val="009A11DD"/>
    <w:rsid w:val="009A3D48"/>
    <w:rsid w:val="009A3DF3"/>
    <w:rsid w:val="009A5563"/>
    <w:rsid w:val="009A5FB5"/>
    <w:rsid w:val="009B27DD"/>
    <w:rsid w:val="009B29E0"/>
    <w:rsid w:val="009B30AA"/>
    <w:rsid w:val="009B3B00"/>
    <w:rsid w:val="009B3CCB"/>
    <w:rsid w:val="009B4265"/>
    <w:rsid w:val="009B49FD"/>
    <w:rsid w:val="009B5217"/>
    <w:rsid w:val="009B69DB"/>
    <w:rsid w:val="009B70DB"/>
    <w:rsid w:val="009C0A06"/>
    <w:rsid w:val="009C1941"/>
    <w:rsid w:val="009C1C25"/>
    <w:rsid w:val="009C2151"/>
    <w:rsid w:val="009C3FC6"/>
    <w:rsid w:val="009C4798"/>
    <w:rsid w:val="009C48DE"/>
    <w:rsid w:val="009C677B"/>
    <w:rsid w:val="009C7583"/>
    <w:rsid w:val="009C7861"/>
    <w:rsid w:val="009C7A5B"/>
    <w:rsid w:val="009C7EFF"/>
    <w:rsid w:val="009D0A6A"/>
    <w:rsid w:val="009D0A6F"/>
    <w:rsid w:val="009D115B"/>
    <w:rsid w:val="009D1834"/>
    <w:rsid w:val="009D1B6B"/>
    <w:rsid w:val="009D2C29"/>
    <w:rsid w:val="009D2C61"/>
    <w:rsid w:val="009D3108"/>
    <w:rsid w:val="009D6394"/>
    <w:rsid w:val="009D7C68"/>
    <w:rsid w:val="009D7CBF"/>
    <w:rsid w:val="009E003B"/>
    <w:rsid w:val="009E065D"/>
    <w:rsid w:val="009E19C4"/>
    <w:rsid w:val="009E1D16"/>
    <w:rsid w:val="009E1E1E"/>
    <w:rsid w:val="009E20D2"/>
    <w:rsid w:val="009E33E3"/>
    <w:rsid w:val="009E3657"/>
    <w:rsid w:val="009E365B"/>
    <w:rsid w:val="009E3D39"/>
    <w:rsid w:val="009E44CB"/>
    <w:rsid w:val="009E4C84"/>
    <w:rsid w:val="009E4DC6"/>
    <w:rsid w:val="009E5590"/>
    <w:rsid w:val="009E55B4"/>
    <w:rsid w:val="009E561E"/>
    <w:rsid w:val="009E66D2"/>
    <w:rsid w:val="009E7E78"/>
    <w:rsid w:val="009E7F16"/>
    <w:rsid w:val="009F16A7"/>
    <w:rsid w:val="009F20B3"/>
    <w:rsid w:val="009F26A9"/>
    <w:rsid w:val="009F2957"/>
    <w:rsid w:val="009F2D7D"/>
    <w:rsid w:val="009F4871"/>
    <w:rsid w:val="009F5052"/>
    <w:rsid w:val="009F5376"/>
    <w:rsid w:val="009F5817"/>
    <w:rsid w:val="009F5CB5"/>
    <w:rsid w:val="009F5E35"/>
    <w:rsid w:val="009F5FFE"/>
    <w:rsid w:val="009F65C7"/>
    <w:rsid w:val="009F6677"/>
    <w:rsid w:val="009F6AD9"/>
    <w:rsid w:val="009F7C6E"/>
    <w:rsid w:val="00A00842"/>
    <w:rsid w:val="00A00857"/>
    <w:rsid w:val="00A011A1"/>
    <w:rsid w:val="00A0167E"/>
    <w:rsid w:val="00A017E6"/>
    <w:rsid w:val="00A020B3"/>
    <w:rsid w:val="00A024FF"/>
    <w:rsid w:val="00A02A1C"/>
    <w:rsid w:val="00A034B7"/>
    <w:rsid w:val="00A04C85"/>
    <w:rsid w:val="00A05B30"/>
    <w:rsid w:val="00A05F97"/>
    <w:rsid w:val="00A0654A"/>
    <w:rsid w:val="00A06639"/>
    <w:rsid w:val="00A07467"/>
    <w:rsid w:val="00A07489"/>
    <w:rsid w:val="00A07F53"/>
    <w:rsid w:val="00A100F0"/>
    <w:rsid w:val="00A107BD"/>
    <w:rsid w:val="00A12027"/>
    <w:rsid w:val="00A12030"/>
    <w:rsid w:val="00A12C9A"/>
    <w:rsid w:val="00A13C4C"/>
    <w:rsid w:val="00A141F1"/>
    <w:rsid w:val="00A156E6"/>
    <w:rsid w:val="00A1596E"/>
    <w:rsid w:val="00A164A3"/>
    <w:rsid w:val="00A17AD1"/>
    <w:rsid w:val="00A17F61"/>
    <w:rsid w:val="00A17F87"/>
    <w:rsid w:val="00A20C1B"/>
    <w:rsid w:val="00A220E8"/>
    <w:rsid w:val="00A2278D"/>
    <w:rsid w:val="00A228AA"/>
    <w:rsid w:val="00A23C8B"/>
    <w:rsid w:val="00A23DBC"/>
    <w:rsid w:val="00A241D0"/>
    <w:rsid w:val="00A247DA"/>
    <w:rsid w:val="00A257C5"/>
    <w:rsid w:val="00A267BA"/>
    <w:rsid w:val="00A27630"/>
    <w:rsid w:val="00A27CE3"/>
    <w:rsid w:val="00A27D86"/>
    <w:rsid w:val="00A30566"/>
    <w:rsid w:val="00A30CED"/>
    <w:rsid w:val="00A316C0"/>
    <w:rsid w:val="00A32F8F"/>
    <w:rsid w:val="00A33151"/>
    <w:rsid w:val="00A33472"/>
    <w:rsid w:val="00A339B0"/>
    <w:rsid w:val="00A34E2C"/>
    <w:rsid w:val="00A35086"/>
    <w:rsid w:val="00A36792"/>
    <w:rsid w:val="00A36970"/>
    <w:rsid w:val="00A36F09"/>
    <w:rsid w:val="00A4175E"/>
    <w:rsid w:val="00A41EB4"/>
    <w:rsid w:val="00A42304"/>
    <w:rsid w:val="00A4250D"/>
    <w:rsid w:val="00A429BC"/>
    <w:rsid w:val="00A42C05"/>
    <w:rsid w:val="00A437B0"/>
    <w:rsid w:val="00A438ED"/>
    <w:rsid w:val="00A43929"/>
    <w:rsid w:val="00A442F6"/>
    <w:rsid w:val="00A44BFF"/>
    <w:rsid w:val="00A463EC"/>
    <w:rsid w:val="00A465DB"/>
    <w:rsid w:val="00A46946"/>
    <w:rsid w:val="00A470D3"/>
    <w:rsid w:val="00A47468"/>
    <w:rsid w:val="00A47B55"/>
    <w:rsid w:val="00A501E3"/>
    <w:rsid w:val="00A5083C"/>
    <w:rsid w:val="00A50F0C"/>
    <w:rsid w:val="00A51A80"/>
    <w:rsid w:val="00A51F08"/>
    <w:rsid w:val="00A523C1"/>
    <w:rsid w:val="00A523F4"/>
    <w:rsid w:val="00A52660"/>
    <w:rsid w:val="00A52C8D"/>
    <w:rsid w:val="00A52DEE"/>
    <w:rsid w:val="00A52F12"/>
    <w:rsid w:val="00A53716"/>
    <w:rsid w:val="00A53A5D"/>
    <w:rsid w:val="00A53E2E"/>
    <w:rsid w:val="00A53F50"/>
    <w:rsid w:val="00A544FA"/>
    <w:rsid w:val="00A547A3"/>
    <w:rsid w:val="00A548F9"/>
    <w:rsid w:val="00A54E12"/>
    <w:rsid w:val="00A54E21"/>
    <w:rsid w:val="00A558F1"/>
    <w:rsid w:val="00A5618A"/>
    <w:rsid w:val="00A56399"/>
    <w:rsid w:val="00A56441"/>
    <w:rsid w:val="00A57134"/>
    <w:rsid w:val="00A57393"/>
    <w:rsid w:val="00A618BF"/>
    <w:rsid w:val="00A62127"/>
    <w:rsid w:val="00A6326C"/>
    <w:rsid w:val="00A63930"/>
    <w:rsid w:val="00A644A3"/>
    <w:rsid w:val="00A651B7"/>
    <w:rsid w:val="00A6689E"/>
    <w:rsid w:val="00A670D4"/>
    <w:rsid w:val="00A70E20"/>
    <w:rsid w:val="00A71B0F"/>
    <w:rsid w:val="00A72818"/>
    <w:rsid w:val="00A72CAE"/>
    <w:rsid w:val="00A731A4"/>
    <w:rsid w:val="00A73208"/>
    <w:rsid w:val="00A736DD"/>
    <w:rsid w:val="00A73A82"/>
    <w:rsid w:val="00A7432D"/>
    <w:rsid w:val="00A75C72"/>
    <w:rsid w:val="00A75D1B"/>
    <w:rsid w:val="00A75E58"/>
    <w:rsid w:val="00A7610B"/>
    <w:rsid w:val="00A761A6"/>
    <w:rsid w:val="00A76B67"/>
    <w:rsid w:val="00A76E10"/>
    <w:rsid w:val="00A76E78"/>
    <w:rsid w:val="00A7728E"/>
    <w:rsid w:val="00A774EA"/>
    <w:rsid w:val="00A77DB8"/>
    <w:rsid w:val="00A8067B"/>
    <w:rsid w:val="00A806EB"/>
    <w:rsid w:val="00A809FF"/>
    <w:rsid w:val="00A81585"/>
    <w:rsid w:val="00A816E2"/>
    <w:rsid w:val="00A81A18"/>
    <w:rsid w:val="00A81E8B"/>
    <w:rsid w:val="00A81EDE"/>
    <w:rsid w:val="00A82248"/>
    <w:rsid w:val="00A8266C"/>
    <w:rsid w:val="00A82869"/>
    <w:rsid w:val="00A83056"/>
    <w:rsid w:val="00A85A1A"/>
    <w:rsid w:val="00A863B3"/>
    <w:rsid w:val="00A87232"/>
    <w:rsid w:val="00A8754E"/>
    <w:rsid w:val="00A8758C"/>
    <w:rsid w:val="00A87CF0"/>
    <w:rsid w:val="00A90E8C"/>
    <w:rsid w:val="00A91006"/>
    <w:rsid w:val="00A91576"/>
    <w:rsid w:val="00A92393"/>
    <w:rsid w:val="00A92538"/>
    <w:rsid w:val="00A92BAF"/>
    <w:rsid w:val="00A93381"/>
    <w:rsid w:val="00A9364C"/>
    <w:rsid w:val="00A93B5C"/>
    <w:rsid w:val="00A93B8C"/>
    <w:rsid w:val="00A93C17"/>
    <w:rsid w:val="00A9410F"/>
    <w:rsid w:val="00A944A9"/>
    <w:rsid w:val="00A94949"/>
    <w:rsid w:val="00A95E79"/>
    <w:rsid w:val="00A96099"/>
    <w:rsid w:val="00A9630A"/>
    <w:rsid w:val="00A968F4"/>
    <w:rsid w:val="00A96BF0"/>
    <w:rsid w:val="00A97127"/>
    <w:rsid w:val="00A9775A"/>
    <w:rsid w:val="00AA06F3"/>
    <w:rsid w:val="00AA08C6"/>
    <w:rsid w:val="00AA0BEB"/>
    <w:rsid w:val="00AA127E"/>
    <w:rsid w:val="00AA19AE"/>
    <w:rsid w:val="00AA1BC0"/>
    <w:rsid w:val="00AA2013"/>
    <w:rsid w:val="00AA2856"/>
    <w:rsid w:val="00AA3063"/>
    <w:rsid w:val="00AA3A94"/>
    <w:rsid w:val="00AA423D"/>
    <w:rsid w:val="00AA4DE4"/>
    <w:rsid w:val="00AA69D3"/>
    <w:rsid w:val="00AA6A95"/>
    <w:rsid w:val="00AA7DEC"/>
    <w:rsid w:val="00AB00E3"/>
    <w:rsid w:val="00AB0AE0"/>
    <w:rsid w:val="00AB10DE"/>
    <w:rsid w:val="00AB1AF1"/>
    <w:rsid w:val="00AB3460"/>
    <w:rsid w:val="00AB3668"/>
    <w:rsid w:val="00AB4940"/>
    <w:rsid w:val="00AB56C1"/>
    <w:rsid w:val="00AB5ED7"/>
    <w:rsid w:val="00AB61AD"/>
    <w:rsid w:val="00AB6C24"/>
    <w:rsid w:val="00AB7CD7"/>
    <w:rsid w:val="00AC0001"/>
    <w:rsid w:val="00AC0B4C"/>
    <w:rsid w:val="00AC13FE"/>
    <w:rsid w:val="00AC1CDF"/>
    <w:rsid w:val="00AC3A6F"/>
    <w:rsid w:val="00AC5B9E"/>
    <w:rsid w:val="00AC5F01"/>
    <w:rsid w:val="00AC656D"/>
    <w:rsid w:val="00AC7DB5"/>
    <w:rsid w:val="00AD0567"/>
    <w:rsid w:val="00AD0A2A"/>
    <w:rsid w:val="00AD0AEE"/>
    <w:rsid w:val="00AD1051"/>
    <w:rsid w:val="00AD2291"/>
    <w:rsid w:val="00AD3C6C"/>
    <w:rsid w:val="00AD3EFE"/>
    <w:rsid w:val="00AD49E3"/>
    <w:rsid w:val="00AD4B4F"/>
    <w:rsid w:val="00AD5C58"/>
    <w:rsid w:val="00AD660C"/>
    <w:rsid w:val="00AD6A9A"/>
    <w:rsid w:val="00AD79F3"/>
    <w:rsid w:val="00AE074F"/>
    <w:rsid w:val="00AE078B"/>
    <w:rsid w:val="00AE1668"/>
    <w:rsid w:val="00AE25F0"/>
    <w:rsid w:val="00AE36DA"/>
    <w:rsid w:val="00AE42C6"/>
    <w:rsid w:val="00AE48F5"/>
    <w:rsid w:val="00AE4926"/>
    <w:rsid w:val="00AE4F07"/>
    <w:rsid w:val="00AE627C"/>
    <w:rsid w:val="00AE6BE6"/>
    <w:rsid w:val="00AE6C8B"/>
    <w:rsid w:val="00AE7696"/>
    <w:rsid w:val="00AE7809"/>
    <w:rsid w:val="00AF0616"/>
    <w:rsid w:val="00AF06E5"/>
    <w:rsid w:val="00AF0D73"/>
    <w:rsid w:val="00AF0E28"/>
    <w:rsid w:val="00AF1480"/>
    <w:rsid w:val="00AF1788"/>
    <w:rsid w:val="00AF1824"/>
    <w:rsid w:val="00AF1E5E"/>
    <w:rsid w:val="00AF237C"/>
    <w:rsid w:val="00AF2F1D"/>
    <w:rsid w:val="00AF3ADA"/>
    <w:rsid w:val="00AF5D5E"/>
    <w:rsid w:val="00AF6A87"/>
    <w:rsid w:val="00AF6AB3"/>
    <w:rsid w:val="00AF6BD8"/>
    <w:rsid w:val="00AF6F9B"/>
    <w:rsid w:val="00AF7A07"/>
    <w:rsid w:val="00B007B7"/>
    <w:rsid w:val="00B0132C"/>
    <w:rsid w:val="00B01409"/>
    <w:rsid w:val="00B0149D"/>
    <w:rsid w:val="00B02655"/>
    <w:rsid w:val="00B04D8E"/>
    <w:rsid w:val="00B05126"/>
    <w:rsid w:val="00B0545D"/>
    <w:rsid w:val="00B059BC"/>
    <w:rsid w:val="00B05B09"/>
    <w:rsid w:val="00B068BF"/>
    <w:rsid w:val="00B109D6"/>
    <w:rsid w:val="00B10DBD"/>
    <w:rsid w:val="00B11164"/>
    <w:rsid w:val="00B11364"/>
    <w:rsid w:val="00B11F8D"/>
    <w:rsid w:val="00B11FB1"/>
    <w:rsid w:val="00B12283"/>
    <w:rsid w:val="00B126B3"/>
    <w:rsid w:val="00B131A9"/>
    <w:rsid w:val="00B13998"/>
    <w:rsid w:val="00B14AE1"/>
    <w:rsid w:val="00B14B0F"/>
    <w:rsid w:val="00B14E20"/>
    <w:rsid w:val="00B14F40"/>
    <w:rsid w:val="00B15629"/>
    <w:rsid w:val="00B15FEF"/>
    <w:rsid w:val="00B165C4"/>
    <w:rsid w:val="00B16A32"/>
    <w:rsid w:val="00B16AEF"/>
    <w:rsid w:val="00B16CC9"/>
    <w:rsid w:val="00B171A5"/>
    <w:rsid w:val="00B17C17"/>
    <w:rsid w:val="00B2016F"/>
    <w:rsid w:val="00B20404"/>
    <w:rsid w:val="00B21021"/>
    <w:rsid w:val="00B2203F"/>
    <w:rsid w:val="00B22727"/>
    <w:rsid w:val="00B22AAA"/>
    <w:rsid w:val="00B22ED8"/>
    <w:rsid w:val="00B230DB"/>
    <w:rsid w:val="00B2339C"/>
    <w:rsid w:val="00B2372C"/>
    <w:rsid w:val="00B2413D"/>
    <w:rsid w:val="00B24670"/>
    <w:rsid w:val="00B2473B"/>
    <w:rsid w:val="00B24CAC"/>
    <w:rsid w:val="00B250FE"/>
    <w:rsid w:val="00B25105"/>
    <w:rsid w:val="00B267EE"/>
    <w:rsid w:val="00B26DD6"/>
    <w:rsid w:val="00B27737"/>
    <w:rsid w:val="00B27921"/>
    <w:rsid w:val="00B308EC"/>
    <w:rsid w:val="00B322EB"/>
    <w:rsid w:val="00B32F70"/>
    <w:rsid w:val="00B32FF5"/>
    <w:rsid w:val="00B3365D"/>
    <w:rsid w:val="00B341DE"/>
    <w:rsid w:val="00B348AA"/>
    <w:rsid w:val="00B34AF4"/>
    <w:rsid w:val="00B3503D"/>
    <w:rsid w:val="00B35D0B"/>
    <w:rsid w:val="00B370E0"/>
    <w:rsid w:val="00B37357"/>
    <w:rsid w:val="00B373D0"/>
    <w:rsid w:val="00B37F84"/>
    <w:rsid w:val="00B40BB9"/>
    <w:rsid w:val="00B4142B"/>
    <w:rsid w:val="00B42C4B"/>
    <w:rsid w:val="00B42C99"/>
    <w:rsid w:val="00B43AAA"/>
    <w:rsid w:val="00B44A10"/>
    <w:rsid w:val="00B4507F"/>
    <w:rsid w:val="00B450F0"/>
    <w:rsid w:val="00B45F3C"/>
    <w:rsid w:val="00B45FDB"/>
    <w:rsid w:val="00B47206"/>
    <w:rsid w:val="00B4755F"/>
    <w:rsid w:val="00B47728"/>
    <w:rsid w:val="00B506E7"/>
    <w:rsid w:val="00B509BC"/>
    <w:rsid w:val="00B51270"/>
    <w:rsid w:val="00B51E59"/>
    <w:rsid w:val="00B52AA7"/>
    <w:rsid w:val="00B52C19"/>
    <w:rsid w:val="00B52F9A"/>
    <w:rsid w:val="00B53071"/>
    <w:rsid w:val="00B53139"/>
    <w:rsid w:val="00B53300"/>
    <w:rsid w:val="00B533A8"/>
    <w:rsid w:val="00B53E91"/>
    <w:rsid w:val="00B54425"/>
    <w:rsid w:val="00B544B4"/>
    <w:rsid w:val="00B547D7"/>
    <w:rsid w:val="00B55BF0"/>
    <w:rsid w:val="00B562CE"/>
    <w:rsid w:val="00B56568"/>
    <w:rsid w:val="00B5739F"/>
    <w:rsid w:val="00B60689"/>
    <w:rsid w:val="00B60B84"/>
    <w:rsid w:val="00B61D73"/>
    <w:rsid w:val="00B62A61"/>
    <w:rsid w:val="00B62DE2"/>
    <w:rsid w:val="00B62E1B"/>
    <w:rsid w:val="00B63EA4"/>
    <w:rsid w:val="00B6413B"/>
    <w:rsid w:val="00B64516"/>
    <w:rsid w:val="00B64AE8"/>
    <w:rsid w:val="00B650AB"/>
    <w:rsid w:val="00B65766"/>
    <w:rsid w:val="00B660BD"/>
    <w:rsid w:val="00B70412"/>
    <w:rsid w:val="00B70644"/>
    <w:rsid w:val="00B72D53"/>
    <w:rsid w:val="00B7322D"/>
    <w:rsid w:val="00B737D4"/>
    <w:rsid w:val="00B73949"/>
    <w:rsid w:val="00B7413F"/>
    <w:rsid w:val="00B74417"/>
    <w:rsid w:val="00B74D36"/>
    <w:rsid w:val="00B75275"/>
    <w:rsid w:val="00B7552C"/>
    <w:rsid w:val="00B756E7"/>
    <w:rsid w:val="00B757F4"/>
    <w:rsid w:val="00B77246"/>
    <w:rsid w:val="00B77532"/>
    <w:rsid w:val="00B811E8"/>
    <w:rsid w:val="00B81639"/>
    <w:rsid w:val="00B81C30"/>
    <w:rsid w:val="00B81CAB"/>
    <w:rsid w:val="00B81CD9"/>
    <w:rsid w:val="00B82982"/>
    <w:rsid w:val="00B82A90"/>
    <w:rsid w:val="00B82EC0"/>
    <w:rsid w:val="00B8491B"/>
    <w:rsid w:val="00B84B37"/>
    <w:rsid w:val="00B85042"/>
    <w:rsid w:val="00B8523B"/>
    <w:rsid w:val="00B85321"/>
    <w:rsid w:val="00B8534F"/>
    <w:rsid w:val="00B857CC"/>
    <w:rsid w:val="00B86350"/>
    <w:rsid w:val="00B866CD"/>
    <w:rsid w:val="00B87CD3"/>
    <w:rsid w:val="00B90E41"/>
    <w:rsid w:val="00B91A00"/>
    <w:rsid w:val="00B92A8F"/>
    <w:rsid w:val="00B93034"/>
    <w:rsid w:val="00B93424"/>
    <w:rsid w:val="00B934AE"/>
    <w:rsid w:val="00B9363E"/>
    <w:rsid w:val="00B93AB5"/>
    <w:rsid w:val="00B93AD3"/>
    <w:rsid w:val="00B943F3"/>
    <w:rsid w:val="00B95083"/>
    <w:rsid w:val="00B953DC"/>
    <w:rsid w:val="00B953F2"/>
    <w:rsid w:val="00B96114"/>
    <w:rsid w:val="00B962A2"/>
    <w:rsid w:val="00B96538"/>
    <w:rsid w:val="00B96F3F"/>
    <w:rsid w:val="00B9743B"/>
    <w:rsid w:val="00B976E0"/>
    <w:rsid w:val="00B97C5D"/>
    <w:rsid w:val="00BA098F"/>
    <w:rsid w:val="00BA0D49"/>
    <w:rsid w:val="00BA0DED"/>
    <w:rsid w:val="00BA105B"/>
    <w:rsid w:val="00BA1290"/>
    <w:rsid w:val="00BA215D"/>
    <w:rsid w:val="00BA2584"/>
    <w:rsid w:val="00BA2599"/>
    <w:rsid w:val="00BA259C"/>
    <w:rsid w:val="00BA27BD"/>
    <w:rsid w:val="00BA2DDB"/>
    <w:rsid w:val="00BA3101"/>
    <w:rsid w:val="00BA3297"/>
    <w:rsid w:val="00BA3C02"/>
    <w:rsid w:val="00BA4132"/>
    <w:rsid w:val="00BA4238"/>
    <w:rsid w:val="00BA4F23"/>
    <w:rsid w:val="00BA5391"/>
    <w:rsid w:val="00BA6256"/>
    <w:rsid w:val="00BA69FF"/>
    <w:rsid w:val="00BA7883"/>
    <w:rsid w:val="00BA7F1E"/>
    <w:rsid w:val="00BB0ACA"/>
    <w:rsid w:val="00BB1717"/>
    <w:rsid w:val="00BB1861"/>
    <w:rsid w:val="00BB18D2"/>
    <w:rsid w:val="00BB19F8"/>
    <w:rsid w:val="00BB24ED"/>
    <w:rsid w:val="00BB25E4"/>
    <w:rsid w:val="00BB2792"/>
    <w:rsid w:val="00BB382C"/>
    <w:rsid w:val="00BB39A5"/>
    <w:rsid w:val="00BB3AA7"/>
    <w:rsid w:val="00BB3F68"/>
    <w:rsid w:val="00BB4BC4"/>
    <w:rsid w:val="00BB51A8"/>
    <w:rsid w:val="00BB5625"/>
    <w:rsid w:val="00BB6509"/>
    <w:rsid w:val="00BB690E"/>
    <w:rsid w:val="00BB74AD"/>
    <w:rsid w:val="00BB76BF"/>
    <w:rsid w:val="00BC0634"/>
    <w:rsid w:val="00BC07EA"/>
    <w:rsid w:val="00BC0F25"/>
    <w:rsid w:val="00BC15F9"/>
    <w:rsid w:val="00BC1AD1"/>
    <w:rsid w:val="00BC4167"/>
    <w:rsid w:val="00BC4A58"/>
    <w:rsid w:val="00BC4FE6"/>
    <w:rsid w:val="00BC522C"/>
    <w:rsid w:val="00BC5878"/>
    <w:rsid w:val="00BC5AB9"/>
    <w:rsid w:val="00BC5E95"/>
    <w:rsid w:val="00BC613B"/>
    <w:rsid w:val="00BC6C7B"/>
    <w:rsid w:val="00BC7EA6"/>
    <w:rsid w:val="00BC7F90"/>
    <w:rsid w:val="00BD0343"/>
    <w:rsid w:val="00BD04DA"/>
    <w:rsid w:val="00BD1347"/>
    <w:rsid w:val="00BD1C38"/>
    <w:rsid w:val="00BD1E68"/>
    <w:rsid w:val="00BD23D3"/>
    <w:rsid w:val="00BD2A5D"/>
    <w:rsid w:val="00BD3048"/>
    <w:rsid w:val="00BD3400"/>
    <w:rsid w:val="00BD349B"/>
    <w:rsid w:val="00BD372E"/>
    <w:rsid w:val="00BD51D9"/>
    <w:rsid w:val="00BD5703"/>
    <w:rsid w:val="00BD5BA8"/>
    <w:rsid w:val="00BD5C76"/>
    <w:rsid w:val="00BD6169"/>
    <w:rsid w:val="00BD64E2"/>
    <w:rsid w:val="00BD7216"/>
    <w:rsid w:val="00BD728B"/>
    <w:rsid w:val="00BD78E9"/>
    <w:rsid w:val="00BD7980"/>
    <w:rsid w:val="00BE000C"/>
    <w:rsid w:val="00BE1071"/>
    <w:rsid w:val="00BE1818"/>
    <w:rsid w:val="00BE1A0D"/>
    <w:rsid w:val="00BE2661"/>
    <w:rsid w:val="00BE2BF9"/>
    <w:rsid w:val="00BE3320"/>
    <w:rsid w:val="00BE3797"/>
    <w:rsid w:val="00BE3E95"/>
    <w:rsid w:val="00BE462E"/>
    <w:rsid w:val="00BE4995"/>
    <w:rsid w:val="00BE5107"/>
    <w:rsid w:val="00BE55CA"/>
    <w:rsid w:val="00BE624F"/>
    <w:rsid w:val="00BE707C"/>
    <w:rsid w:val="00BE73E7"/>
    <w:rsid w:val="00BE7764"/>
    <w:rsid w:val="00BF26EF"/>
    <w:rsid w:val="00BF2A9D"/>
    <w:rsid w:val="00BF2E62"/>
    <w:rsid w:val="00BF32DB"/>
    <w:rsid w:val="00BF3573"/>
    <w:rsid w:val="00BF429A"/>
    <w:rsid w:val="00BF4B69"/>
    <w:rsid w:val="00BF4F64"/>
    <w:rsid w:val="00BF5895"/>
    <w:rsid w:val="00BF62BE"/>
    <w:rsid w:val="00BF6562"/>
    <w:rsid w:val="00BF6E19"/>
    <w:rsid w:val="00BF71DB"/>
    <w:rsid w:val="00C0023B"/>
    <w:rsid w:val="00C01D79"/>
    <w:rsid w:val="00C01F42"/>
    <w:rsid w:val="00C02067"/>
    <w:rsid w:val="00C036ED"/>
    <w:rsid w:val="00C051FD"/>
    <w:rsid w:val="00C05A51"/>
    <w:rsid w:val="00C06DBB"/>
    <w:rsid w:val="00C06E5D"/>
    <w:rsid w:val="00C06F1C"/>
    <w:rsid w:val="00C07126"/>
    <w:rsid w:val="00C073A6"/>
    <w:rsid w:val="00C11461"/>
    <w:rsid w:val="00C114D5"/>
    <w:rsid w:val="00C115E2"/>
    <w:rsid w:val="00C125B2"/>
    <w:rsid w:val="00C155BD"/>
    <w:rsid w:val="00C15D78"/>
    <w:rsid w:val="00C166A9"/>
    <w:rsid w:val="00C16853"/>
    <w:rsid w:val="00C16BA6"/>
    <w:rsid w:val="00C17753"/>
    <w:rsid w:val="00C2013A"/>
    <w:rsid w:val="00C2042C"/>
    <w:rsid w:val="00C204F8"/>
    <w:rsid w:val="00C213D6"/>
    <w:rsid w:val="00C21827"/>
    <w:rsid w:val="00C21F19"/>
    <w:rsid w:val="00C2213F"/>
    <w:rsid w:val="00C231A0"/>
    <w:rsid w:val="00C232B7"/>
    <w:rsid w:val="00C234FF"/>
    <w:rsid w:val="00C23554"/>
    <w:rsid w:val="00C24C70"/>
    <w:rsid w:val="00C24E3B"/>
    <w:rsid w:val="00C2632F"/>
    <w:rsid w:val="00C263F0"/>
    <w:rsid w:val="00C275A8"/>
    <w:rsid w:val="00C30C43"/>
    <w:rsid w:val="00C30CC3"/>
    <w:rsid w:val="00C32CD5"/>
    <w:rsid w:val="00C33822"/>
    <w:rsid w:val="00C33D41"/>
    <w:rsid w:val="00C34A8A"/>
    <w:rsid w:val="00C35B43"/>
    <w:rsid w:val="00C36297"/>
    <w:rsid w:val="00C374B8"/>
    <w:rsid w:val="00C37BCC"/>
    <w:rsid w:val="00C40106"/>
    <w:rsid w:val="00C4081F"/>
    <w:rsid w:val="00C40AFD"/>
    <w:rsid w:val="00C41BB5"/>
    <w:rsid w:val="00C41E20"/>
    <w:rsid w:val="00C42573"/>
    <w:rsid w:val="00C42E3E"/>
    <w:rsid w:val="00C441D8"/>
    <w:rsid w:val="00C45333"/>
    <w:rsid w:val="00C45F67"/>
    <w:rsid w:val="00C46023"/>
    <w:rsid w:val="00C46142"/>
    <w:rsid w:val="00C4680C"/>
    <w:rsid w:val="00C47AD6"/>
    <w:rsid w:val="00C511D2"/>
    <w:rsid w:val="00C5166F"/>
    <w:rsid w:val="00C51C13"/>
    <w:rsid w:val="00C51D70"/>
    <w:rsid w:val="00C51ECB"/>
    <w:rsid w:val="00C52295"/>
    <w:rsid w:val="00C525A5"/>
    <w:rsid w:val="00C5300F"/>
    <w:rsid w:val="00C53069"/>
    <w:rsid w:val="00C531FA"/>
    <w:rsid w:val="00C53710"/>
    <w:rsid w:val="00C53718"/>
    <w:rsid w:val="00C54951"/>
    <w:rsid w:val="00C54FAC"/>
    <w:rsid w:val="00C55AC9"/>
    <w:rsid w:val="00C563A1"/>
    <w:rsid w:val="00C566DC"/>
    <w:rsid w:val="00C5678C"/>
    <w:rsid w:val="00C5678E"/>
    <w:rsid w:val="00C56D1A"/>
    <w:rsid w:val="00C578DF"/>
    <w:rsid w:val="00C57A3C"/>
    <w:rsid w:val="00C57BF3"/>
    <w:rsid w:val="00C6035D"/>
    <w:rsid w:val="00C60E12"/>
    <w:rsid w:val="00C61292"/>
    <w:rsid w:val="00C615CC"/>
    <w:rsid w:val="00C61739"/>
    <w:rsid w:val="00C61CCB"/>
    <w:rsid w:val="00C620B7"/>
    <w:rsid w:val="00C649EA"/>
    <w:rsid w:val="00C65824"/>
    <w:rsid w:val="00C65EFD"/>
    <w:rsid w:val="00C66CE0"/>
    <w:rsid w:val="00C6704B"/>
    <w:rsid w:val="00C67B44"/>
    <w:rsid w:val="00C70486"/>
    <w:rsid w:val="00C70978"/>
    <w:rsid w:val="00C70A68"/>
    <w:rsid w:val="00C717C5"/>
    <w:rsid w:val="00C71BED"/>
    <w:rsid w:val="00C71C61"/>
    <w:rsid w:val="00C72AA9"/>
    <w:rsid w:val="00C72B1E"/>
    <w:rsid w:val="00C73020"/>
    <w:rsid w:val="00C738C2"/>
    <w:rsid w:val="00C747C0"/>
    <w:rsid w:val="00C74CF7"/>
    <w:rsid w:val="00C756D3"/>
    <w:rsid w:val="00C75DCC"/>
    <w:rsid w:val="00C76B75"/>
    <w:rsid w:val="00C7759C"/>
    <w:rsid w:val="00C776F4"/>
    <w:rsid w:val="00C77D00"/>
    <w:rsid w:val="00C810A2"/>
    <w:rsid w:val="00C8115A"/>
    <w:rsid w:val="00C81A63"/>
    <w:rsid w:val="00C81B53"/>
    <w:rsid w:val="00C82AD2"/>
    <w:rsid w:val="00C82CD2"/>
    <w:rsid w:val="00C8322E"/>
    <w:rsid w:val="00C834E4"/>
    <w:rsid w:val="00C83734"/>
    <w:rsid w:val="00C8447A"/>
    <w:rsid w:val="00C8594A"/>
    <w:rsid w:val="00C85EEF"/>
    <w:rsid w:val="00C86772"/>
    <w:rsid w:val="00C86CDB"/>
    <w:rsid w:val="00C90005"/>
    <w:rsid w:val="00C90AF8"/>
    <w:rsid w:val="00C90EA9"/>
    <w:rsid w:val="00C90FB6"/>
    <w:rsid w:val="00C9149C"/>
    <w:rsid w:val="00C9220E"/>
    <w:rsid w:val="00C92628"/>
    <w:rsid w:val="00C932BD"/>
    <w:rsid w:val="00C93429"/>
    <w:rsid w:val="00C95968"/>
    <w:rsid w:val="00C9624A"/>
    <w:rsid w:val="00C968FB"/>
    <w:rsid w:val="00C9762E"/>
    <w:rsid w:val="00CA09D7"/>
    <w:rsid w:val="00CA0A1F"/>
    <w:rsid w:val="00CA0EF8"/>
    <w:rsid w:val="00CA1544"/>
    <w:rsid w:val="00CA16C5"/>
    <w:rsid w:val="00CA28CA"/>
    <w:rsid w:val="00CA2FD0"/>
    <w:rsid w:val="00CA415A"/>
    <w:rsid w:val="00CA4718"/>
    <w:rsid w:val="00CA56AF"/>
    <w:rsid w:val="00CA5D3D"/>
    <w:rsid w:val="00CA5F85"/>
    <w:rsid w:val="00CA5FF2"/>
    <w:rsid w:val="00CA60B2"/>
    <w:rsid w:val="00CA7830"/>
    <w:rsid w:val="00CA793B"/>
    <w:rsid w:val="00CA79C3"/>
    <w:rsid w:val="00CA7A35"/>
    <w:rsid w:val="00CB0722"/>
    <w:rsid w:val="00CB0BF4"/>
    <w:rsid w:val="00CB1536"/>
    <w:rsid w:val="00CB18D3"/>
    <w:rsid w:val="00CB1F5F"/>
    <w:rsid w:val="00CB2825"/>
    <w:rsid w:val="00CB2C50"/>
    <w:rsid w:val="00CB37D8"/>
    <w:rsid w:val="00CB5237"/>
    <w:rsid w:val="00CB5C02"/>
    <w:rsid w:val="00CB5D36"/>
    <w:rsid w:val="00CB5F3C"/>
    <w:rsid w:val="00CB5FA1"/>
    <w:rsid w:val="00CB62D9"/>
    <w:rsid w:val="00CB71C7"/>
    <w:rsid w:val="00CB72ED"/>
    <w:rsid w:val="00CB7582"/>
    <w:rsid w:val="00CB7A53"/>
    <w:rsid w:val="00CB7B9F"/>
    <w:rsid w:val="00CB7FB8"/>
    <w:rsid w:val="00CB7FE8"/>
    <w:rsid w:val="00CC045F"/>
    <w:rsid w:val="00CC07AA"/>
    <w:rsid w:val="00CC0D27"/>
    <w:rsid w:val="00CC0F50"/>
    <w:rsid w:val="00CC11E1"/>
    <w:rsid w:val="00CC16E7"/>
    <w:rsid w:val="00CC19DD"/>
    <w:rsid w:val="00CC19FB"/>
    <w:rsid w:val="00CC1F71"/>
    <w:rsid w:val="00CC255A"/>
    <w:rsid w:val="00CC27C4"/>
    <w:rsid w:val="00CC2DC7"/>
    <w:rsid w:val="00CC3146"/>
    <w:rsid w:val="00CC490C"/>
    <w:rsid w:val="00CC4F55"/>
    <w:rsid w:val="00CC5EB3"/>
    <w:rsid w:val="00CC5ED1"/>
    <w:rsid w:val="00CC6780"/>
    <w:rsid w:val="00CC6ADF"/>
    <w:rsid w:val="00CC7681"/>
    <w:rsid w:val="00CD09B8"/>
    <w:rsid w:val="00CD0E7B"/>
    <w:rsid w:val="00CD14ED"/>
    <w:rsid w:val="00CD1734"/>
    <w:rsid w:val="00CD198D"/>
    <w:rsid w:val="00CD1A46"/>
    <w:rsid w:val="00CD1D7A"/>
    <w:rsid w:val="00CD225B"/>
    <w:rsid w:val="00CD242F"/>
    <w:rsid w:val="00CD267B"/>
    <w:rsid w:val="00CD284A"/>
    <w:rsid w:val="00CD2A22"/>
    <w:rsid w:val="00CD2ABD"/>
    <w:rsid w:val="00CD2D4D"/>
    <w:rsid w:val="00CD3533"/>
    <w:rsid w:val="00CD3E82"/>
    <w:rsid w:val="00CD4024"/>
    <w:rsid w:val="00CD4617"/>
    <w:rsid w:val="00CD4855"/>
    <w:rsid w:val="00CD49E3"/>
    <w:rsid w:val="00CD4C3C"/>
    <w:rsid w:val="00CD702D"/>
    <w:rsid w:val="00CD7150"/>
    <w:rsid w:val="00CE0A4A"/>
    <w:rsid w:val="00CE16FD"/>
    <w:rsid w:val="00CE1908"/>
    <w:rsid w:val="00CE4184"/>
    <w:rsid w:val="00CE4C23"/>
    <w:rsid w:val="00CE4DC3"/>
    <w:rsid w:val="00CE54B7"/>
    <w:rsid w:val="00CE55DB"/>
    <w:rsid w:val="00CE6C32"/>
    <w:rsid w:val="00CE6D43"/>
    <w:rsid w:val="00CE7541"/>
    <w:rsid w:val="00CE7644"/>
    <w:rsid w:val="00CE7743"/>
    <w:rsid w:val="00CE7888"/>
    <w:rsid w:val="00CE7A5F"/>
    <w:rsid w:val="00CE7DCE"/>
    <w:rsid w:val="00CF0DD1"/>
    <w:rsid w:val="00CF13A7"/>
    <w:rsid w:val="00CF1775"/>
    <w:rsid w:val="00CF197D"/>
    <w:rsid w:val="00CF285F"/>
    <w:rsid w:val="00CF2FE4"/>
    <w:rsid w:val="00CF3BA9"/>
    <w:rsid w:val="00CF4ADF"/>
    <w:rsid w:val="00CF59BE"/>
    <w:rsid w:val="00CF5A78"/>
    <w:rsid w:val="00CF6688"/>
    <w:rsid w:val="00CF6F2E"/>
    <w:rsid w:val="00CF7A60"/>
    <w:rsid w:val="00CF7F66"/>
    <w:rsid w:val="00D00273"/>
    <w:rsid w:val="00D00ECC"/>
    <w:rsid w:val="00D02CB0"/>
    <w:rsid w:val="00D03F6E"/>
    <w:rsid w:val="00D04AB6"/>
    <w:rsid w:val="00D04D4F"/>
    <w:rsid w:val="00D0650B"/>
    <w:rsid w:val="00D065FB"/>
    <w:rsid w:val="00D06AA3"/>
    <w:rsid w:val="00D06B82"/>
    <w:rsid w:val="00D10E1C"/>
    <w:rsid w:val="00D11ADB"/>
    <w:rsid w:val="00D120BB"/>
    <w:rsid w:val="00D13CE2"/>
    <w:rsid w:val="00D13D0E"/>
    <w:rsid w:val="00D14774"/>
    <w:rsid w:val="00D158B2"/>
    <w:rsid w:val="00D161A3"/>
    <w:rsid w:val="00D173E4"/>
    <w:rsid w:val="00D17D83"/>
    <w:rsid w:val="00D2027F"/>
    <w:rsid w:val="00D216BC"/>
    <w:rsid w:val="00D21BBE"/>
    <w:rsid w:val="00D223A2"/>
    <w:rsid w:val="00D2275F"/>
    <w:rsid w:val="00D22E49"/>
    <w:rsid w:val="00D23716"/>
    <w:rsid w:val="00D24042"/>
    <w:rsid w:val="00D25C3E"/>
    <w:rsid w:val="00D25ED8"/>
    <w:rsid w:val="00D26EC6"/>
    <w:rsid w:val="00D27F8F"/>
    <w:rsid w:val="00D30895"/>
    <w:rsid w:val="00D3160C"/>
    <w:rsid w:val="00D316B8"/>
    <w:rsid w:val="00D31CFC"/>
    <w:rsid w:val="00D321CE"/>
    <w:rsid w:val="00D3255D"/>
    <w:rsid w:val="00D32C09"/>
    <w:rsid w:val="00D331A2"/>
    <w:rsid w:val="00D33DA2"/>
    <w:rsid w:val="00D340C3"/>
    <w:rsid w:val="00D34330"/>
    <w:rsid w:val="00D3459F"/>
    <w:rsid w:val="00D34BF0"/>
    <w:rsid w:val="00D34EEC"/>
    <w:rsid w:val="00D351EB"/>
    <w:rsid w:val="00D3536F"/>
    <w:rsid w:val="00D356F2"/>
    <w:rsid w:val="00D357A2"/>
    <w:rsid w:val="00D35A7A"/>
    <w:rsid w:val="00D36952"/>
    <w:rsid w:val="00D36A82"/>
    <w:rsid w:val="00D36BAF"/>
    <w:rsid w:val="00D36D9A"/>
    <w:rsid w:val="00D409CD"/>
    <w:rsid w:val="00D4195A"/>
    <w:rsid w:val="00D423D4"/>
    <w:rsid w:val="00D42A4D"/>
    <w:rsid w:val="00D42CAF"/>
    <w:rsid w:val="00D4405F"/>
    <w:rsid w:val="00D44721"/>
    <w:rsid w:val="00D44857"/>
    <w:rsid w:val="00D4546D"/>
    <w:rsid w:val="00D455DE"/>
    <w:rsid w:val="00D4657C"/>
    <w:rsid w:val="00D46A1D"/>
    <w:rsid w:val="00D4763B"/>
    <w:rsid w:val="00D47CE9"/>
    <w:rsid w:val="00D506C4"/>
    <w:rsid w:val="00D51515"/>
    <w:rsid w:val="00D51A15"/>
    <w:rsid w:val="00D52116"/>
    <w:rsid w:val="00D5234C"/>
    <w:rsid w:val="00D53136"/>
    <w:rsid w:val="00D54A1F"/>
    <w:rsid w:val="00D54BB2"/>
    <w:rsid w:val="00D54CD3"/>
    <w:rsid w:val="00D54E13"/>
    <w:rsid w:val="00D55EA1"/>
    <w:rsid w:val="00D568A2"/>
    <w:rsid w:val="00D57311"/>
    <w:rsid w:val="00D578CA"/>
    <w:rsid w:val="00D601EF"/>
    <w:rsid w:val="00D604F8"/>
    <w:rsid w:val="00D60729"/>
    <w:rsid w:val="00D6087A"/>
    <w:rsid w:val="00D60D74"/>
    <w:rsid w:val="00D613CF"/>
    <w:rsid w:val="00D61533"/>
    <w:rsid w:val="00D61DD4"/>
    <w:rsid w:val="00D62136"/>
    <w:rsid w:val="00D6277E"/>
    <w:rsid w:val="00D63B2F"/>
    <w:rsid w:val="00D64945"/>
    <w:rsid w:val="00D64DE2"/>
    <w:rsid w:val="00D65C47"/>
    <w:rsid w:val="00D66249"/>
    <w:rsid w:val="00D66912"/>
    <w:rsid w:val="00D66A84"/>
    <w:rsid w:val="00D66B0F"/>
    <w:rsid w:val="00D66BA7"/>
    <w:rsid w:val="00D67278"/>
    <w:rsid w:val="00D67636"/>
    <w:rsid w:val="00D700FF"/>
    <w:rsid w:val="00D7013B"/>
    <w:rsid w:val="00D70176"/>
    <w:rsid w:val="00D7045F"/>
    <w:rsid w:val="00D70747"/>
    <w:rsid w:val="00D70A4F"/>
    <w:rsid w:val="00D70BF4"/>
    <w:rsid w:val="00D7118A"/>
    <w:rsid w:val="00D71E1A"/>
    <w:rsid w:val="00D71E20"/>
    <w:rsid w:val="00D7261D"/>
    <w:rsid w:val="00D72D12"/>
    <w:rsid w:val="00D72EB1"/>
    <w:rsid w:val="00D73101"/>
    <w:rsid w:val="00D73913"/>
    <w:rsid w:val="00D747FD"/>
    <w:rsid w:val="00D74815"/>
    <w:rsid w:val="00D74CF8"/>
    <w:rsid w:val="00D755F2"/>
    <w:rsid w:val="00D755FC"/>
    <w:rsid w:val="00D76A92"/>
    <w:rsid w:val="00D76B6D"/>
    <w:rsid w:val="00D7716B"/>
    <w:rsid w:val="00D77863"/>
    <w:rsid w:val="00D80DBB"/>
    <w:rsid w:val="00D80E77"/>
    <w:rsid w:val="00D82B44"/>
    <w:rsid w:val="00D831EC"/>
    <w:rsid w:val="00D84191"/>
    <w:rsid w:val="00D84756"/>
    <w:rsid w:val="00D84D07"/>
    <w:rsid w:val="00D8526A"/>
    <w:rsid w:val="00D85797"/>
    <w:rsid w:val="00D858FC"/>
    <w:rsid w:val="00D86676"/>
    <w:rsid w:val="00D8750C"/>
    <w:rsid w:val="00D875BC"/>
    <w:rsid w:val="00D87BC1"/>
    <w:rsid w:val="00D907C6"/>
    <w:rsid w:val="00D90E17"/>
    <w:rsid w:val="00D90E91"/>
    <w:rsid w:val="00D91318"/>
    <w:rsid w:val="00D91DDC"/>
    <w:rsid w:val="00D91E1B"/>
    <w:rsid w:val="00D92AE2"/>
    <w:rsid w:val="00D92E72"/>
    <w:rsid w:val="00D934A2"/>
    <w:rsid w:val="00D939A9"/>
    <w:rsid w:val="00D93B3D"/>
    <w:rsid w:val="00D93CA9"/>
    <w:rsid w:val="00D94265"/>
    <w:rsid w:val="00D94634"/>
    <w:rsid w:val="00D9521D"/>
    <w:rsid w:val="00D95C9F"/>
    <w:rsid w:val="00D9654E"/>
    <w:rsid w:val="00D975FF"/>
    <w:rsid w:val="00DA008E"/>
    <w:rsid w:val="00DA378C"/>
    <w:rsid w:val="00DA3A4B"/>
    <w:rsid w:val="00DA41C9"/>
    <w:rsid w:val="00DA4208"/>
    <w:rsid w:val="00DA4806"/>
    <w:rsid w:val="00DA4C38"/>
    <w:rsid w:val="00DA5085"/>
    <w:rsid w:val="00DA54BF"/>
    <w:rsid w:val="00DA5A93"/>
    <w:rsid w:val="00DA5E8A"/>
    <w:rsid w:val="00DA62C6"/>
    <w:rsid w:val="00DA69C0"/>
    <w:rsid w:val="00DA6A89"/>
    <w:rsid w:val="00DA6B21"/>
    <w:rsid w:val="00DA6BA7"/>
    <w:rsid w:val="00DA717D"/>
    <w:rsid w:val="00DA789E"/>
    <w:rsid w:val="00DA79D6"/>
    <w:rsid w:val="00DA7D7A"/>
    <w:rsid w:val="00DB0011"/>
    <w:rsid w:val="00DB01E5"/>
    <w:rsid w:val="00DB09AE"/>
    <w:rsid w:val="00DB09BB"/>
    <w:rsid w:val="00DB1055"/>
    <w:rsid w:val="00DB1107"/>
    <w:rsid w:val="00DB1543"/>
    <w:rsid w:val="00DB28BC"/>
    <w:rsid w:val="00DB365F"/>
    <w:rsid w:val="00DB39EB"/>
    <w:rsid w:val="00DB39F4"/>
    <w:rsid w:val="00DB3C80"/>
    <w:rsid w:val="00DB42F3"/>
    <w:rsid w:val="00DB4BE9"/>
    <w:rsid w:val="00DB4D14"/>
    <w:rsid w:val="00DB53C1"/>
    <w:rsid w:val="00DB5BB4"/>
    <w:rsid w:val="00DB7190"/>
    <w:rsid w:val="00DB7AF7"/>
    <w:rsid w:val="00DB7BE1"/>
    <w:rsid w:val="00DB7D87"/>
    <w:rsid w:val="00DC085E"/>
    <w:rsid w:val="00DC0B44"/>
    <w:rsid w:val="00DC1347"/>
    <w:rsid w:val="00DC137A"/>
    <w:rsid w:val="00DC19F4"/>
    <w:rsid w:val="00DC1A0A"/>
    <w:rsid w:val="00DC205E"/>
    <w:rsid w:val="00DC2465"/>
    <w:rsid w:val="00DC25C3"/>
    <w:rsid w:val="00DC39F1"/>
    <w:rsid w:val="00DC42E4"/>
    <w:rsid w:val="00DC47AB"/>
    <w:rsid w:val="00DC4C7E"/>
    <w:rsid w:val="00DC528F"/>
    <w:rsid w:val="00DC5E37"/>
    <w:rsid w:val="00DC68FA"/>
    <w:rsid w:val="00DC7001"/>
    <w:rsid w:val="00DC7158"/>
    <w:rsid w:val="00DC73A3"/>
    <w:rsid w:val="00DC7E8E"/>
    <w:rsid w:val="00DD0162"/>
    <w:rsid w:val="00DD0560"/>
    <w:rsid w:val="00DD0DC2"/>
    <w:rsid w:val="00DD31A7"/>
    <w:rsid w:val="00DD32E1"/>
    <w:rsid w:val="00DD38F4"/>
    <w:rsid w:val="00DD3D06"/>
    <w:rsid w:val="00DD485B"/>
    <w:rsid w:val="00DD5D1D"/>
    <w:rsid w:val="00DD5F47"/>
    <w:rsid w:val="00DD6415"/>
    <w:rsid w:val="00DD6C4F"/>
    <w:rsid w:val="00DD74A6"/>
    <w:rsid w:val="00DD786D"/>
    <w:rsid w:val="00DE002A"/>
    <w:rsid w:val="00DE06FA"/>
    <w:rsid w:val="00DE20F2"/>
    <w:rsid w:val="00DE3766"/>
    <w:rsid w:val="00DE44C0"/>
    <w:rsid w:val="00DE47F0"/>
    <w:rsid w:val="00DE4B35"/>
    <w:rsid w:val="00DE4D9A"/>
    <w:rsid w:val="00DE4F9E"/>
    <w:rsid w:val="00DE5576"/>
    <w:rsid w:val="00DE56A1"/>
    <w:rsid w:val="00DE5CE6"/>
    <w:rsid w:val="00DE6C84"/>
    <w:rsid w:val="00DE6DAE"/>
    <w:rsid w:val="00DF0CBB"/>
    <w:rsid w:val="00DF1184"/>
    <w:rsid w:val="00DF1327"/>
    <w:rsid w:val="00DF18CC"/>
    <w:rsid w:val="00DF19C1"/>
    <w:rsid w:val="00DF1C2D"/>
    <w:rsid w:val="00DF2BDB"/>
    <w:rsid w:val="00DF31E7"/>
    <w:rsid w:val="00DF38F8"/>
    <w:rsid w:val="00DF3C65"/>
    <w:rsid w:val="00DF4685"/>
    <w:rsid w:val="00DF47CE"/>
    <w:rsid w:val="00DF4C1E"/>
    <w:rsid w:val="00DF5362"/>
    <w:rsid w:val="00DF54CA"/>
    <w:rsid w:val="00DF559E"/>
    <w:rsid w:val="00DF597D"/>
    <w:rsid w:val="00DF5B64"/>
    <w:rsid w:val="00DF649A"/>
    <w:rsid w:val="00DF6A6D"/>
    <w:rsid w:val="00DF6C4E"/>
    <w:rsid w:val="00DF7683"/>
    <w:rsid w:val="00DF77E8"/>
    <w:rsid w:val="00DF7F64"/>
    <w:rsid w:val="00E00AE5"/>
    <w:rsid w:val="00E021A4"/>
    <w:rsid w:val="00E0247F"/>
    <w:rsid w:val="00E024A2"/>
    <w:rsid w:val="00E0267D"/>
    <w:rsid w:val="00E02794"/>
    <w:rsid w:val="00E03410"/>
    <w:rsid w:val="00E03A2F"/>
    <w:rsid w:val="00E03AD7"/>
    <w:rsid w:val="00E03CED"/>
    <w:rsid w:val="00E03D93"/>
    <w:rsid w:val="00E042E2"/>
    <w:rsid w:val="00E043E3"/>
    <w:rsid w:val="00E046F0"/>
    <w:rsid w:val="00E0491C"/>
    <w:rsid w:val="00E0505B"/>
    <w:rsid w:val="00E06170"/>
    <w:rsid w:val="00E06EEA"/>
    <w:rsid w:val="00E10750"/>
    <w:rsid w:val="00E11280"/>
    <w:rsid w:val="00E11DEC"/>
    <w:rsid w:val="00E12359"/>
    <w:rsid w:val="00E12A2C"/>
    <w:rsid w:val="00E131E9"/>
    <w:rsid w:val="00E134C6"/>
    <w:rsid w:val="00E1408D"/>
    <w:rsid w:val="00E1423E"/>
    <w:rsid w:val="00E145E6"/>
    <w:rsid w:val="00E14682"/>
    <w:rsid w:val="00E15009"/>
    <w:rsid w:val="00E152FF"/>
    <w:rsid w:val="00E15AD8"/>
    <w:rsid w:val="00E17732"/>
    <w:rsid w:val="00E1791C"/>
    <w:rsid w:val="00E17AFE"/>
    <w:rsid w:val="00E20257"/>
    <w:rsid w:val="00E2081E"/>
    <w:rsid w:val="00E2088D"/>
    <w:rsid w:val="00E20E04"/>
    <w:rsid w:val="00E21351"/>
    <w:rsid w:val="00E2141C"/>
    <w:rsid w:val="00E22314"/>
    <w:rsid w:val="00E22BCD"/>
    <w:rsid w:val="00E23C60"/>
    <w:rsid w:val="00E240B0"/>
    <w:rsid w:val="00E24572"/>
    <w:rsid w:val="00E2461B"/>
    <w:rsid w:val="00E24886"/>
    <w:rsid w:val="00E248EB"/>
    <w:rsid w:val="00E2514E"/>
    <w:rsid w:val="00E263B4"/>
    <w:rsid w:val="00E271DE"/>
    <w:rsid w:val="00E276FB"/>
    <w:rsid w:val="00E305FD"/>
    <w:rsid w:val="00E320AF"/>
    <w:rsid w:val="00E32279"/>
    <w:rsid w:val="00E32595"/>
    <w:rsid w:val="00E32A88"/>
    <w:rsid w:val="00E33160"/>
    <w:rsid w:val="00E333AE"/>
    <w:rsid w:val="00E33853"/>
    <w:rsid w:val="00E33A74"/>
    <w:rsid w:val="00E33D8D"/>
    <w:rsid w:val="00E33E4F"/>
    <w:rsid w:val="00E33F30"/>
    <w:rsid w:val="00E35530"/>
    <w:rsid w:val="00E35C68"/>
    <w:rsid w:val="00E4030B"/>
    <w:rsid w:val="00E419FA"/>
    <w:rsid w:val="00E41D56"/>
    <w:rsid w:val="00E43776"/>
    <w:rsid w:val="00E44133"/>
    <w:rsid w:val="00E45131"/>
    <w:rsid w:val="00E457DF"/>
    <w:rsid w:val="00E46086"/>
    <w:rsid w:val="00E4653D"/>
    <w:rsid w:val="00E46642"/>
    <w:rsid w:val="00E475F4"/>
    <w:rsid w:val="00E47A87"/>
    <w:rsid w:val="00E5029D"/>
    <w:rsid w:val="00E50FA1"/>
    <w:rsid w:val="00E5139A"/>
    <w:rsid w:val="00E51AD4"/>
    <w:rsid w:val="00E51C18"/>
    <w:rsid w:val="00E5413D"/>
    <w:rsid w:val="00E55F6D"/>
    <w:rsid w:val="00E564B0"/>
    <w:rsid w:val="00E56911"/>
    <w:rsid w:val="00E575D3"/>
    <w:rsid w:val="00E57977"/>
    <w:rsid w:val="00E57AAD"/>
    <w:rsid w:val="00E60757"/>
    <w:rsid w:val="00E60C84"/>
    <w:rsid w:val="00E61E79"/>
    <w:rsid w:val="00E62278"/>
    <w:rsid w:val="00E624B8"/>
    <w:rsid w:val="00E635D7"/>
    <w:rsid w:val="00E66202"/>
    <w:rsid w:val="00E67592"/>
    <w:rsid w:val="00E676F1"/>
    <w:rsid w:val="00E67B8E"/>
    <w:rsid w:val="00E70576"/>
    <w:rsid w:val="00E71818"/>
    <w:rsid w:val="00E72212"/>
    <w:rsid w:val="00E72433"/>
    <w:rsid w:val="00E7251E"/>
    <w:rsid w:val="00E72527"/>
    <w:rsid w:val="00E7284C"/>
    <w:rsid w:val="00E72946"/>
    <w:rsid w:val="00E72AA7"/>
    <w:rsid w:val="00E72C71"/>
    <w:rsid w:val="00E730B7"/>
    <w:rsid w:val="00E73629"/>
    <w:rsid w:val="00E7397B"/>
    <w:rsid w:val="00E73D63"/>
    <w:rsid w:val="00E74596"/>
    <w:rsid w:val="00E7484D"/>
    <w:rsid w:val="00E74C92"/>
    <w:rsid w:val="00E74DCC"/>
    <w:rsid w:val="00E7579B"/>
    <w:rsid w:val="00E76175"/>
    <w:rsid w:val="00E76570"/>
    <w:rsid w:val="00E7727B"/>
    <w:rsid w:val="00E77886"/>
    <w:rsid w:val="00E77960"/>
    <w:rsid w:val="00E779E2"/>
    <w:rsid w:val="00E8035B"/>
    <w:rsid w:val="00E80425"/>
    <w:rsid w:val="00E80F40"/>
    <w:rsid w:val="00E8194C"/>
    <w:rsid w:val="00E81FB1"/>
    <w:rsid w:val="00E8271B"/>
    <w:rsid w:val="00E829BC"/>
    <w:rsid w:val="00E83041"/>
    <w:rsid w:val="00E83954"/>
    <w:rsid w:val="00E83BBB"/>
    <w:rsid w:val="00E84040"/>
    <w:rsid w:val="00E84751"/>
    <w:rsid w:val="00E86F35"/>
    <w:rsid w:val="00E8786E"/>
    <w:rsid w:val="00E87AC2"/>
    <w:rsid w:val="00E87BC7"/>
    <w:rsid w:val="00E87FDF"/>
    <w:rsid w:val="00E9096B"/>
    <w:rsid w:val="00E91043"/>
    <w:rsid w:val="00E911B5"/>
    <w:rsid w:val="00E914EF"/>
    <w:rsid w:val="00E91730"/>
    <w:rsid w:val="00E91DB4"/>
    <w:rsid w:val="00E936FF"/>
    <w:rsid w:val="00E93A2A"/>
    <w:rsid w:val="00E94468"/>
    <w:rsid w:val="00E946E2"/>
    <w:rsid w:val="00E95940"/>
    <w:rsid w:val="00E95AC9"/>
    <w:rsid w:val="00E95F6E"/>
    <w:rsid w:val="00E96203"/>
    <w:rsid w:val="00E96F04"/>
    <w:rsid w:val="00E97AEC"/>
    <w:rsid w:val="00EA0359"/>
    <w:rsid w:val="00EA1592"/>
    <w:rsid w:val="00EA20FE"/>
    <w:rsid w:val="00EA291E"/>
    <w:rsid w:val="00EA3433"/>
    <w:rsid w:val="00EA459B"/>
    <w:rsid w:val="00EA5C07"/>
    <w:rsid w:val="00EA6D67"/>
    <w:rsid w:val="00EA728B"/>
    <w:rsid w:val="00EA76C9"/>
    <w:rsid w:val="00EA7CA4"/>
    <w:rsid w:val="00EB08A4"/>
    <w:rsid w:val="00EB0F8F"/>
    <w:rsid w:val="00EB21C3"/>
    <w:rsid w:val="00EB235F"/>
    <w:rsid w:val="00EB261E"/>
    <w:rsid w:val="00EB2B5B"/>
    <w:rsid w:val="00EB2DBF"/>
    <w:rsid w:val="00EB398D"/>
    <w:rsid w:val="00EB491E"/>
    <w:rsid w:val="00EB4F07"/>
    <w:rsid w:val="00EB4FB2"/>
    <w:rsid w:val="00EB5031"/>
    <w:rsid w:val="00EB60D1"/>
    <w:rsid w:val="00EB681B"/>
    <w:rsid w:val="00EB6A6B"/>
    <w:rsid w:val="00EB7290"/>
    <w:rsid w:val="00EC011B"/>
    <w:rsid w:val="00EC0561"/>
    <w:rsid w:val="00EC0E76"/>
    <w:rsid w:val="00EC12D9"/>
    <w:rsid w:val="00EC1654"/>
    <w:rsid w:val="00EC1C84"/>
    <w:rsid w:val="00EC1E0D"/>
    <w:rsid w:val="00EC2491"/>
    <w:rsid w:val="00EC2830"/>
    <w:rsid w:val="00EC2C54"/>
    <w:rsid w:val="00EC33AC"/>
    <w:rsid w:val="00EC3883"/>
    <w:rsid w:val="00EC40E4"/>
    <w:rsid w:val="00EC4D95"/>
    <w:rsid w:val="00EC4FAD"/>
    <w:rsid w:val="00EC5D9A"/>
    <w:rsid w:val="00EC69AA"/>
    <w:rsid w:val="00EC6B19"/>
    <w:rsid w:val="00EC6B6D"/>
    <w:rsid w:val="00ED05ED"/>
    <w:rsid w:val="00ED0A8E"/>
    <w:rsid w:val="00ED0CCB"/>
    <w:rsid w:val="00ED112D"/>
    <w:rsid w:val="00ED1A52"/>
    <w:rsid w:val="00ED1A5D"/>
    <w:rsid w:val="00ED1BC4"/>
    <w:rsid w:val="00ED29CD"/>
    <w:rsid w:val="00ED2BE0"/>
    <w:rsid w:val="00ED2FAC"/>
    <w:rsid w:val="00ED329E"/>
    <w:rsid w:val="00ED3F11"/>
    <w:rsid w:val="00ED48B5"/>
    <w:rsid w:val="00ED4DBC"/>
    <w:rsid w:val="00ED5217"/>
    <w:rsid w:val="00ED71A0"/>
    <w:rsid w:val="00EE0EE9"/>
    <w:rsid w:val="00EE12A5"/>
    <w:rsid w:val="00EE190E"/>
    <w:rsid w:val="00EE1A4C"/>
    <w:rsid w:val="00EE1C7A"/>
    <w:rsid w:val="00EE2D54"/>
    <w:rsid w:val="00EE36CB"/>
    <w:rsid w:val="00EE3CFA"/>
    <w:rsid w:val="00EE5BDB"/>
    <w:rsid w:val="00EE66B8"/>
    <w:rsid w:val="00EE69E4"/>
    <w:rsid w:val="00EE7055"/>
    <w:rsid w:val="00EE7201"/>
    <w:rsid w:val="00EE7774"/>
    <w:rsid w:val="00EF02AE"/>
    <w:rsid w:val="00EF09ED"/>
    <w:rsid w:val="00EF1115"/>
    <w:rsid w:val="00EF1E4B"/>
    <w:rsid w:val="00EF2013"/>
    <w:rsid w:val="00EF236E"/>
    <w:rsid w:val="00EF2A7F"/>
    <w:rsid w:val="00EF3622"/>
    <w:rsid w:val="00EF3B49"/>
    <w:rsid w:val="00EF4718"/>
    <w:rsid w:val="00EF4EAB"/>
    <w:rsid w:val="00EF5FF6"/>
    <w:rsid w:val="00EF6400"/>
    <w:rsid w:val="00EF68E9"/>
    <w:rsid w:val="00EF6C44"/>
    <w:rsid w:val="00EF6DDD"/>
    <w:rsid w:val="00EF7A85"/>
    <w:rsid w:val="00EF7D3A"/>
    <w:rsid w:val="00EF7E90"/>
    <w:rsid w:val="00F000EC"/>
    <w:rsid w:val="00F002B6"/>
    <w:rsid w:val="00F00506"/>
    <w:rsid w:val="00F00C8E"/>
    <w:rsid w:val="00F02B52"/>
    <w:rsid w:val="00F02C03"/>
    <w:rsid w:val="00F02D34"/>
    <w:rsid w:val="00F02DA7"/>
    <w:rsid w:val="00F03826"/>
    <w:rsid w:val="00F05080"/>
    <w:rsid w:val="00F07441"/>
    <w:rsid w:val="00F10AFE"/>
    <w:rsid w:val="00F115E7"/>
    <w:rsid w:val="00F12905"/>
    <w:rsid w:val="00F129F1"/>
    <w:rsid w:val="00F13E23"/>
    <w:rsid w:val="00F13E4C"/>
    <w:rsid w:val="00F14E62"/>
    <w:rsid w:val="00F15C6C"/>
    <w:rsid w:val="00F15FD6"/>
    <w:rsid w:val="00F17173"/>
    <w:rsid w:val="00F173EF"/>
    <w:rsid w:val="00F17601"/>
    <w:rsid w:val="00F201CE"/>
    <w:rsid w:val="00F2026F"/>
    <w:rsid w:val="00F2058E"/>
    <w:rsid w:val="00F20A70"/>
    <w:rsid w:val="00F21AC8"/>
    <w:rsid w:val="00F224DC"/>
    <w:rsid w:val="00F22D52"/>
    <w:rsid w:val="00F235CB"/>
    <w:rsid w:val="00F23826"/>
    <w:rsid w:val="00F24638"/>
    <w:rsid w:val="00F2466B"/>
    <w:rsid w:val="00F25666"/>
    <w:rsid w:val="00F2574C"/>
    <w:rsid w:val="00F267A3"/>
    <w:rsid w:val="00F2687F"/>
    <w:rsid w:val="00F26ED4"/>
    <w:rsid w:val="00F273E9"/>
    <w:rsid w:val="00F27D35"/>
    <w:rsid w:val="00F27F29"/>
    <w:rsid w:val="00F3047F"/>
    <w:rsid w:val="00F30986"/>
    <w:rsid w:val="00F30DBD"/>
    <w:rsid w:val="00F313CF"/>
    <w:rsid w:val="00F31A76"/>
    <w:rsid w:val="00F3200C"/>
    <w:rsid w:val="00F325AA"/>
    <w:rsid w:val="00F327D1"/>
    <w:rsid w:val="00F32D54"/>
    <w:rsid w:val="00F3314A"/>
    <w:rsid w:val="00F33593"/>
    <w:rsid w:val="00F339A9"/>
    <w:rsid w:val="00F33DC1"/>
    <w:rsid w:val="00F33E87"/>
    <w:rsid w:val="00F33F91"/>
    <w:rsid w:val="00F34157"/>
    <w:rsid w:val="00F34936"/>
    <w:rsid w:val="00F349ED"/>
    <w:rsid w:val="00F34BA8"/>
    <w:rsid w:val="00F34BF9"/>
    <w:rsid w:val="00F35181"/>
    <w:rsid w:val="00F35D7D"/>
    <w:rsid w:val="00F36699"/>
    <w:rsid w:val="00F36822"/>
    <w:rsid w:val="00F36C54"/>
    <w:rsid w:val="00F378A7"/>
    <w:rsid w:val="00F40448"/>
    <w:rsid w:val="00F40BB8"/>
    <w:rsid w:val="00F418EA"/>
    <w:rsid w:val="00F41A29"/>
    <w:rsid w:val="00F41FEF"/>
    <w:rsid w:val="00F42685"/>
    <w:rsid w:val="00F4359D"/>
    <w:rsid w:val="00F43C22"/>
    <w:rsid w:val="00F44C1C"/>
    <w:rsid w:val="00F44C30"/>
    <w:rsid w:val="00F45214"/>
    <w:rsid w:val="00F4645F"/>
    <w:rsid w:val="00F477C5"/>
    <w:rsid w:val="00F504DB"/>
    <w:rsid w:val="00F50BEA"/>
    <w:rsid w:val="00F51025"/>
    <w:rsid w:val="00F514D8"/>
    <w:rsid w:val="00F518DF"/>
    <w:rsid w:val="00F52599"/>
    <w:rsid w:val="00F52A65"/>
    <w:rsid w:val="00F52B46"/>
    <w:rsid w:val="00F53380"/>
    <w:rsid w:val="00F54243"/>
    <w:rsid w:val="00F544DB"/>
    <w:rsid w:val="00F5641A"/>
    <w:rsid w:val="00F569D0"/>
    <w:rsid w:val="00F57C2D"/>
    <w:rsid w:val="00F57DF4"/>
    <w:rsid w:val="00F60030"/>
    <w:rsid w:val="00F603BB"/>
    <w:rsid w:val="00F604AC"/>
    <w:rsid w:val="00F60575"/>
    <w:rsid w:val="00F615D0"/>
    <w:rsid w:val="00F62929"/>
    <w:rsid w:val="00F64035"/>
    <w:rsid w:val="00F6475C"/>
    <w:rsid w:val="00F6494A"/>
    <w:rsid w:val="00F6502E"/>
    <w:rsid w:val="00F654D1"/>
    <w:rsid w:val="00F65663"/>
    <w:rsid w:val="00F660B2"/>
    <w:rsid w:val="00F67371"/>
    <w:rsid w:val="00F67D12"/>
    <w:rsid w:val="00F67EE3"/>
    <w:rsid w:val="00F70A29"/>
    <w:rsid w:val="00F70B65"/>
    <w:rsid w:val="00F70C8B"/>
    <w:rsid w:val="00F713CD"/>
    <w:rsid w:val="00F71939"/>
    <w:rsid w:val="00F71C33"/>
    <w:rsid w:val="00F71F68"/>
    <w:rsid w:val="00F72092"/>
    <w:rsid w:val="00F72A5E"/>
    <w:rsid w:val="00F738F6"/>
    <w:rsid w:val="00F741B2"/>
    <w:rsid w:val="00F74FE5"/>
    <w:rsid w:val="00F7506E"/>
    <w:rsid w:val="00F756C0"/>
    <w:rsid w:val="00F75A40"/>
    <w:rsid w:val="00F77637"/>
    <w:rsid w:val="00F77BFB"/>
    <w:rsid w:val="00F804C2"/>
    <w:rsid w:val="00F8088B"/>
    <w:rsid w:val="00F80A24"/>
    <w:rsid w:val="00F80E3F"/>
    <w:rsid w:val="00F81C81"/>
    <w:rsid w:val="00F81FFB"/>
    <w:rsid w:val="00F8211E"/>
    <w:rsid w:val="00F83080"/>
    <w:rsid w:val="00F83191"/>
    <w:rsid w:val="00F83ADC"/>
    <w:rsid w:val="00F83D04"/>
    <w:rsid w:val="00F8435D"/>
    <w:rsid w:val="00F84625"/>
    <w:rsid w:val="00F855E6"/>
    <w:rsid w:val="00F85BC0"/>
    <w:rsid w:val="00F86CEB"/>
    <w:rsid w:val="00F87D19"/>
    <w:rsid w:val="00F87DD0"/>
    <w:rsid w:val="00F87EFC"/>
    <w:rsid w:val="00F905A7"/>
    <w:rsid w:val="00F91C29"/>
    <w:rsid w:val="00F91CA8"/>
    <w:rsid w:val="00F93360"/>
    <w:rsid w:val="00F93C25"/>
    <w:rsid w:val="00F93FE4"/>
    <w:rsid w:val="00F94832"/>
    <w:rsid w:val="00F95B2C"/>
    <w:rsid w:val="00F95F86"/>
    <w:rsid w:val="00F963F8"/>
    <w:rsid w:val="00F969AD"/>
    <w:rsid w:val="00F97953"/>
    <w:rsid w:val="00F97B7F"/>
    <w:rsid w:val="00F97E4E"/>
    <w:rsid w:val="00F97FEE"/>
    <w:rsid w:val="00FA0562"/>
    <w:rsid w:val="00FA217B"/>
    <w:rsid w:val="00FA2A37"/>
    <w:rsid w:val="00FA440E"/>
    <w:rsid w:val="00FA4AE7"/>
    <w:rsid w:val="00FA4E35"/>
    <w:rsid w:val="00FA4F92"/>
    <w:rsid w:val="00FA5329"/>
    <w:rsid w:val="00FA60C8"/>
    <w:rsid w:val="00FA6BD3"/>
    <w:rsid w:val="00FB01B3"/>
    <w:rsid w:val="00FB047E"/>
    <w:rsid w:val="00FB0495"/>
    <w:rsid w:val="00FB0BC5"/>
    <w:rsid w:val="00FB0BCC"/>
    <w:rsid w:val="00FB0F1D"/>
    <w:rsid w:val="00FB1F32"/>
    <w:rsid w:val="00FB22EA"/>
    <w:rsid w:val="00FB2575"/>
    <w:rsid w:val="00FB5137"/>
    <w:rsid w:val="00FB5898"/>
    <w:rsid w:val="00FB65B7"/>
    <w:rsid w:val="00FB7B03"/>
    <w:rsid w:val="00FC0A70"/>
    <w:rsid w:val="00FC0FE5"/>
    <w:rsid w:val="00FC101D"/>
    <w:rsid w:val="00FC2213"/>
    <w:rsid w:val="00FC2636"/>
    <w:rsid w:val="00FC2CF1"/>
    <w:rsid w:val="00FC37F1"/>
    <w:rsid w:val="00FC3AA1"/>
    <w:rsid w:val="00FC4719"/>
    <w:rsid w:val="00FC4753"/>
    <w:rsid w:val="00FC5EBB"/>
    <w:rsid w:val="00FC6C81"/>
    <w:rsid w:val="00FD0044"/>
    <w:rsid w:val="00FD0191"/>
    <w:rsid w:val="00FD03B0"/>
    <w:rsid w:val="00FD07CB"/>
    <w:rsid w:val="00FD122D"/>
    <w:rsid w:val="00FD1A2E"/>
    <w:rsid w:val="00FD1ABC"/>
    <w:rsid w:val="00FD205F"/>
    <w:rsid w:val="00FD439E"/>
    <w:rsid w:val="00FD4DFE"/>
    <w:rsid w:val="00FD5AFC"/>
    <w:rsid w:val="00FD5F5D"/>
    <w:rsid w:val="00FD6910"/>
    <w:rsid w:val="00FD6E1B"/>
    <w:rsid w:val="00FD7DDF"/>
    <w:rsid w:val="00FE0696"/>
    <w:rsid w:val="00FE0D68"/>
    <w:rsid w:val="00FE1817"/>
    <w:rsid w:val="00FE1B54"/>
    <w:rsid w:val="00FE2C7A"/>
    <w:rsid w:val="00FE2DDB"/>
    <w:rsid w:val="00FE36FE"/>
    <w:rsid w:val="00FE45C4"/>
    <w:rsid w:val="00FE4C92"/>
    <w:rsid w:val="00FE4D63"/>
    <w:rsid w:val="00FE4D6F"/>
    <w:rsid w:val="00FE5126"/>
    <w:rsid w:val="00FE5395"/>
    <w:rsid w:val="00FE6197"/>
    <w:rsid w:val="00FE6E7C"/>
    <w:rsid w:val="00FE70AD"/>
    <w:rsid w:val="00FE7DCE"/>
    <w:rsid w:val="00FF015C"/>
    <w:rsid w:val="00FF0428"/>
    <w:rsid w:val="00FF05E2"/>
    <w:rsid w:val="00FF068B"/>
    <w:rsid w:val="00FF0DC6"/>
    <w:rsid w:val="00FF0FAA"/>
    <w:rsid w:val="00FF12D9"/>
    <w:rsid w:val="00FF1394"/>
    <w:rsid w:val="00FF1FDA"/>
    <w:rsid w:val="00FF23CC"/>
    <w:rsid w:val="00FF24D4"/>
    <w:rsid w:val="00FF2D63"/>
    <w:rsid w:val="00FF3E4E"/>
    <w:rsid w:val="00FF417C"/>
    <w:rsid w:val="00FF4396"/>
    <w:rsid w:val="00FF43BF"/>
    <w:rsid w:val="00FF5792"/>
    <w:rsid w:val="00FF5D5E"/>
    <w:rsid w:val="00FF643A"/>
    <w:rsid w:val="00FF666A"/>
    <w:rsid w:val="00FF6E63"/>
    <w:rsid w:val="00FF7261"/>
    <w:rsid w:val="00FF7A8E"/>
    <w:rsid w:val="00FF7AC0"/>
    <w:rsid w:val="00FF7F4E"/>
    <w:rsid w:val="4CF6D56A"/>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681"/>
    <o:shapelayout v:ext="edit">
      <o:idmap v:ext="edit" data="1"/>
    </o:shapelayout>
  </w:shapeDefaults>
  <w:decimalSymbol w:val="."/>
  <w:listSeparator w:val=","/>
  <w14:docId w14:val="4DA07A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pt-PT" w:eastAsia="en-GB" w:bidi="en-GB"/>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qFormat="1"/>
    <w:lsdException w:name="annotation text" w:semiHidden="1" w:uiPriority="0" w:unhideWhenUsed="1"/>
    <w:lsdException w:name="header" w:locked="1" w:semiHidden="1" w:uiPriority="0" w:unhideWhenUsed="1" w:qFormat="1"/>
    <w:lsdException w:name="footer" w:locked="1" w:semiHidden="1" w:uiPriority="0" w:unhideWhenUsed="1"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2636"/>
    <w:pPr>
      <w:spacing w:line="288" w:lineRule="auto"/>
      <w:jc w:val="both"/>
    </w:pPr>
    <w:rPr>
      <w:lang w:eastAsia="en-US" w:bidi="ar-SA"/>
    </w:rPr>
  </w:style>
  <w:style w:type="paragraph" w:styleId="Heading1">
    <w:name w:val="heading 1"/>
    <w:basedOn w:val="Normal"/>
    <w:next w:val="Normal"/>
    <w:link w:val="Heading1Char"/>
    <w:qFormat/>
    <w:rsid w:val="00FC2636"/>
    <w:pPr>
      <w:numPr>
        <w:numId w:val="2"/>
      </w:numPr>
      <w:ind w:left="567" w:hanging="567"/>
      <w:outlineLvl w:val="0"/>
    </w:pPr>
    <w:rPr>
      <w:kern w:val="28"/>
    </w:rPr>
  </w:style>
  <w:style w:type="paragraph" w:styleId="Heading2">
    <w:name w:val="heading 2"/>
    <w:basedOn w:val="Normal"/>
    <w:next w:val="Normal"/>
    <w:link w:val="Heading2Char"/>
    <w:qFormat/>
    <w:rsid w:val="00FC2636"/>
    <w:pPr>
      <w:numPr>
        <w:ilvl w:val="1"/>
        <w:numId w:val="2"/>
      </w:numPr>
      <w:ind w:left="567" w:hanging="567"/>
      <w:outlineLvl w:val="1"/>
    </w:pPr>
  </w:style>
  <w:style w:type="paragraph" w:styleId="Heading3">
    <w:name w:val="heading 3"/>
    <w:basedOn w:val="Normal"/>
    <w:next w:val="Normal"/>
    <w:link w:val="Heading3Char"/>
    <w:qFormat/>
    <w:rsid w:val="00FC2636"/>
    <w:pPr>
      <w:numPr>
        <w:ilvl w:val="2"/>
        <w:numId w:val="2"/>
      </w:numPr>
      <w:ind w:left="567" w:hanging="567"/>
      <w:outlineLvl w:val="2"/>
    </w:pPr>
  </w:style>
  <w:style w:type="paragraph" w:styleId="Heading4">
    <w:name w:val="heading 4"/>
    <w:basedOn w:val="Normal"/>
    <w:next w:val="Normal"/>
    <w:link w:val="Heading4Char"/>
    <w:qFormat/>
    <w:rsid w:val="00FC2636"/>
    <w:pPr>
      <w:numPr>
        <w:ilvl w:val="3"/>
        <w:numId w:val="2"/>
      </w:numPr>
      <w:ind w:left="567" w:hanging="567"/>
      <w:outlineLvl w:val="3"/>
    </w:pPr>
  </w:style>
  <w:style w:type="paragraph" w:styleId="Heading5">
    <w:name w:val="heading 5"/>
    <w:basedOn w:val="Normal"/>
    <w:next w:val="Normal"/>
    <w:link w:val="Heading5Char"/>
    <w:qFormat/>
    <w:rsid w:val="00FC2636"/>
    <w:pPr>
      <w:numPr>
        <w:ilvl w:val="4"/>
        <w:numId w:val="2"/>
      </w:numPr>
      <w:ind w:left="567" w:hanging="567"/>
      <w:outlineLvl w:val="4"/>
    </w:pPr>
  </w:style>
  <w:style w:type="paragraph" w:styleId="Heading6">
    <w:name w:val="heading 6"/>
    <w:basedOn w:val="Normal"/>
    <w:next w:val="Normal"/>
    <w:link w:val="Heading6Char"/>
    <w:qFormat/>
    <w:rsid w:val="00FC2636"/>
    <w:pPr>
      <w:numPr>
        <w:ilvl w:val="5"/>
        <w:numId w:val="2"/>
      </w:numPr>
      <w:ind w:left="567" w:hanging="567"/>
      <w:outlineLvl w:val="5"/>
    </w:pPr>
  </w:style>
  <w:style w:type="paragraph" w:styleId="Heading7">
    <w:name w:val="heading 7"/>
    <w:basedOn w:val="Normal"/>
    <w:next w:val="Normal"/>
    <w:link w:val="Heading7Char"/>
    <w:qFormat/>
    <w:rsid w:val="00FC2636"/>
    <w:pPr>
      <w:numPr>
        <w:ilvl w:val="6"/>
        <w:numId w:val="2"/>
      </w:numPr>
      <w:ind w:left="567" w:hanging="567"/>
      <w:outlineLvl w:val="6"/>
    </w:pPr>
  </w:style>
  <w:style w:type="paragraph" w:styleId="Heading8">
    <w:name w:val="heading 8"/>
    <w:basedOn w:val="Normal"/>
    <w:next w:val="Normal"/>
    <w:link w:val="Heading8Char"/>
    <w:qFormat/>
    <w:rsid w:val="00FC2636"/>
    <w:pPr>
      <w:numPr>
        <w:ilvl w:val="7"/>
        <w:numId w:val="2"/>
      </w:numPr>
      <w:ind w:left="567" w:hanging="567"/>
      <w:outlineLvl w:val="7"/>
    </w:pPr>
  </w:style>
  <w:style w:type="paragraph" w:styleId="Heading9">
    <w:name w:val="heading 9"/>
    <w:basedOn w:val="Normal"/>
    <w:next w:val="Normal"/>
    <w:link w:val="Heading9Char"/>
    <w:qFormat/>
    <w:rsid w:val="00FC2636"/>
    <w:pPr>
      <w:numPr>
        <w:ilvl w:val="8"/>
        <w:numId w:val="2"/>
      </w:numPr>
      <w:ind w:left="567" w:hanging="567"/>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B1536"/>
    <w:rPr>
      <w:kern w:val="28"/>
      <w:lang w:val="pt-PT" w:eastAsia="en-US" w:bidi="ar-SA"/>
    </w:rPr>
  </w:style>
  <w:style w:type="character" w:customStyle="1" w:styleId="Heading2Char">
    <w:name w:val="Heading 2 Char"/>
    <w:basedOn w:val="DefaultParagraphFont"/>
    <w:link w:val="Heading2"/>
    <w:locked/>
    <w:rsid w:val="00CB1536"/>
    <w:rPr>
      <w:lang w:val="pt-PT" w:eastAsia="en-US" w:bidi="ar-SA"/>
    </w:rPr>
  </w:style>
  <w:style w:type="character" w:customStyle="1" w:styleId="Heading3Char">
    <w:name w:val="Heading 3 Char"/>
    <w:basedOn w:val="DefaultParagraphFont"/>
    <w:link w:val="Heading3"/>
    <w:locked/>
    <w:rsid w:val="00CB1536"/>
    <w:rPr>
      <w:lang w:val="pt-PT" w:eastAsia="en-US" w:bidi="ar-SA"/>
    </w:rPr>
  </w:style>
  <w:style w:type="character" w:customStyle="1" w:styleId="Heading4Char">
    <w:name w:val="Heading 4 Char"/>
    <w:basedOn w:val="DefaultParagraphFont"/>
    <w:link w:val="Heading4"/>
    <w:locked/>
    <w:rsid w:val="00CB1536"/>
    <w:rPr>
      <w:lang w:val="pt-PT" w:eastAsia="en-US" w:bidi="ar-SA"/>
    </w:rPr>
  </w:style>
  <w:style w:type="character" w:customStyle="1" w:styleId="Heading5Char">
    <w:name w:val="Heading 5 Char"/>
    <w:basedOn w:val="DefaultParagraphFont"/>
    <w:link w:val="Heading5"/>
    <w:locked/>
    <w:rsid w:val="00CB1536"/>
    <w:rPr>
      <w:lang w:val="pt-PT" w:eastAsia="en-US" w:bidi="ar-SA"/>
    </w:rPr>
  </w:style>
  <w:style w:type="character" w:customStyle="1" w:styleId="Heading6Char">
    <w:name w:val="Heading 6 Char"/>
    <w:basedOn w:val="DefaultParagraphFont"/>
    <w:link w:val="Heading6"/>
    <w:locked/>
    <w:rsid w:val="00CB1536"/>
    <w:rPr>
      <w:lang w:val="pt-PT" w:eastAsia="en-US" w:bidi="ar-SA"/>
    </w:rPr>
  </w:style>
  <w:style w:type="character" w:customStyle="1" w:styleId="Heading7Char">
    <w:name w:val="Heading 7 Char"/>
    <w:basedOn w:val="DefaultParagraphFont"/>
    <w:link w:val="Heading7"/>
    <w:locked/>
    <w:rsid w:val="00CB1536"/>
    <w:rPr>
      <w:lang w:val="pt-PT" w:eastAsia="en-US" w:bidi="ar-SA"/>
    </w:rPr>
  </w:style>
  <w:style w:type="character" w:customStyle="1" w:styleId="Heading8Char">
    <w:name w:val="Heading 8 Char"/>
    <w:basedOn w:val="DefaultParagraphFont"/>
    <w:link w:val="Heading8"/>
    <w:locked/>
    <w:rsid w:val="00CB1536"/>
    <w:rPr>
      <w:lang w:val="pt-PT" w:eastAsia="en-US" w:bidi="ar-SA"/>
    </w:rPr>
  </w:style>
  <w:style w:type="character" w:customStyle="1" w:styleId="Heading9Char">
    <w:name w:val="Heading 9 Char"/>
    <w:basedOn w:val="DefaultParagraphFont"/>
    <w:link w:val="Heading9"/>
    <w:locked/>
    <w:rsid w:val="00CB1536"/>
    <w:rPr>
      <w:lang w:val="pt-PT" w:eastAsia="en-US" w:bidi="ar-SA"/>
    </w:rPr>
  </w:style>
  <w:style w:type="paragraph" w:styleId="Footer">
    <w:name w:val="footer"/>
    <w:basedOn w:val="Normal"/>
    <w:link w:val="FooterChar"/>
    <w:qFormat/>
    <w:rsid w:val="00FC2636"/>
  </w:style>
  <w:style w:type="character" w:customStyle="1" w:styleId="FooterChar">
    <w:name w:val="Footer Char"/>
    <w:basedOn w:val="DefaultParagraphFont"/>
    <w:link w:val="Footer"/>
    <w:locked/>
    <w:rsid w:val="00CB1536"/>
    <w:rPr>
      <w:lang w:val="pt-PT" w:eastAsia="en-US" w:bidi="ar-SA"/>
    </w:rPr>
  </w:style>
  <w:style w:type="paragraph" w:styleId="FootnoteText">
    <w:name w:val="footnote text"/>
    <w:basedOn w:val="Normal"/>
    <w:link w:val="FootnoteTextChar"/>
    <w:qFormat/>
    <w:rsid w:val="00FC2636"/>
    <w:pPr>
      <w:keepLines/>
      <w:spacing w:after="60" w:line="240" w:lineRule="auto"/>
      <w:ind w:left="567" w:hanging="567"/>
    </w:pPr>
    <w:rPr>
      <w:sz w:val="16"/>
    </w:rPr>
  </w:style>
  <w:style w:type="character" w:customStyle="1" w:styleId="FootnoteTextChar">
    <w:name w:val="Footnote Text Char"/>
    <w:basedOn w:val="DefaultParagraphFont"/>
    <w:link w:val="FootnoteText"/>
    <w:locked/>
    <w:rsid w:val="00CB1536"/>
    <w:rPr>
      <w:sz w:val="16"/>
      <w:lang w:val="pt-PT" w:eastAsia="en-US" w:bidi="ar-SA"/>
    </w:rPr>
  </w:style>
  <w:style w:type="paragraph" w:styleId="Header">
    <w:name w:val="header"/>
    <w:basedOn w:val="Normal"/>
    <w:link w:val="HeaderChar"/>
    <w:qFormat/>
    <w:rsid w:val="00FC2636"/>
  </w:style>
  <w:style w:type="character" w:customStyle="1" w:styleId="HeaderChar">
    <w:name w:val="Header Char"/>
    <w:basedOn w:val="DefaultParagraphFont"/>
    <w:link w:val="Header"/>
    <w:locked/>
    <w:rsid w:val="00CB1536"/>
    <w:rPr>
      <w:lang w:val="pt-PT" w:eastAsia="en-US" w:bidi="ar-SA"/>
    </w:rPr>
  </w:style>
  <w:style w:type="character" w:styleId="Hyperlink">
    <w:name w:val="Hyperlink"/>
    <w:basedOn w:val="DefaultParagraphFont"/>
    <w:uiPriority w:val="99"/>
    <w:rsid w:val="00934C10"/>
    <w:rPr>
      <w:color w:val="0000FF"/>
      <w:u w:val="single"/>
    </w:rPr>
  </w:style>
  <w:style w:type="character" w:styleId="FootnoteReference">
    <w:name w:val="footnote reference"/>
    <w:aliases w:val="Footnote symbol"/>
    <w:basedOn w:val="DefaultParagraphFont"/>
    <w:unhideWhenUsed/>
    <w:qFormat/>
    <w:rsid w:val="00FC2636"/>
    <w:rPr>
      <w:sz w:val="24"/>
      <w:vertAlign w:val="superscript"/>
    </w:rPr>
  </w:style>
  <w:style w:type="character" w:styleId="FollowedHyperlink">
    <w:name w:val="FollowedHyperlink"/>
    <w:basedOn w:val="DefaultParagraphFont"/>
    <w:uiPriority w:val="99"/>
    <w:rsid w:val="00934C10"/>
    <w:rPr>
      <w:color w:val="800080"/>
      <w:u w:val="single"/>
    </w:rPr>
  </w:style>
  <w:style w:type="paragraph" w:customStyle="1" w:styleId="LOGO">
    <w:name w:val="LOGO"/>
    <w:basedOn w:val="Normal"/>
    <w:uiPriority w:val="99"/>
    <w:rsid w:val="00934C10"/>
    <w:pPr>
      <w:jc w:val="center"/>
    </w:pPr>
    <w:rPr>
      <w:rFonts w:ascii="Arial" w:hAnsi="Arial" w:cs="Arial"/>
      <w:b/>
      <w:bCs/>
      <w:i/>
      <w:iCs/>
      <w:sz w:val="20"/>
    </w:rPr>
  </w:style>
  <w:style w:type="paragraph" w:styleId="Revision">
    <w:name w:val="Revision"/>
    <w:hidden/>
    <w:uiPriority w:val="99"/>
    <w:semiHidden/>
    <w:rsid w:val="00B2372C"/>
  </w:style>
  <w:style w:type="paragraph" w:customStyle="1" w:styleId="quotes">
    <w:name w:val="quotes"/>
    <w:basedOn w:val="Normal"/>
    <w:next w:val="Normal"/>
    <w:rsid w:val="00FC2636"/>
    <w:pPr>
      <w:ind w:left="720"/>
    </w:pPr>
    <w:rPr>
      <w:i/>
    </w:rPr>
  </w:style>
  <w:style w:type="paragraph" w:styleId="ListParagraph">
    <w:name w:val="List Paragraph"/>
    <w:basedOn w:val="Normal"/>
    <w:uiPriority w:val="34"/>
    <w:qFormat/>
    <w:rsid w:val="000B68FA"/>
    <w:pPr>
      <w:ind w:left="720"/>
      <w:contextualSpacing/>
    </w:pPr>
  </w:style>
  <w:style w:type="table" w:styleId="TableGrid">
    <w:name w:val="Table Grid"/>
    <w:basedOn w:val="TableNormal"/>
    <w:locked/>
    <w:rsid w:val="000C70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tkaisematonmaininta1">
    <w:name w:val="Ratkaisematon maininta1"/>
    <w:basedOn w:val="DefaultParagraphFont"/>
    <w:uiPriority w:val="99"/>
    <w:semiHidden/>
    <w:unhideWhenUsed/>
    <w:rsid w:val="00A618BF"/>
    <w:rPr>
      <w:color w:val="605E5C"/>
      <w:shd w:val="clear" w:color="auto" w:fill="E1DFDD"/>
    </w:rPr>
  </w:style>
  <w:style w:type="paragraph" w:styleId="BalloonText">
    <w:name w:val="Balloon Text"/>
    <w:basedOn w:val="Normal"/>
    <w:link w:val="BalloonTextChar"/>
    <w:uiPriority w:val="99"/>
    <w:semiHidden/>
    <w:unhideWhenUsed/>
    <w:rsid w:val="00FC0A70"/>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C0A70"/>
    <w:rPr>
      <w:rFonts w:ascii="Segoe UI" w:hAnsi="Segoe UI" w:cs="Segoe UI"/>
      <w:sz w:val="18"/>
      <w:szCs w:val="18"/>
      <w:lang w:val="pt-PT" w:eastAsia="en-US" w:bidi="ar-SA"/>
    </w:rPr>
  </w:style>
  <w:style w:type="character" w:styleId="CommentReference">
    <w:name w:val="annotation reference"/>
    <w:basedOn w:val="DefaultParagraphFont"/>
    <w:semiHidden/>
    <w:unhideWhenUsed/>
    <w:rsid w:val="00943BB4"/>
    <w:rPr>
      <w:sz w:val="16"/>
      <w:szCs w:val="16"/>
    </w:rPr>
  </w:style>
  <w:style w:type="paragraph" w:styleId="CommentText">
    <w:name w:val="annotation text"/>
    <w:basedOn w:val="Normal"/>
    <w:link w:val="CommentTextChar"/>
    <w:semiHidden/>
    <w:unhideWhenUsed/>
    <w:rsid w:val="00943BB4"/>
    <w:pPr>
      <w:spacing w:line="240" w:lineRule="auto"/>
    </w:pPr>
    <w:rPr>
      <w:sz w:val="20"/>
      <w:szCs w:val="20"/>
    </w:rPr>
  </w:style>
  <w:style w:type="character" w:customStyle="1" w:styleId="CommentTextChar">
    <w:name w:val="Comment Text Char"/>
    <w:basedOn w:val="DefaultParagraphFont"/>
    <w:link w:val="CommentText"/>
    <w:semiHidden/>
    <w:rsid w:val="00943BB4"/>
    <w:rPr>
      <w:sz w:val="20"/>
      <w:szCs w:val="20"/>
      <w:lang w:val="pt-PT" w:eastAsia="en-US" w:bidi="ar-SA"/>
    </w:rPr>
  </w:style>
  <w:style w:type="paragraph" w:styleId="CommentSubject">
    <w:name w:val="annotation subject"/>
    <w:basedOn w:val="CommentText"/>
    <w:next w:val="CommentText"/>
    <w:link w:val="CommentSubjectChar"/>
    <w:uiPriority w:val="99"/>
    <w:semiHidden/>
    <w:unhideWhenUsed/>
    <w:rsid w:val="00943BB4"/>
    <w:rPr>
      <w:b/>
      <w:bCs/>
    </w:rPr>
  </w:style>
  <w:style w:type="character" w:customStyle="1" w:styleId="CommentSubjectChar">
    <w:name w:val="Comment Subject Char"/>
    <w:basedOn w:val="CommentTextChar"/>
    <w:link w:val="CommentSubject"/>
    <w:uiPriority w:val="99"/>
    <w:semiHidden/>
    <w:rsid w:val="00943BB4"/>
    <w:rPr>
      <w:b/>
      <w:bCs/>
      <w:sz w:val="20"/>
      <w:szCs w:val="20"/>
      <w:lang w:val="pt-PT" w:eastAsia="en-US" w:bidi="ar-SA"/>
    </w:rPr>
  </w:style>
  <w:style w:type="character" w:customStyle="1" w:styleId="UnresolvedMention1">
    <w:name w:val="Unresolved Mention1"/>
    <w:basedOn w:val="DefaultParagraphFont"/>
    <w:uiPriority w:val="99"/>
    <w:semiHidden/>
    <w:unhideWhenUsed/>
    <w:rsid w:val="009031F2"/>
    <w:rPr>
      <w:color w:val="605E5C"/>
      <w:shd w:val="clear" w:color="auto" w:fill="E1DFDD"/>
    </w:rPr>
  </w:style>
  <w:style w:type="character" w:customStyle="1" w:styleId="UnresolvedMention2">
    <w:name w:val="Unresolved Mention2"/>
    <w:basedOn w:val="DefaultParagraphFont"/>
    <w:uiPriority w:val="99"/>
    <w:semiHidden/>
    <w:unhideWhenUsed/>
    <w:rsid w:val="008B67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995196">
      <w:bodyDiv w:val="1"/>
      <w:marLeft w:val="0"/>
      <w:marRight w:val="0"/>
      <w:marTop w:val="0"/>
      <w:marBottom w:val="0"/>
      <w:divBdr>
        <w:top w:val="none" w:sz="0" w:space="0" w:color="auto"/>
        <w:left w:val="none" w:sz="0" w:space="0" w:color="auto"/>
        <w:bottom w:val="none" w:sz="0" w:space="0" w:color="auto"/>
        <w:right w:val="none" w:sz="0" w:space="0" w:color="auto"/>
      </w:divBdr>
    </w:div>
    <w:div w:id="121121979">
      <w:bodyDiv w:val="1"/>
      <w:marLeft w:val="0"/>
      <w:marRight w:val="0"/>
      <w:marTop w:val="0"/>
      <w:marBottom w:val="0"/>
      <w:divBdr>
        <w:top w:val="none" w:sz="0" w:space="0" w:color="auto"/>
        <w:left w:val="none" w:sz="0" w:space="0" w:color="auto"/>
        <w:bottom w:val="none" w:sz="0" w:space="0" w:color="auto"/>
        <w:right w:val="none" w:sz="0" w:space="0" w:color="auto"/>
      </w:divBdr>
    </w:div>
    <w:div w:id="134184824">
      <w:bodyDiv w:val="1"/>
      <w:marLeft w:val="0"/>
      <w:marRight w:val="0"/>
      <w:marTop w:val="0"/>
      <w:marBottom w:val="0"/>
      <w:divBdr>
        <w:top w:val="none" w:sz="0" w:space="0" w:color="auto"/>
        <w:left w:val="none" w:sz="0" w:space="0" w:color="auto"/>
        <w:bottom w:val="none" w:sz="0" w:space="0" w:color="auto"/>
        <w:right w:val="none" w:sz="0" w:space="0" w:color="auto"/>
      </w:divBdr>
    </w:div>
    <w:div w:id="138304500">
      <w:bodyDiv w:val="1"/>
      <w:marLeft w:val="0"/>
      <w:marRight w:val="0"/>
      <w:marTop w:val="0"/>
      <w:marBottom w:val="0"/>
      <w:divBdr>
        <w:top w:val="none" w:sz="0" w:space="0" w:color="auto"/>
        <w:left w:val="none" w:sz="0" w:space="0" w:color="auto"/>
        <w:bottom w:val="none" w:sz="0" w:space="0" w:color="auto"/>
        <w:right w:val="none" w:sz="0" w:space="0" w:color="auto"/>
      </w:divBdr>
      <w:divsChild>
        <w:div w:id="1241595141">
          <w:marLeft w:val="0"/>
          <w:marRight w:val="0"/>
          <w:marTop w:val="0"/>
          <w:marBottom w:val="0"/>
          <w:divBdr>
            <w:top w:val="none" w:sz="0" w:space="0" w:color="auto"/>
            <w:left w:val="none" w:sz="0" w:space="0" w:color="auto"/>
            <w:bottom w:val="none" w:sz="0" w:space="0" w:color="auto"/>
            <w:right w:val="none" w:sz="0" w:space="0" w:color="auto"/>
          </w:divBdr>
          <w:divsChild>
            <w:div w:id="1277365832">
              <w:marLeft w:val="0"/>
              <w:marRight w:val="0"/>
              <w:marTop w:val="0"/>
              <w:marBottom w:val="0"/>
              <w:divBdr>
                <w:top w:val="none" w:sz="0" w:space="0" w:color="auto"/>
                <w:left w:val="none" w:sz="0" w:space="0" w:color="auto"/>
                <w:bottom w:val="none" w:sz="0" w:space="0" w:color="auto"/>
                <w:right w:val="none" w:sz="0" w:space="0" w:color="auto"/>
              </w:divBdr>
            </w:div>
            <w:div w:id="2046952548">
              <w:marLeft w:val="0"/>
              <w:marRight w:val="0"/>
              <w:marTop w:val="0"/>
              <w:marBottom w:val="0"/>
              <w:divBdr>
                <w:top w:val="none" w:sz="0" w:space="0" w:color="auto"/>
                <w:left w:val="none" w:sz="0" w:space="0" w:color="auto"/>
                <w:bottom w:val="none" w:sz="0" w:space="0" w:color="auto"/>
                <w:right w:val="none" w:sz="0" w:space="0" w:color="auto"/>
              </w:divBdr>
            </w:div>
            <w:div w:id="117846161">
              <w:marLeft w:val="0"/>
              <w:marRight w:val="0"/>
              <w:marTop w:val="0"/>
              <w:marBottom w:val="0"/>
              <w:divBdr>
                <w:top w:val="none" w:sz="0" w:space="0" w:color="auto"/>
                <w:left w:val="none" w:sz="0" w:space="0" w:color="auto"/>
                <w:bottom w:val="none" w:sz="0" w:space="0" w:color="auto"/>
                <w:right w:val="none" w:sz="0" w:space="0" w:color="auto"/>
              </w:divBdr>
            </w:div>
            <w:div w:id="1145925578">
              <w:marLeft w:val="0"/>
              <w:marRight w:val="0"/>
              <w:marTop w:val="0"/>
              <w:marBottom w:val="0"/>
              <w:divBdr>
                <w:top w:val="none" w:sz="0" w:space="0" w:color="auto"/>
                <w:left w:val="none" w:sz="0" w:space="0" w:color="auto"/>
                <w:bottom w:val="none" w:sz="0" w:space="0" w:color="auto"/>
                <w:right w:val="none" w:sz="0" w:space="0" w:color="auto"/>
              </w:divBdr>
            </w:div>
            <w:div w:id="1395005617">
              <w:marLeft w:val="0"/>
              <w:marRight w:val="0"/>
              <w:marTop w:val="0"/>
              <w:marBottom w:val="0"/>
              <w:divBdr>
                <w:top w:val="none" w:sz="0" w:space="0" w:color="auto"/>
                <w:left w:val="none" w:sz="0" w:space="0" w:color="auto"/>
                <w:bottom w:val="none" w:sz="0" w:space="0" w:color="auto"/>
                <w:right w:val="none" w:sz="0" w:space="0" w:color="auto"/>
              </w:divBdr>
            </w:div>
          </w:divsChild>
        </w:div>
        <w:div w:id="1088770290">
          <w:marLeft w:val="0"/>
          <w:marRight w:val="0"/>
          <w:marTop w:val="0"/>
          <w:marBottom w:val="0"/>
          <w:divBdr>
            <w:top w:val="none" w:sz="0" w:space="0" w:color="auto"/>
            <w:left w:val="none" w:sz="0" w:space="0" w:color="auto"/>
            <w:bottom w:val="none" w:sz="0" w:space="0" w:color="auto"/>
            <w:right w:val="none" w:sz="0" w:space="0" w:color="auto"/>
          </w:divBdr>
          <w:divsChild>
            <w:div w:id="903494865">
              <w:marLeft w:val="-75"/>
              <w:marRight w:val="0"/>
              <w:marTop w:val="30"/>
              <w:marBottom w:val="30"/>
              <w:divBdr>
                <w:top w:val="none" w:sz="0" w:space="0" w:color="auto"/>
                <w:left w:val="none" w:sz="0" w:space="0" w:color="auto"/>
                <w:bottom w:val="none" w:sz="0" w:space="0" w:color="auto"/>
                <w:right w:val="none" w:sz="0" w:space="0" w:color="auto"/>
              </w:divBdr>
              <w:divsChild>
                <w:div w:id="384841762">
                  <w:marLeft w:val="0"/>
                  <w:marRight w:val="0"/>
                  <w:marTop w:val="0"/>
                  <w:marBottom w:val="0"/>
                  <w:divBdr>
                    <w:top w:val="none" w:sz="0" w:space="0" w:color="auto"/>
                    <w:left w:val="none" w:sz="0" w:space="0" w:color="auto"/>
                    <w:bottom w:val="none" w:sz="0" w:space="0" w:color="auto"/>
                    <w:right w:val="none" w:sz="0" w:space="0" w:color="auto"/>
                  </w:divBdr>
                  <w:divsChild>
                    <w:div w:id="78647945">
                      <w:marLeft w:val="0"/>
                      <w:marRight w:val="0"/>
                      <w:marTop w:val="0"/>
                      <w:marBottom w:val="0"/>
                      <w:divBdr>
                        <w:top w:val="none" w:sz="0" w:space="0" w:color="auto"/>
                        <w:left w:val="none" w:sz="0" w:space="0" w:color="auto"/>
                        <w:bottom w:val="none" w:sz="0" w:space="0" w:color="auto"/>
                        <w:right w:val="none" w:sz="0" w:space="0" w:color="auto"/>
                      </w:divBdr>
                    </w:div>
                  </w:divsChild>
                </w:div>
                <w:div w:id="2019237185">
                  <w:marLeft w:val="0"/>
                  <w:marRight w:val="0"/>
                  <w:marTop w:val="0"/>
                  <w:marBottom w:val="0"/>
                  <w:divBdr>
                    <w:top w:val="none" w:sz="0" w:space="0" w:color="auto"/>
                    <w:left w:val="none" w:sz="0" w:space="0" w:color="auto"/>
                    <w:bottom w:val="none" w:sz="0" w:space="0" w:color="auto"/>
                    <w:right w:val="none" w:sz="0" w:space="0" w:color="auto"/>
                  </w:divBdr>
                  <w:divsChild>
                    <w:div w:id="1996838574">
                      <w:marLeft w:val="0"/>
                      <w:marRight w:val="0"/>
                      <w:marTop w:val="0"/>
                      <w:marBottom w:val="0"/>
                      <w:divBdr>
                        <w:top w:val="none" w:sz="0" w:space="0" w:color="auto"/>
                        <w:left w:val="none" w:sz="0" w:space="0" w:color="auto"/>
                        <w:bottom w:val="none" w:sz="0" w:space="0" w:color="auto"/>
                        <w:right w:val="none" w:sz="0" w:space="0" w:color="auto"/>
                      </w:divBdr>
                    </w:div>
                  </w:divsChild>
                </w:div>
                <w:div w:id="1534490734">
                  <w:marLeft w:val="0"/>
                  <w:marRight w:val="0"/>
                  <w:marTop w:val="0"/>
                  <w:marBottom w:val="0"/>
                  <w:divBdr>
                    <w:top w:val="none" w:sz="0" w:space="0" w:color="auto"/>
                    <w:left w:val="none" w:sz="0" w:space="0" w:color="auto"/>
                    <w:bottom w:val="none" w:sz="0" w:space="0" w:color="auto"/>
                    <w:right w:val="none" w:sz="0" w:space="0" w:color="auto"/>
                  </w:divBdr>
                  <w:divsChild>
                    <w:div w:id="1465078362">
                      <w:marLeft w:val="0"/>
                      <w:marRight w:val="0"/>
                      <w:marTop w:val="0"/>
                      <w:marBottom w:val="0"/>
                      <w:divBdr>
                        <w:top w:val="none" w:sz="0" w:space="0" w:color="auto"/>
                        <w:left w:val="none" w:sz="0" w:space="0" w:color="auto"/>
                        <w:bottom w:val="none" w:sz="0" w:space="0" w:color="auto"/>
                        <w:right w:val="none" w:sz="0" w:space="0" w:color="auto"/>
                      </w:divBdr>
                    </w:div>
                  </w:divsChild>
                </w:div>
                <w:div w:id="1881934417">
                  <w:marLeft w:val="0"/>
                  <w:marRight w:val="0"/>
                  <w:marTop w:val="0"/>
                  <w:marBottom w:val="0"/>
                  <w:divBdr>
                    <w:top w:val="none" w:sz="0" w:space="0" w:color="auto"/>
                    <w:left w:val="none" w:sz="0" w:space="0" w:color="auto"/>
                    <w:bottom w:val="none" w:sz="0" w:space="0" w:color="auto"/>
                    <w:right w:val="none" w:sz="0" w:space="0" w:color="auto"/>
                  </w:divBdr>
                  <w:divsChild>
                    <w:div w:id="115653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839279">
          <w:marLeft w:val="0"/>
          <w:marRight w:val="0"/>
          <w:marTop w:val="0"/>
          <w:marBottom w:val="0"/>
          <w:divBdr>
            <w:top w:val="none" w:sz="0" w:space="0" w:color="auto"/>
            <w:left w:val="none" w:sz="0" w:space="0" w:color="auto"/>
            <w:bottom w:val="none" w:sz="0" w:space="0" w:color="auto"/>
            <w:right w:val="none" w:sz="0" w:space="0" w:color="auto"/>
          </w:divBdr>
        </w:div>
        <w:div w:id="1253198023">
          <w:marLeft w:val="0"/>
          <w:marRight w:val="0"/>
          <w:marTop w:val="0"/>
          <w:marBottom w:val="0"/>
          <w:divBdr>
            <w:top w:val="none" w:sz="0" w:space="0" w:color="auto"/>
            <w:left w:val="none" w:sz="0" w:space="0" w:color="auto"/>
            <w:bottom w:val="none" w:sz="0" w:space="0" w:color="auto"/>
            <w:right w:val="none" w:sz="0" w:space="0" w:color="auto"/>
          </w:divBdr>
          <w:divsChild>
            <w:div w:id="1032265375">
              <w:marLeft w:val="-75"/>
              <w:marRight w:val="0"/>
              <w:marTop w:val="30"/>
              <w:marBottom w:val="30"/>
              <w:divBdr>
                <w:top w:val="none" w:sz="0" w:space="0" w:color="auto"/>
                <w:left w:val="none" w:sz="0" w:space="0" w:color="auto"/>
                <w:bottom w:val="none" w:sz="0" w:space="0" w:color="auto"/>
                <w:right w:val="none" w:sz="0" w:space="0" w:color="auto"/>
              </w:divBdr>
              <w:divsChild>
                <w:div w:id="869882954">
                  <w:marLeft w:val="0"/>
                  <w:marRight w:val="0"/>
                  <w:marTop w:val="0"/>
                  <w:marBottom w:val="0"/>
                  <w:divBdr>
                    <w:top w:val="none" w:sz="0" w:space="0" w:color="auto"/>
                    <w:left w:val="none" w:sz="0" w:space="0" w:color="auto"/>
                    <w:bottom w:val="none" w:sz="0" w:space="0" w:color="auto"/>
                    <w:right w:val="none" w:sz="0" w:space="0" w:color="auto"/>
                  </w:divBdr>
                  <w:divsChild>
                    <w:div w:id="1032001996">
                      <w:marLeft w:val="0"/>
                      <w:marRight w:val="0"/>
                      <w:marTop w:val="0"/>
                      <w:marBottom w:val="0"/>
                      <w:divBdr>
                        <w:top w:val="none" w:sz="0" w:space="0" w:color="auto"/>
                        <w:left w:val="none" w:sz="0" w:space="0" w:color="auto"/>
                        <w:bottom w:val="none" w:sz="0" w:space="0" w:color="auto"/>
                        <w:right w:val="none" w:sz="0" w:space="0" w:color="auto"/>
                      </w:divBdr>
                    </w:div>
                  </w:divsChild>
                </w:div>
                <w:div w:id="1750351379">
                  <w:marLeft w:val="0"/>
                  <w:marRight w:val="0"/>
                  <w:marTop w:val="0"/>
                  <w:marBottom w:val="0"/>
                  <w:divBdr>
                    <w:top w:val="none" w:sz="0" w:space="0" w:color="auto"/>
                    <w:left w:val="none" w:sz="0" w:space="0" w:color="auto"/>
                    <w:bottom w:val="none" w:sz="0" w:space="0" w:color="auto"/>
                    <w:right w:val="none" w:sz="0" w:space="0" w:color="auto"/>
                  </w:divBdr>
                  <w:divsChild>
                    <w:div w:id="50660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202416">
          <w:marLeft w:val="0"/>
          <w:marRight w:val="0"/>
          <w:marTop w:val="0"/>
          <w:marBottom w:val="0"/>
          <w:divBdr>
            <w:top w:val="none" w:sz="0" w:space="0" w:color="auto"/>
            <w:left w:val="none" w:sz="0" w:space="0" w:color="auto"/>
            <w:bottom w:val="none" w:sz="0" w:space="0" w:color="auto"/>
            <w:right w:val="none" w:sz="0" w:space="0" w:color="auto"/>
          </w:divBdr>
        </w:div>
        <w:div w:id="926841864">
          <w:marLeft w:val="0"/>
          <w:marRight w:val="0"/>
          <w:marTop w:val="0"/>
          <w:marBottom w:val="0"/>
          <w:divBdr>
            <w:top w:val="none" w:sz="0" w:space="0" w:color="auto"/>
            <w:left w:val="none" w:sz="0" w:space="0" w:color="auto"/>
            <w:bottom w:val="none" w:sz="0" w:space="0" w:color="auto"/>
            <w:right w:val="none" w:sz="0" w:space="0" w:color="auto"/>
          </w:divBdr>
        </w:div>
        <w:div w:id="2029601939">
          <w:marLeft w:val="0"/>
          <w:marRight w:val="0"/>
          <w:marTop w:val="0"/>
          <w:marBottom w:val="0"/>
          <w:divBdr>
            <w:top w:val="none" w:sz="0" w:space="0" w:color="auto"/>
            <w:left w:val="none" w:sz="0" w:space="0" w:color="auto"/>
            <w:bottom w:val="none" w:sz="0" w:space="0" w:color="auto"/>
            <w:right w:val="none" w:sz="0" w:space="0" w:color="auto"/>
          </w:divBdr>
        </w:div>
        <w:div w:id="1713111492">
          <w:marLeft w:val="0"/>
          <w:marRight w:val="0"/>
          <w:marTop w:val="0"/>
          <w:marBottom w:val="0"/>
          <w:divBdr>
            <w:top w:val="none" w:sz="0" w:space="0" w:color="auto"/>
            <w:left w:val="none" w:sz="0" w:space="0" w:color="auto"/>
            <w:bottom w:val="none" w:sz="0" w:space="0" w:color="auto"/>
            <w:right w:val="none" w:sz="0" w:space="0" w:color="auto"/>
          </w:divBdr>
        </w:div>
        <w:div w:id="1097097468">
          <w:marLeft w:val="0"/>
          <w:marRight w:val="0"/>
          <w:marTop w:val="0"/>
          <w:marBottom w:val="0"/>
          <w:divBdr>
            <w:top w:val="none" w:sz="0" w:space="0" w:color="auto"/>
            <w:left w:val="none" w:sz="0" w:space="0" w:color="auto"/>
            <w:bottom w:val="none" w:sz="0" w:space="0" w:color="auto"/>
            <w:right w:val="none" w:sz="0" w:space="0" w:color="auto"/>
          </w:divBdr>
          <w:divsChild>
            <w:div w:id="2092576736">
              <w:marLeft w:val="-75"/>
              <w:marRight w:val="0"/>
              <w:marTop w:val="30"/>
              <w:marBottom w:val="30"/>
              <w:divBdr>
                <w:top w:val="none" w:sz="0" w:space="0" w:color="auto"/>
                <w:left w:val="none" w:sz="0" w:space="0" w:color="auto"/>
                <w:bottom w:val="none" w:sz="0" w:space="0" w:color="auto"/>
                <w:right w:val="none" w:sz="0" w:space="0" w:color="auto"/>
              </w:divBdr>
              <w:divsChild>
                <w:div w:id="1437673744">
                  <w:marLeft w:val="0"/>
                  <w:marRight w:val="0"/>
                  <w:marTop w:val="0"/>
                  <w:marBottom w:val="0"/>
                  <w:divBdr>
                    <w:top w:val="none" w:sz="0" w:space="0" w:color="auto"/>
                    <w:left w:val="none" w:sz="0" w:space="0" w:color="auto"/>
                    <w:bottom w:val="none" w:sz="0" w:space="0" w:color="auto"/>
                    <w:right w:val="none" w:sz="0" w:space="0" w:color="auto"/>
                  </w:divBdr>
                  <w:divsChild>
                    <w:div w:id="1199704467">
                      <w:marLeft w:val="0"/>
                      <w:marRight w:val="0"/>
                      <w:marTop w:val="0"/>
                      <w:marBottom w:val="0"/>
                      <w:divBdr>
                        <w:top w:val="none" w:sz="0" w:space="0" w:color="auto"/>
                        <w:left w:val="none" w:sz="0" w:space="0" w:color="auto"/>
                        <w:bottom w:val="none" w:sz="0" w:space="0" w:color="auto"/>
                        <w:right w:val="none" w:sz="0" w:space="0" w:color="auto"/>
                      </w:divBdr>
                    </w:div>
                  </w:divsChild>
                </w:div>
                <w:div w:id="1823236175">
                  <w:marLeft w:val="0"/>
                  <w:marRight w:val="0"/>
                  <w:marTop w:val="0"/>
                  <w:marBottom w:val="0"/>
                  <w:divBdr>
                    <w:top w:val="none" w:sz="0" w:space="0" w:color="auto"/>
                    <w:left w:val="none" w:sz="0" w:space="0" w:color="auto"/>
                    <w:bottom w:val="none" w:sz="0" w:space="0" w:color="auto"/>
                    <w:right w:val="none" w:sz="0" w:space="0" w:color="auto"/>
                  </w:divBdr>
                  <w:divsChild>
                    <w:div w:id="1449548169">
                      <w:marLeft w:val="0"/>
                      <w:marRight w:val="0"/>
                      <w:marTop w:val="0"/>
                      <w:marBottom w:val="0"/>
                      <w:divBdr>
                        <w:top w:val="none" w:sz="0" w:space="0" w:color="auto"/>
                        <w:left w:val="none" w:sz="0" w:space="0" w:color="auto"/>
                        <w:bottom w:val="none" w:sz="0" w:space="0" w:color="auto"/>
                        <w:right w:val="none" w:sz="0" w:space="0" w:color="auto"/>
                      </w:divBdr>
                    </w:div>
                  </w:divsChild>
                </w:div>
                <w:div w:id="2066830890">
                  <w:marLeft w:val="0"/>
                  <w:marRight w:val="0"/>
                  <w:marTop w:val="0"/>
                  <w:marBottom w:val="0"/>
                  <w:divBdr>
                    <w:top w:val="none" w:sz="0" w:space="0" w:color="auto"/>
                    <w:left w:val="none" w:sz="0" w:space="0" w:color="auto"/>
                    <w:bottom w:val="none" w:sz="0" w:space="0" w:color="auto"/>
                    <w:right w:val="none" w:sz="0" w:space="0" w:color="auto"/>
                  </w:divBdr>
                  <w:divsChild>
                    <w:div w:id="1837573810">
                      <w:marLeft w:val="0"/>
                      <w:marRight w:val="0"/>
                      <w:marTop w:val="0"/>
                      <w:marBottom w:val="0"/>
                      <w:divBdr>
                        <w:top w:val="none" w:sz="0" w:space="0" w:color="auto"/>
                        <w:left w:val="none" w:sz="0" w:space="0" w:color="auto"/>
                        <w:bottom w:val="none" w:sz="0" w:space="0" w:color="auto"/>
                        <w:right w:val="none" w:sz="0" w:space="0" w:color="auto"/>
                      </w:divBdr>
                    </w:div>
                  </w:divsChild>
                </w:div>
                <w:div w:id="862598018">
                  <w:marLeft w:val="0"/>
                  <w:marRight w:val="0"/>
                  <w:marTop w:val="0"/>
                  <w:marBottom w:val="0"/>
                  <w:divBdr>
                    <w:top w:val="none" w:sz="0" w:space="0" w:color="auto"/>
                    <w:left w:val="none" w:sz="0" w:space="0" w:color="auto"/>
                    <w:bottom w:val="none" w:sz="0" w:space="0" w:color="auto"/>
                    <w:right w:val="none" w:sz="0" w:space="0" w:color="auto"/>
                  </w:divBdr>
                  <w:divsChild>
                    <w:div w:id="781265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7130486">
          <w:marLeft w:val="0"/>
          <w:marRight w:val="0"/>
          <w:marTop w:val="0"/>
          <w:marBottom w:val="0"/>
          <w:divBdr>
            <w:top w:val="none" w:sz="0" w:space="0" w:color="auto"/>
            <w:left w:val="none" w:sz="0" w:space="0" w:color="auto"/>
            <w:bottom w:val="none" w:sz="0" w:space="0" w:color="auto"/>
            <w:right w:val="none" w:sz="0" w:space="0" w:color="auto"/>
          </w:divBdr>
        </w:div>
        <w:div w:id="77101897">
          <w:marLeft w:val="0"/>
          <w:marRight w:val="0"/>
          <w:marTop w:val="0"/>
          <w:marBottom w:val="0"/>
          <w:divBdr>
            <w:top w:val="none" w:sz="0" w:space="0" w:color="auto"/>
            <w:left w:val="none" w:sz="0" w:space="0" w:color="auto"/>
            <w:bottom w:val="none" w:sz="0" w:space="0" w:color="auto"/>
            <w:right w:val="none" w:sz="0" w:space="0" w:color="auto"/>
          </w:divBdr>
          <w:divsChild>
            <w:div w:id="207911718">
              <w:marLeft w:val="-75"/>
              <w:marRight w:val="0"/>
              <w:marTop w:val="30"/>
              <w:marBottom w:val="30"/>
              <w:divBdr>
                <w:top w:val="none" w:sz="0" w:space="0" w:color="auto"/>
                <w:left w:val="none" w:sz="0" w:space="0" w:color="auto"/>
                <w:bottom w:val="none" w:sz="0" w:space="0" w:color="auto"/>
                <w:right w:val="none" w:sz="0" w:space="0" w:color="auto"/>
              </w:divBdr>
              <w:divsChild>
                <w:div w:id="1728456931">
                  <w:marLeft w:val="0"/>
                  <w:marRight w:val="0"/>
                  <w:marTop w:val="0"/>
                  <w:marBottom w:val="0"/>
                  <w:divBdr>
                    <w:top w:val="none" w:sz="0" w:space="0" w:color="auto"/>
                    <w:left w:val="none" w:sz="0" w:space="0" w:color="auto"/>
                    <w:bottom w:val="none" w:sz="0" w:space="0" w:color="auto"/>
                    <w:right w:val="none" w:sz="0" w:space="0" w:color="auto"/>
                  </w:divBdr>
                  <w:divsChild>
                    <w:div w:id="1334838238">
                      <w:marLeft w:val="0"/>
                      <w:marRight w:val="0"/>
                      <w:marTop w:val="0"/>
                      <w:marBottom w:val="0"/>
                      <w:divBdr>
                        <w:top w:val="none" w:sz="0" w:space="0" w:color="auto"/>
                        <w:left w:val="none" w:sz="0" w:space="0" w:color="auto"/>
                        <w:bottom w:val="none" w:sz="0" w:space="0" w:color="auto"/>
                        <w:right w:val="none" w:sz="0" w:space="0" w:color="auto"/>
                      </w:divBdr>
                    </w:div>
                  </w:divsChild>
                </w:div>
                <w:div w:id="1679229970">
                  <w:marLeft w:val="0"/>
                  <w:marRight w:val="0"/>
                  <w:marTop w:val="0"/>
                  <w:marBottom w:val="0"/>
                  <w:divBdr>
                    <w:top w:val="none" w:sz="0" w:space="0" w:color="auto"/>
                    <w:left w:val="none" w:sz="0" w:space="0" w:color="auto"/>
                    <w:bottom w:val="none" w:sz="0" w:space="0" w:color="auto"/>
                    <w:right w:val="none" w:sz="0" w:space="0" w:color="auto"/>
                  </w:divBdr>
                  <w:divsChild>
                    <w:div w:id="375356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994851">
          <w:marLeft w:val="0"/>
          <w:marRight w:val="0"/>
          <w:marTop w:val="0"/>
          <w:marBottom w:val="0"/>
          <w:divBdr>
            <w:top w:val="none" w:sz="0" w:space="0" w:color="auto"/>
            <w:left w:val="none" w:sz="0" w:space="0" w:color="auto"/>
            <w:bottom w:val="none" w:sz="0" w:space="0" w:color="auto"/>
            <w:right w:val="none" w:sz="0" w:space="0" w:color="auto"/>
          </w:divBdr>
        </w:div>
        <w:div w:id="241960356">
          <w:marLeft w:val="0"/>
          <w:marRight w:val="0"/>
          <w:marTop w:val="0"/>
          <w:marBottom w:val="0"/>
          <w:divBdr>
            <w:top w:val="none" w:sz="0" w:space="0" w:color="auto"/>
            <w:left w:val="none" w:sz="0" w:space="0" w:color="auto"/>
            <w:bottom w:val="none" w:sz="0" w:space="0" w:color="auto"/>
            <w:right w:val="none" w:sz="0" w:space="0" w:color="auto"/>
          </w:divBdr>
        </w:div>
        <w:div w:id="1639259846">
          <w:marLeft w:val="0"/>
          <w:marRight w:val="0"/>
          <w:marTop w:val="0"/>
          <w:marBottom w:val="0"/>
          <w:divBdr>
            <w:top w:val="none" w:sz="0" w:space="0" w:color="auto"/>
            <w:left w:val="none" w:sz="0" w:space="0" w:color="auto"/>
            <w:bottom w:val="none" w:sz="0" w:space="0" w:color="auto"/>
            <w:right w:val="none" w:sz="0" w:space="0" w:color="auto"/>
          </w:divBdr>
        </w:div>
        <w:div w:id="341977377">
          <w:marLeft w:val="0"/>
          <w:marRight w:val="0"/>
          <w:marTop w:val="0"/>
          <w:marBottom w:val="0"/>
          <w:divBdr>
            <w:top w:val="none" w:sz="0" w:space="0" w:color="auto"/>
            <w:left w:val="none" w:sz="0" w:space="0" w:color="auto"/>
            <w:bottom w:val="none" w:sz="0" w:space="0" w:color="auto"/>
            <w:right w:val="none" w:sz="0" w:space="0" w:color="auto"/>
          </w:divBdr>
        </w:div>
        <w:div w:id="1600094101">
          <w:marLeft w:val="0"/>
          <w:marRight w:val="0"/>
          <w:marTop w:val="0"/>
          <w:marBottom w:val="0"/>
          <w:divBdr>
            <w:top w:val="none" w:sz="0" w:space="0" w:color="auto"/>
            <w:left w:val="none" w:sz="0" w:space="0" w:color="auto"/>
            <w:bottom w:val="none" w:sz="0" w:space="0" w:color="auto"/>
            <w:right w:val="none" w:sz="0" w:space="0" w:color="auto"/>
          </w:divBdr>
          <w:divsChild>
            <w:div w:id="1400900001">
              <w:marLeft w:val="-75"/>
              <w:marRight w:val="0"/>
              <w:marTop w:val="30"/>
              <w:marBottom w:val="30"/>
              <w:divBdr>
                <w:top w:val="none" w:sz="0" w:space="0" w:color="auto"/>
                <w:left w:val="none" w:sz="0" w:space="0" w:color="auto"/>
                <w:bottom w:val="none" w:sz="0" w:space="0" w:color="auto"/>
                <w:right w:val="none" w:sz="0" w:space="0" w:color="auto"/>
              </w:divBdr>
              <w:divsChild>
                <w:div w:id="1091121428">
                  <w:marLeft w:val="0"/>
                  <w:marRight w:val="0"/>
                  <w:marTop w:val="0"/>
                  <w:marBottom w:val="0"/>
                  <w:divBdr>
                    <w:top w:val="none" w:sz="0" w:space="0" w:color="auto"/>
                    <w:left w:val="none" w:sz="0" w:space="0" w:color="auto"/>
                    <w:bottom w:val="none" w:sz="0" w:space="0" w:color="auto"/>
                    <w:right w:val="none" w:sz="0" w:space="0" w:color="auto"/>
                  </w:divBdr>
                  <w:divsChild>
                    <w:div w:id="2002737313">
                      <w:marLeft w:val="0"/>
                      <w:marRight w:val="0"/>
                      <w:marTop w:val="0"/>
                      <w:marBottom w:val="0"/>
                      <w:divBdr>
                        <w:top w:val="none" w:sz="0" w:space="0" w:color="auto"/>
                        <w:left w:val="none" w:sz="0" w:space="0" w:color="auto"/>
                        <w:bottom w:val="none" w:sz="0" w:space="0" w:color="auto"/>
                        <w:right w:val="none" w:sz="0" w:space="0" w:color="auto"/>
                      </w:divBdr>
                    </w:div>
                  </w:divsChild>
                </w:div>
                <w:div w:id="866672889">
                  <w:marLeft w:val="0"/>
                  <w:marRight w:val="0"/>
                  <w:marTop w:val="0"/>
                  <w:marBottom w:val="0"/>
                  <w:divBdr>
                    <w:top w:val="none" w:sz="0" w:space="0" w:color="auto"/>
                    <w:left w:val="none" w:sz="0" w:space="0" w:color="auto"/>
                    <w:bottom w:val="none" w:sz="0" w:space="0" w:color="auto"/>
                    <w:right w:val="none" w:sz="0" w:space="0" w:color="auto"/>
                  </w:divBdr>
                  <w:divsChild>
                    <w:div w:id="1971519756">
                      <w:marLeft w:val="0"/>
                      <w:marRight w:val="0"/>
                      <w:marTop w:val="0"/>
                      <w:marBottom w:val="0"/>
                      <w:divBdr>
                        <w:top w:val="none" w:sz="0" w:space="0" w:color="auto"/>
                        <w:left w:val="none" w:sz="0" w:space="0" w:color="auto"/>
                        <w:bottom w:val="none" w:sz="0" w:space="0" w:color="auto"/>
                        <w:right w:val="none" w:sz="0" w:space="0" w:color="auto"/>
                      </w:divBdr>
                    </w:div>
                  </w:divsChild>
                </w:div>
                <w:div w:id="599720890">
                  <w:marLeft w:val="0"/>
                  <w:marRight w:val="0"/>
                  <w:marTop w:val="0"/>
                  <w:marBottom w:val="0"/>
                  <w:divBdr>
                    <w:top w:val="none" w:sz="0" w:space="0" w:color="auto"/>
                    <w:left w:val="none" w:sz="0" w:space="0" w:color="auto"/>
                    <w:bottom w:val="none" w:sz="0" w:space="0" w:color="auto"/>
                    <w:right w:val="none" w:sz="0" w:space="0" w:color="auto"/>
                  </w:divBdr>
                  <w:divsChild>
                    <w:div w:id="1654063972">
                      <w:marLeft w:val="0"/>
                      <w:marRight w:val="0"/>
                      <w:marTop w:val="0"/>
                      <w:marBottom w:val="0"/>
                      <w:divBdr>
                        <w:top w:val="none" w:sz="0" w:space="0" w:color="auto"/>
                        <w:left w:val="none" w:sz="0" w:space="0" w:color="auto"/>
                        <w:bottom w:val="none" w:sz="0" w:space="0" w:color="auto"/>
                        <w:right w:val="none" w:sz="0" w:space="0" w:color="auto"/>
                      </w:divBdr>
                    </w:div>
                  </w:divsChild>
                </w:div>
                <w:div w:id="1160584331">
                  <w:marLeft w:val="0"/>
                  <w:marRight w:val="0"/>
                  <w:marTop w:val="0"/>
                  <w:marBottom w:val="0"/>
                  <w:divBdr>
                    <w:top w:val="none" w:sz="0" w:space="0" w:color="auto"/>
                    <w:left w:val="none" w:sz="0" w:space="0" w:color="auto"/>
                    <w:bottom w:val="none" w:sz="0" w:space="0" w:color="auto"/>
                    <w:right w:val="none" w:sz="0" w:space="0" w:color="auto"/>
                  </w:divBdr>
                  <w:divsChild>
                    <w:div w:id="262996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698623">
          <w:marLeft w:val="0"/>
          <w:marRight w:val="0"/>
          <w:marTop w:val="0"/>
          <w:marBottom w:val="0"/>
          <w:divBdr>
            <w:top w:val="none" w:sz="0" w:space="0" w:color="auto"/>
            <w:left w:val="none" w:sz="0" w:space="0" w:color="auto"/>
            <w:bottom w:val="none" w:sz="0" w:space="0" w:color="auto"/>
            <w:right w:val="none" w:sz="0" w:space="0" w:color="auto"/>
          </w:divBdr>
        </w:div>
        <w:div w:id="1300958237">
          <w:marLeft w:val="0"/>
          <w:marRight w:val="0"/>
          <w:marTop w:val="0"/>
          <w:marBottom w:val="0"/>
          <w:divBdr>
            <w:top w:val="none" w:sz="0" w:space="0" w:color="auto"/>
            <w:left w:val="none" w:sz="0" w:space="0" w:color="auto"/>
            <w:bottom w:val="none" w:sz="0" w:space="0" w:color="auto"/>
            <w:right w:val="none" w:sz="0" w:space="0" w:color="auto"/>
          </w:divBdr>
          <w:divsChild>
            <w:div w:id="1083798021">
              <w:marLeft w:val="-75"/>
              <w:marRight w:val="0"/>
              <w:marTop w:val="30"/>
              <w:marBottom w:val="30"/>
              <w:divBdr>
                <w:top w:val="none" w:sz="0" w:space="0" w:color="auto"/>
                <w:left w:val="none" w:sz="0" w:space="0" w:color="auto"/>
                <w:bottom w:val="none" w:sz="0" w:space="0" w:color="auto"/>
                <w:right w:val="none" w:sz="0" w:space="0" w:color="auto"/>
              </w:divBdr>
              <w:divsChild>
                <w:div w:id="261913413">
                  <w:marLeft w:val="0"/>
                  <w:marRight w:val="0"/>
                  <w:marTop w:val="0"/>
                  <w:marBottom w:val="0"/>
                  <w:divBdr>
                    <w:top w:val="none" w:sz="0" w:space="0" w:color="auto"/>
                    <w:left w:val="none" w:sz="0" w:space="0" w:color="auto"/>
                    <w:bottom w:val="none" w:sz="0" w:space="0" w:color="auto"/>
                    <w:right w:val="none" w:sz="0" w:space="0" w:color="auto"/>
                  </w:divBdr>
                  <w:divsChild>
                    <w:div w:id="1152411509">
                      <w:marLeft w:val="0"/>
                      <w:marRight w:val="0"/>
                      <w:marTop w:val="0"/>
                      <w:marBottom w:val="0"/>
                      <w:divBdr>
                        <w:top w:val="none" w:sz="0" w:space="0" w:color="auto"/>
                        <w:left w:val="none" w:sz="0" w:space="0" w:color="auto"/>
                        <w:bottom w:val="none" w:sz="0" w:space="0" w:color="auto"/>
                        <w:right w:val="none" w:sz="0" w:space="0" w:color="auto"/>
                      </w:divBdr>
                    </w:div>
                  </w:divsChild>
                </w:div>
                <w:div w:id="774710644">
                  <w:marLeft w:val="0"/>
                  <w:marRight w:val="0"/>
                  <w:marTop w:val="0"/>
                  <w:marBottom w:val="0"/>
                  <w:divBdr>
                    <w:top w:val="none" w:sz="0" w:space="0" w:color="auto"/>
                    <w:left w:val="none" w:sz="0" w:space="0" w:color="auto"/>
                    <w:bottom w:val="none" w:sz="0" w:space="0" w:color="auto"/>
                    <w:right w:val="none" w:sz="0" w:space="0" w:color="auto"/>
                  </w:divBdr>
                  <w:divsChild>
                    <w:div w:id="815991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242021">
          <w:marLeft w:val="0"/>
          <w:marRight w:val="0"/>
          <w:marTop w:val="0"/>
          <w:marBottom w:val="0"/>
          <w:divBdr>
            <w:top w:val="none" w:sz="0" w:space="0" w:color="auto"/>
            <w:left w:val="none" w:sz="0" w:space="0" w:color="auto"/>
            <w:bottom w:val="none" w:sz="0" w:space="0" w:color="auto"/>
            <w:right w:val="none" w:sz="0" w:space="0" w:color="auto"/>
          </w:divBdr>
          <w:divsChild>
            <w:div w:id="306782878">
              <w:marLeft w:val="0"/>
              <w:marRight w:val="0"/>
              <w:marTop w:val="0"/>
              <w:marBottom w:val="0"/>
              <w:divBdr>
                <w:top w:val="none" w:sz="0" w:space="0" w:color="auto"/>
                <w:left w:val="none" w:sz="0" w:space="0" w:color="auto"/>
                <w:bottom w:val="none" w:sz="0" w:space="0" w:color="auto"/>
                <w:right w:val="none" w:sz="0" w:space="0" w:color="auto"/>
              </w:divBdr>
            </w:div>
            <w:div w:id="225604204">
              <w:marLeft w:val="0"/>
              <w:marRight w:val="0"/>
              <w:marTop w:val="0"/>
              <w:marBottom w:val="0"/>
              <w:divBdr>
                <w:top w:val="none" w:sz="0" w:space="0" w:color="auto"/>
                <w:left w:val="none" w:sz="0" w:space="0" w:color="auto"/>
                <w:bottom w:val="none" w:sz="0" w:space="0" w:color="auto"/>
                <w:right w:val="none" w:sz="0" w:space="0" w:color="auto"/>
              </w:divBdr>
            </w:div>
            <w:div w:id="836308734">
              <w:marLeft w:val="0"/>
              <w:marRight w:val="0"/>
              <w:marTop w:val="0"/>
              <w:marBottom w:val="0"/>
              <w:divBdr>
                <w:top w:val="none" w:sz="0" w:space="0" w:color="auto"/>
                <w:left w:val="none" w:sz="0" w:space="0" w:color="auto"/>
                <w:bottom w:val="none" w:sz="0" w:space="0" w:color="auto"/>
                <w:right w:val="none" w:sz="0" w:space="0" w:color="auto"/>
              </w:divBdr>
            </w:div>
            <w:div w:id="846529254">
              <w:marLeft w:val="0"/>
              <w:marRight w:val="0"/>
              <w:marTop w:val="0"/>
              <w:marBottom w:val="0"/>
              <w:divBdr>
                <w:top w:val="none" w:sz="0" w:space="0" w:color="auto"/>
                <w:left w:val="none" w:sz="0" w:space="0" w:color="auto"/>
                <w:bottom w:val="none" w:sz="0" w:space="0" w:color="auto"/>
                <w:right w:val="none" w:sz="0" w:space="0" w:color="auto"/>
              </w:divBdr>
            </w:div>
            <w:div w:id="948044886">
              <w:marLeft w:val="0"/>
              <w:marRight w:val="0"/>
              <w:marTop w:val="0"/>
              <w:marBottom w:val="0"/>
              <w:divBdr>
                <w:top w:val="none" w:sz="0" w:space="0" w:color="auto"/>
                <w:left w:val="none" w:sz="0" w:space="0" w:color="auto"/>
                <w:bottom w:val="none" w:sz="0" w:space="0" w:color="auto"/>
                <w:right w:val="none" w:sz="0" w:space="0" w:color="auto"/>
              </w:divBdr>
            </w:div>
            <w:div w:id="1751003382">
              <w:marLeft w:val="0"/>
              <w:marRight w:val="0"/>
              <w:marTop w:val="0"/>
              <w:marBottom w:val="0"/>
              <w:divBdr>
                <w:top w:val="none" w:sz="0" w:space="0" w:color="auto"/>
                <w:left w:val="none" w:sz="0" w:space="0" w:color="auto"/>
                <w:bottom w:val="none" w:sz="0" w:space="0" w:color="auto"/>
                <w:right w:val="none" w:sz="0" w:space="0" w:color="auto"/>
              </w:divBdr>
            </w:div>
            <w:div w:id="1821388102">
              <w:marLeft w:val="0"/>
              <w:marRight w:val="0"/>
              <w:marTop w:val="0"/>
              <w:marBottom w:val="0"/>
              <w:divBdr>
                <w:top w:val="none" w:sz="0" w:space="0" w:color="auto"/>
                <w:left w:val="none" w:sz="0" w:space="0" w:color="auto"/>
                <w:bottom w:val="none" w:sz="0" w:space="0" w:color="auto"/>
                <w:right w:val="none" w:sz="0" w:space="0" w:color="auto"/>
              </w:divBdr>
            </w:div>
            <w:div w:id="1496149060">
              <w:marLeft w:val="0"/>
              <w:marRight w:val="0"/>
              <w:marTop w:val="0"/>
              <w:marBottom w:val="0"/>
              <w:divBdr>
                <w:top w:val="none" w:sz="0" w:space="0" w:color="auto"/>
                <w:left w:val="none" w:sz="0" w:space="0" w:color="auto"/>
                <w:bottom w:val="none" w:sz="0" w:space="0" w:color="auto"/>
                <w:right w:val="none" w:sz="0" w:space="0" w:color="auto"/>
              </w:divBdr>
            </w:div>
            <w:div w:id="67003743">
              <w:marLeft w:val="0"/>
              <w:marRight w:val="0"/>
              <w:marTop w:val="0"/>
              <w:marBottom w:val="0"/>
              <w:divBdr>
                <w:top w:val="none" w:sz="0" w:space="0" w:color="auto"/>
                <w:left w:val="none" w:sz="0" w:space="0" w:color="auto"/>
                <w:bottom w:val="none" w:sz="0" w:space="0" w:color="auto"/>
                <w:right w:val="none" w:sz="0" w:space="0" w:color="auto"/>
              </w:divBdr>
            </w:div>
            <w:div w:id="579826640">
              <w:marLeft w:val="0"/>
              <w:marRight w:val="0"/>
              <w:marTop w:val="0"/>
              <w:marBottom w:val="0"/>
              <w:divBdr>
                <w:top w:val="none" w:sz="0" w:space="0" w:color="auto"/>
                <w:left w:val="none" w:sz="0" w:space="0" w:color="auto"/>
                <w:bottom w:val="none" w:sz="0" w:space="0" w:color="auto"/>
                <w:right w:val="none" w:sz="0" w:space="0" w:color="auto"/>
              </w:divBdr>
            </w:div>
            <w:div w:id="1611626738">
              <w:marLeft w:val="0"/>
              <w:marRight w:val="0"/>
              <w:marTop w:val="0"/>
              <w:marBottom w:val="0"/>
              <w:divBdr>
                <w:top w:val="none" w:sz="0" w:space="0" w:color="auto"/>
                <w:left w:val="none" w:sz="0" w:space="0" w:color="auto"/>
                <w:bottom w:val="none" w:sz="0" w:space="0" w:color="auto"/>
                <w:right w:val="none" w:sz="0" w:space="0" w:color="auto"/>
              </w:divBdr>
            </w:div>
            <w:div w:id="89785285">
              <w:marLeft w:val="0"/>
              <w:marRight w:val="0"/>
              <w:marTop w:val="0"/>
              <w:marBottom w:val="0"/>
              <w:divBdr>
                <w:top w:val="none" w:sz="0" w:space="0" w:color="auto"/>
                <w:left w:val="none" w:sz="0" w:space="0" w:color="auto"/>
                <w:bottom w:val="none" w:sz="0" w:space="0" w:color="auto"/>
                <w:right w:val="none" w:sz="0" w:space="0" w:color="auto"/>
              </w:divBdr>
            </w:div>
            <w:div w:id="728381547">
              <w:marLeft w:val="0"/>
              <w:marRight w:val="0"/>
              <w:marTop w:val="0"/>
              <w:marBottom w:val="0"/>
              <w:divBdr>
                <w:top w:val="none" w:sz="0" w:space="0" w:color="auto"/>
                <w:left w:val="none" w:sz="0" w:space="0" w:color="auto"/>
                <w:bottom w:val="none" w:sz="0" w:space="0" w:color="auto"/>
                <w:right w:val="none" w:sz="0" w:space="0" w:color="auto"/>
              </w:divBdr>
            </w:div>
            <w:div w:id="2075007407">
              <w:marLeft w:val="0"/>
              <w:marRight w:val="0"/>
              <w:marTop w:val="0"/>
              <w:marBottom w:val="0"/>
              <w:divBdr>
                <w:top w:val="none" w:sz="0" w:space="0" w:color="auto"/>
                <w:left w:val="none" w:sz="0" w:space="0" w:color="auto"/>
                <w:bottom w:val="none" w:sz="0" w:space="0" w:color="auto"/>
                <w:right w:val="none" w:sz="0" w:space="0" w:color="auto"/>
              </w:divBdr>
            </w:div>
            <w:div w:id="1309506821">
              <w:marLeft w:val="0"/>
              <w:marRight w:val="0"/>
              <w:marTop w:val="0"/>
              <w:marBottom w:val="0"/>
              <w:divBdr>
                <w:top w:val="none" w:sz="0" w:space="0" w:color="auto"/>
                <w:left w:val="none" w:sz="0" w:space="0" w:color="auto"/>
                <w:bottom w:val="none" w:sz="0" w:space="0" w:color="auto"/>
                <w:right w:val="none" w:sz="0" w:space="0" w:color="auto"/>
              </w:divBdr>
            </w:div>
            <w:div w:id="1317487884">
              <w:marLeft w:val="0"/>
              <w:marRight w:val="0"/>
              <w:marTop w:val="0"/>
              <w:marBottom w:val="0"/>
              <w:divBdr>
                <w:top w:val="none" w:sz="0" w:space="0" w:color="auto"/>
                <w:left w:val="none" w:sz="0" w:space="0" w:color="auto"/>
                <w:bottom w:val="none" w:sz="0" w:space="0" w:color="auto"/>
                <w:right w:val="none" w:sz="0" w:space="0" w:color="auto"/>
              </w:divBdr>
            </w:div>
            <w:div w:id="2019650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57162">
      <w:bodyDiv w:val="1"/>
      <w:marLeft w:val="0"/>
      <w:marRight w:val="0"/>
      <w:marTop w:val="0"/>
      <w:marBottom w:val="0"/>
      <w:divBdr>
        <w:top w:val="none" w:sz="0" w:space="0" w:color="auto"/>
        <w:left w:val="none" w:sz="0" w:space="0" w:color="auto"/>
        <w:bottom w:val="none" w:sz="0" w:space="0" w:color="auto"/>
        <w:right w:val="none" w:sz="0" w:space="0" w:color="auto"/>
      </w:divBdr>
    </w:div>
    <w:div w:id="183982903">
      <w:bodyDiv w:val="1"/>
      <w:marLeft w:val="0"/>
      <w:marRight w:val="0"/>
      <w:marTop w:val="0"/>
      <w:marBottom w:val="0"/>
      <w:divBdr>
        <w:top w:val="none" w:sz="0" w:space="0" w:color="auto"/>
        <w:left w:val="none" w:sz="0" w:space="0" w:color="auto"/>
        <w:bottom w:val="none" w:sz="0" w:space="0" w:color="auto"/>
        <w:right w:val="none" w:sz="0" w:space="0" w:color="auto"/>
      </w:divBdr>
    </w:div>
    <w:div w:id="223638641">
      <w:bodyDiv w:val="1"/>
      <w:marLeft w:val="0"/>
      <w:marRight w:val="0"/>
      <w:marTop w:val="0"/>
      <w:marBottom w:val="0"/>
      <w:divBdr>
        <w:top w:val="none" w:sz="0" w:space="0" w:color="auto"/>
        <w:left w:val="none" w:sz="0" w:space="0" w:color="auto"/>
        <w:bottom w:val="none" w:sz="0" w:space="0" w:color="auto"/>
        <w:right w:val="none" w:sz="0" w:space="0" w:color="auto"/>
      </w:divBdr>
    </w:div>
    <w:div w:id="230194187">
      <w:bodyDiv w:val="1"/>
      <w:marLeft w:val="0"/>
      <w:marRight w:val="0"/>
      <w:marTop w:val="0"/>
      <w:marBottom w:val="0"/>
      <w:divBdr>
        <w:top w:val="none" w:sz="0" w:space="0" w:color="auto"/>
        <w:left w:val="none" w:sz="0" w:space="0" w:color="auto"/>
        <w:bottom w:val="none" w:sz="0" w:space="0" w:color="auto"/>
        <w:right w:val="none" w:sz="0" w:space="0" w:color="auto"/>
      </w:divBdr>
    </w:div>
    <w:div w:id="239339586">
      <w:bodyDiv w:val="1"/>
      <w:marLeft w:val="0"/>
      <w:marRight w:val="0"/>
      <w:marTop w:val="0"/>
      <w:marBottom w:val="0"/>
      <w:divBdr>
        <w:top w:val="none" w:sz="0" w:space="0" w:color="auto"/>
        <w:left w:val="none" w:sz="0" w:space="0" w:color="auto"/>
        <w:bottom w:val="none" w:sz="0" w:space="0" w:color="auto"/>
        <w:right w:val="none" w:sz="0" w:space="0" w:color="auto"/>
      </w:divBdr>
    </w:div>
    <w:div w:id="302927604">
      <w:bodyDiv w:val="1"/>
      <w:marLeft w:val="0"/>
      <w:marRight w:val="0"/>
      <w:marTop w:val="0"/>
      <w:marBottom w:val="0"/>
      <w:divBdr>
        <w:top w:val="none" w:sz="0" w:space="0" w:color="auto"/>
        <w:left w:val="none" w:sz="0" w:space="0" w:color="auto"/>
        <w:bottom w:val="none" w:sz="0" w:space="0" w:color="auto"/>
        <w:right w:val="none" w:sz="0" w:space="0" w:color="auto"/>
      </w:divBdr>
    </w:div>
    <w:div w:id="370761660">
      <w:bodyDiv w:val="1"/>
      <w:marLeft w:val="0"/>
      <w:marRight w:val="0"/>
      <w:marTop w:val="0"/>
      <w:marBottom w:val="0"/>
      <w:divBdr>
        <w:top w:val="none" w:sz="0" w:space="0" w:color="auto"/>
        <w:left w:val="none" w:sz="0" w:space="0" w:color="auto"/>
        <w:bottom w:val="none" w:sz="0" w:space="0" w:color="auto"/>
        <w:right w:val="none" w:sz="0" w:space="0" w:color="auto"/>
      </w:divBdr>
    </w:div>
    <w:div w:id="397172266">
      <w:bodyDiv w:val="1"/>
      <w:marLeft w:val="0"/>
      <w:marRight w:val="0"/>
      <w:marTop w:val="0"/>
      <w:marBottom w:val="0"/>
      <w:divBdr>
        <w:top w:val="none" w:sz="0" w:space="0" w:color="auto"/>
        <w:left w:val="none" w:sz="0" w:space="0" w:color="auto"/>
        <w:bottom w:val="none" w:sz="0" w:space="0" w:color="auto"/>
        <w:right w:val="none" w:sz="0" w:space="0" w:color="auto"/>
      </w:divBdr>
    </w:div>
    <w:div w:id="436950852">
      <w:bodyDiv w:val="1"/>
      <w:marLeft w:val="0"/>
      <w:marRight w:val="0"/>
      <w:marTop w:val="0"/>
      <w:marBottom w:val="0"/>
      <w:divBdr>
        <w:top w:val="none" w:sz="0" w:space="0" w:color="auto"/>
        <w:left w:val="none" w:sz="0" w:space="0" w:color="auto"/>
        <w:bottom w:val="none" w:sz="0" w:space="0" w:color="auto"/>
        <w:right w:val="none" w:sz="0" w:space="0" w:color="auto"/>
      </w:divBdr>
      <w:divsChild>
        <w:div w:id="1219440805">
          <w:marLeft w:val="0"/>
          <w:marRight w:val="0"/>
          <w:marTop w:val="0"/>
          <w:marBottom w:val="0"/>
          <w:divBdr>
            <w:top w:val="none" w:sz="0" w:space="0" w:color="auto"/>
            <w:left w:val="none" w:sz="0" w:space="0" w:color="auto"/>
            <w:bottom w:val="none" w:sz="0" w:space="0" w:color="auto"/>
            <w:right w:val="none" w:sz="0" w:space="0" w:color="auto"/>
          </w:divBdr>
        </w:div>
        <w:div w:id="944188944">
          <w:marLeft w:val="0"/>
          <w:marRight w:val="0"/>
          <w:marTop w:val="0"/>
          <w:marBottom w:val="0"/>
          <w:divBdr>
            <w:top w:val="none" w:sz="0" w:space="0" w:color="auto"/>
            <w:left w:val="none" w:sz="0" w:space="0" w:color="auto"/>
            <w:bottom w:val="none" w:sz="0" w:space="0" w:color="auto"/>
            <w:right w:val="none" w:sz="0" w:space="0" w:color="auto"/>
          </w:divBdr>
        </w:div>
        <w:div w:id="796874719">
          <w:marLeft w:val="0"/>
          <w:marRight w:val="0"/>
          <w:marTop w:val="0"/>
          <w:marBottom w:val="0"/>
          <w:divBdr>
            <w:top w:val="none" w:sz="0" w:space="0" w:color="auto"/>
            <w:left w:val="none" w:sz="0" w:space="0" w:color="auto"/>
            <w:bottom w:val="none" w:sz="0" w:space="0" w:color="auto"/>
            <w:right w:val="none" w:sz="0" w:space="0" w:color="auto"/>
          </w:divBdr>
        </w:div>
        <w:div w:id="683095631">
          <w:marLeft w:val="0"/>
          <w:marRight w:val="0"/>
          <w:marTop w:val="0"/>
          <w:marBottom w:val="0"/>
          <w:divBdr>
            <w:top w:val="none" w:sz="0" w:space="0" w:color="auto"/>
            <w:left w:val="none" w:sz="0" w:space="0" w:color="auto"/>
            <w:bottom w:val="none" w:sz="0" w:space="0" w:color="auto"/>
            <w:right w:val="none" w:sz="0" w:space="0" w:color="auto"/>
          </w:divBdr>
        </w:div>
      </w:divsChild>
    </w:div>
    <w:div w:id="462504900">
      <w:bodyDiv w:val="1"/>
      <w:marLeft w:val="0"/>
      <w:marRight w:val="0"/>
      <w:marTop w:val="0"/>
      <w:marBottom w:val="0"/>
      <w:divBdr>
        <w:top w:val="none" w:sz="0" w:space="0" w:color="auto"/>
        <w:left w:val="none" w:sz="0" w:space="0" w:color="auto"/>
        <w:bottom w:val="none" w:sz="0" w:space="0" w:color="auto"/>
        <w:right w:val="none" w:sz="0" w:space="0" w:color="auto"/>
      </w:divBdr>
    </w:div>
    <w:div w:id="472334041">
      <w:bodyDiv w:val="1"/>
      <w:marLeft w:val="0"/>
      <w:marRight w:val="0"/>
      <w:marTop w:val="0"/>
      <w:marBottom w:val="0"/>
      <w:divBdr>
        <w:top w:val="none" w:sz="0" w:space="0" w:color="auto"/>
        <w:left w:val="none" w:sz="0" w:space="0" w:color="auto"/>
        <w:bottom w:val="none" w:sz="0" w:space="0" w:color="auto"/>
        <w:right w:val="none" w:sz="0" w:space="0" w:color="auto"/>
      </w:divBdr>
    </w:div>
    <w:div w:id="478115149">
      <w:bodyDiv w:val="1"/>
      <w:marLeft w:val="0"/>
      <w:marRight w:val="0"/>
      <w:marTop w:val="0"/>
      <w:marBottom w:val="0"/>
      <w:divBdr>
        <w:top w:val="none" w:sz="0" w:space="0" w:color="auto"/>
        <w:left w:val="none" w:sz="0" w:space="0" w:color="auto"/>
        <w:bottom w:val="none" w:sz="0" w:space="0" w:color="auto"/>
        <w:right w:val="none" w:sz="0" w:space="0" w:color="auto"/>
      </w:divBdr>
    </w:div>
    <w:div w:id="498543433">
      <w:bodyDiv w:val="1"/>
      <w:marLeft w:val="0"/>
      <w:marRight w:val="0"/>
      <w:marTop w:val="0"/>
      <w:marBottom w:val="0"/>
      <w:divBdr>
        <w:top w:val="none" w:sz="0" w:space="0" w:color="auto"/>
        <w:left w:val="none" w:sz="0" w:space="0" w:color="auto"/>
        <w:bottom w:val="none" w:sz="0" w:space="0" w:color="auto"/>
        <w:right w:val="none" w:sz="0" w:space="0" w:color="auto"/>
      </w:divBdr>
    </w:div>
    <w:div w:id="634991978">
      <w:bodyDiv w:val="1"/>
      <w:marLeft w:val="0"/>
      <w:marRight w:val="0"/>
      <w:marTop w:val="0"/>
      <w:marBottom w:val="0"/>
      <w:divBdr>
        <w:top w:val="none" w:sz="0" w:space="0" w:color="auto"/>
        <w:left w:val="none" w:sz="0" w:space="0" w:color="auto"/>
        <w:bottom w:val="none" w:sz="0" w:space="0" w:color="auto"/>
        <w:right w:val="none" w:sz="0" w:space="0" w:color="auto"/>
      </w:divBdr>
    </w:div>
    <w:div w:id="657348643">
      <w:bodyDiv w:val="1"/>
      <w:marLeft w:val="0"/>
      <w:marRight w:val="0"/>
      <w:marTop w:val="0"/>
      <w:marBottom w:val="0"/>
      <w:divBdr>
        <w:top w:val="none" w:sz="0" w:space="0" w:color="auto"/>
        <w:left w:val="none" w:sz="0" w:space="0" w:color="auto"/>
        <w:bottom w:val="none" w:sz="0" w:space="0" w:color="auto"/>
        <w:right w:val="none" w:sz="0" w:space="0" w:color="auto"/>
      </w:divBdr>
    </w:div>
    <w:div w:id="672949853">
      <w:bodyDiv w:val="1"/>
      <w:marLeft w:val="0"/>
      <w:marRight w:val="0"/>
      <w:marTop w:val="0"/>
      <w:marBottom w:val="0"/>
      <w:divBdr>
        <w:top w:val="none" w:sz="0" w:space="0" w:color="auto"/>
        <w:left w:val="none" w:sz="0" w:space="0" w:color="auto"/>
        <w:bottom w:val="none" w:sz="0" w:space="0" w:color="auto"/>
        <w:right w:val="none" w:sz="0" w:space="0" w:color="auto"/>
      </w:divBdr>
    </w:div>
    <w:div w:id="719675686">
      <w:bodyDiv w:val="1"/>
      <w:marLeft w:val="0"/>
      <w:marRight w:val="0"/>
      <w:marTop w:val="0"/>
      <w:marBottom w:val="0"/>
      <w:divBdr>
        <w:top w:val="none" w:sz="0" w:space="0" w:color="auto"/>
        <w:left w:val="none" w:sz="0" w:space="0" w:color="auto"/>
        <w:bottom w:val="none" w:sz="0" w:space="0" w:color="auto"/>
        <w:right w:val="none" w:sz="0" w:space="0" w:color="auto"/>
      </w:divBdr>
    </w:div>
    <w:div w:id="742411855">
      <w:bodyDiv w:val="1"/>
      <w:marLeft w:val="0"/>
      <w:marRight w:val="0"/>
      <w:marTop w:val="0"/>
      <w:marBottom w:val="0"/>
      <w:divBdr>
        <w:top w:val="none" w:sz="0" w:space="0" w:color="auto"/>
        <w:left w:val="none" w:sz="0" w:space="0" w:color="auto"/>
        <w:bottom w:val="none" w:sz="0" w:space="0" w:color="auto"/>
        <w:right w:val="none" w:sz="0" w:space="0" w:color="auto"/>
      </w:divBdr>
    </w:div>
    <w:div w:id="872576705">
      <w:bodyDiv w:val="1"/>
      <w:marLeft w:val="0"/>
      <w:marRight w:val="0"/>
      <w:marTop w:val="0"/>
      <w:marBottom w:val="0"/>
      <w:divBdr>
        <w:top w:val="none" w:sz="0" w:space="0" w:color="auto"/>
        <w:left w:val="none" w:sz="0" w:space="0" w:color="auto"/>
        <w:bottom w:val="none" w:sz="0" w:space="0" w:color="auto"/>
        <w:right w:val="none" w:sz="0" w:space="0" w:color="auto"/>
      </w:divBdr>
    </w:div>
    <w:div w:id="955719985">
      <w:bodyDiv w:val="1"/>
      <w:marLeft w:val="0"/>
      <w:marRight w:val="0"/>
      <w:marTop w:val="0"/>
      <w:marBottom w:val="0"/>
      <w:divBdr>
        <w:top w:val="none" w:sz="0" w:space="0" w:color="auto"/>
        <w:left w:val="none" w:sz="0" w:space="0" w:color="auto"/>
        <w:bottom w:val="none" w:sz="0" w:space="0" w:color="auto"/>
        <w:right w:val="none" w:sz="0" w:space="0" w:color="auto"/>
      </w:divBdr>
    </w:div>
    <w:div w:id="977301004">
      <w:bodyDiv w:val="1"/>
      <w:marLeft w:val="0"/>
      <w:marRight w:val="0"/>
      <w:marTop w:val="0"/>
      <w:marBottom w:val="0"/>
      <w:divBdr>
        <w:top w:val="none" w:sz="0" w:space="0" w:color="auto"/>
        <w:left w:val="none" w:sz="0" w:space="0" w:color="auto"/>
        <w:bottom w:val="none" w:sz="0" w:space="0" w:color="auto"/>
        <w:right w:val="none" w:sz="0" w:space="0" w:color="auto"/>
      </w:divBdr>
    </w:div>
    <w:div w:id="983853935">
      <w:bodyDiv w:val="1"/>
      <w:marLeft w:val="0"/>
      <w:marRight w:val="0"/>
      <w:marTop w:val="0"/>
      <w:marBottom w:val="0"/>
      <w:divBdr>
        <w:top w:val="none" w:sz="0" w:space="0" w:color="auto"/>
        <w:left w:val="none" w:sz="0" w:space="0" w:color="auto"/>
        <w:bottom w:val="none" w:sz="0" w:space="0" w:color="auto"/>
        <w:right w:val="none" w:sz="0" w:space="0" w:color="auto"/>
      </w:divBdr>
    </w:div>
    <w:div w:id="1008218334">
      <w:bodyDiv w:val="1"/>
      <w:marLeft w:val="0"/>
      <w:marRight w:val="0"/>
      <w:marTop w:val="0"/>
      <w:marBottom w:val="0"/>
      <w:divBdr>
        <w:top w:val="none" w:sz="0" w:space="0" w:color="auto"/>
        <w:left w:val="none" w:sz="0" w:space="0" w:color="auto"/>
        <w:bottom w:val="none" w:sz="0" w:space="0" w:color="auto"/>
        <w:right w:val="none" w:sz="0" w:space="0" w:color="auto"/>
      </w:divBdr>
    </w:div>
    <w:div w:id="1090200469">
      <w:bodyDiv w:val="1"/>
      <w:marLeft w:val="0"/>
      <w:marRight w:val="0"/>
      <w:marTop w:val="0"/>
      <w:marBottom w:val="0"/>
      <w:divBdr>
        <w:top w:val="none" w:sz="0" w:space="0" w:color="auto"/>
        <w:left w:val="none" w:sz="0" w:space="0" w:color="auto"/>
        <w:bottom w:val="none" w:sz="0" w:space="0" w:color="auto"/>
        <w:right w:val="none" w:sz="0" w:space="0" w:color="auto"/>
      </w:divBdr>
    </w:div>
    <w:div w:id="1131242432">
      <w:bodyDiv w:val="1"/>
      <w:marLeft w:val="0"/>
      <w:marRight w:val="0"/>
      <w:marTop w:val="0"/>
      <w:marBottom w:val="0"/>
      <w:divBdr>
        <w:top w:val="none" w:sz="0" w:space="0" w:color="auto"/>
        <w:left w:val="none" w:sz="0" w:space="0" w:color="auto"/>
        <w:bottom w:val="none" w:sz="0" w:space="0" w:color="auto"/>
        <w:right w:val="none" w:sz="0" w:space="0" w:color="auto"/>
      </w:divBdr>
    </w:div>
    <w:div w:id="1170869497">
      <w:bodyDiv w:val="1"/>
      <w:marLeft w:val="0"/>
      <w:marRight w:val="0"/>
      <w:marTop w:val="0"/>
      <w:marBottom w:val="0"/>
      <w:divBdr>
        <w:top w:val="none" w:sz="0" w:space="0" w:color="auto"/>
        <w:left w:val="none" w:sz="0" w:space="0" w:color="auto"/>
        <w:bottom w:val="none" w:sz="0" w:space="0" w:color="auto"/>
        <w:right w:val="none" w:sz="0" w:space="0" w:color="auto"/>
      </w:divBdr>
    </w:div>
    <w:div w:id="1180776432">
      <w:bodyDiv w:val="1"/>
      <w:marLeft w:val="0"/>
      <w:marRight w:val="0"/>
      <w:marTop w:val="0"/>
      <w:marBottom w:val="0"/>
      <w:divBdr>
        <w:top w:val="none" w:sz="0" w:space="0" w:color="auto"/>
        <w:left w:val="none" w:sz="0" w:space="0" w:color="auto"/>
        <w:bottom w:val="none" w:sz="0" w:space="0" w:color="auto"/>
        <w:right w:val="none" w:sz="0" w:space="0" w:color="auto"/>
      </w:divBdr>
    </w:div>
    <w:div w:id="1263803455">
      <w:bodyDiv w:val="1"/>
      <w:marLeft w:val="0"/>
      <w:marRight w:val="0"/>
      <w:marTop w:val="0"/>
      <w:marBottom w:val="0"/>
      <w:divBdr>
        <w:top w:val="none" w:sz="0" w:space="0" w:color="auto"/>
        <w:left w:val="none" w:sz="0" w:space="0" w:color="auto"/>
        <w:bottom w:val="none" w:sz="0" w:space="0" w:color="auto"/>
        <w:right w:val="none" w:sz="0" w:space="0" w:color="auto"/>
      </w:divBdr>
    </w:div>
    <w:div w:id="1284579568">
      <w:bodyDiv w:val="1"/>
      <w:marLeft w:val="0"/>
      <w:marRight w:val="0"/>
      <w:marTop w:val="0"/>
      <w:marBottom w:val="0"/>
      <w:divBdr>
        <w:top w:val="none" w:sz="0" w:space="0" w:color="auto"/>
        <w:left w:val="none" w:sz="0" w:space="0" w:color="auto"/>
        <w:bottom w:val="none" w:sz="0" w:space="0" w:color="auto"/>
        <w:right w:val="none" w:sz="0" w:space="0" w:color="auto"/>
      </w:divBdr>
    </w:div>
    <w:div w:id="1288394266">
      <w:bodyDiv w:val="1"/>
      <w:marLeft w:val="0"/>
      <w:marRight w:val="0"/>
      <w:marTop w:val="0"/>
      <w:marBottom w:val="0"/>
      <w:divBdr>
        <w:top w:val="none" w:sz="0" w:space="0" w:color="auto"/>
        <w:left w:val="none" w:sz="0" w:space="0" w:color="auto"/>
        <w:bottom w:val="none" w:sz="0" w:space="0" w:color="auto"/>
        <w:right w:val="none" w:sz="0" w:space="0" w:color="auto"/>
      </w:divBdr>
    </w:div>
    <w:div w:id="1322075909">
      <w:bodyDiv w:val="1"/>
      <w:marLeft w:val="0"/>
      <w:marRight w:val="0"/>
      <w:marTop w:val="0"/>
      <w:marBottom w:val="0"/>
      <w:divBdr>
        <w:top w:val="none" w:sz="0" w:space="0" w:color="auto"/>
        <w:left w:val="none" w:sz="0" w:space="0" w:color="auto"/>
        <w:bottom w:val="none" w:sz="0" w:space="0" w:color="auto"/>
        <w:right w:val="none" w:sz="0" w:space="0" w:color="auto"/>
      </w:divBdr>
    </w:div>
    <w:div w:id="1420902437">
      <w:bodyDiv w:val="1"/>
      <w:marLeft w:val="0"/>
      <w:marRight w:val="0"/>
      <w:marTop w:val="0"/>
      <w:marBottom w:val="0"/>
      <w:divBdr>
        <w:top w:val="none" w:sz="0" w:space="0" w:color="auto"/>
        <w:left w:val="none" w:sz="0" w:space="0" w:color="auto"/>
        <w:bottom w:val="none" w:sz="0" w:space="0" w:color="auto"/>
        <w:right w:val="none" w:sz="0" w:space="0" w:color="auto"/>
      </w:divBdr>
    </w:div>
    <w:div w:id="1422945561">
      <w:bodyDiv w:val="1"/>
      <w:marLeft w:val="0"/>
      <w:marRight w:val="0"/>
      <w:marTop w:val="0"/>
      <w:marBottom w:val="0"/>
      <w:divBdr>
        <w:top w:val="none" w:sz="0" w:space="0" w:color="auto"/>
        <w:left w:val="none" w:sz="0" w:space="0" w:color="auto"/>
        <w:bottom w:val="none" w:sz="0" w:space="0" w:color="auto"/>
        <w:right w:val="none" w:sz="0" w:space="0" w:color="auto"/>
      </w:divBdr>
    </w:div>
    <w:div w:id="1508861237">
      <w:bodyDiv w:val="1"/>
      <w:marLeft w:val="0"/>
      <w:marRight w:val="0"/>
      <w:marTop w:val="0"/>
      <w:marBottom w:val="0"/>
      <w:divBdr>
        <w:top w:val="none" w:sz="0" w:space="0" w:color="auto"/>
        <w:left w:val="none" w:sz="0" w:space="0" w:color="auto"/>
        <w:bottom w:val="none" w:sz="0" w:space="0" w:color="auto"/>
        <w:right w:val="none" w:sz="0" w:space="0" w:color="auto"/>
      </w:divBdr>
    </w:div>
    <w:div w:id="1660499785">
      <w:bodyDiv w:val="1"/>
      <w:marLeft w:val="0"/>
      <w:marRight w:val="0"/>
      <w:marTop w:val="0"/>
      <w:marBottom w:val="0"/>
      <w:divBdr>
        <w:top w:val="none" w:sz="0" w:space="0" w:color="auto"/>
        <w:left w:val="none" w:sz="0" w:space="0" w:color="auto"/>
        <w:bottom w:val="none" w:sz="0" w:space="0" w:color="auto"/>
        <w:right w:val="none" w:sz="0" w:space="0" w:color="auto"/>
      </w:divBdr>
    </w:div>
    <w:div w:id="1792089087">
      <w:bodyDiv w:val="1"/>
      <w:marLeft w:val="0"/>
      <w:marRight w:val="0"/>
      <w:marTop w:val="0"/>
      <w:marBottom w:val="0"/>
      <w:divBdr>
        <w:top w:val="none" w:sz="0" w:space="0" w:color="auto"/>
        <w:left w:val="none" w:sz="0" w:space="0" w:color="auto"/>
        <w:bottom w:val="none" w:sz="0" w:space="0" w:color="auto"/>
        <w:right w:val="none" w:sz="0" w:space="0" w:color="auto"/>
      </w:divBdr>
    </w:div>
    <w:div w:id="1821731224">
      <w:bodyDiv w:val="1"/>
      <w:marLeft w:val="0"/>
      <w:marRight w:val="0"/>
      <w:marTop w:val="0"/>
      <w:marBottom w:val="0"/>
      <w:divBdr>
        <w:top w:val="none" w:sz="0" w:space="0" w:color="auto"/>
        <w:left w:val="none" w:sz="0" w:space="0" w:color="auto"/>
        <w:bottom w:val="none" w:sz="0" w:space="0" w:color="auto"/>
        <w:right w:val="none" w:sz="0" w:space="0" w:color="auto"/>
      </w:divBdr>
    </w:div>
    <w:div w:id="1828133152">
      <w:bodyDiv w:val="1"/>
      <w:marLeft w:val="0"/>
      <w:marRight w:val="0"/>
      <w:marTop w:val="0"/>
      <w:marBottom w:val="0"/>
      <w:divBdr>
        <w:top w:val="none" w:sz="0" w:space="0" w:color="auto"/>
        <w:left w:val="none" w:sz="0" w:space="0" w:color="auto"/>
        <w:bottom w:val="none" w:sz="0" w:space="0" w:color="auto"/>
        <w:right w:val="none" w:sz="0" w:space="0" w:color="auto"/>
      </w:divBdr>
    </w:div>
    <w:div w:id="1830633421">
      <w:bodyDiv w:val="1"/>
      <w:marLeft w:val="0"/>
      <w:marRight w:val="0"/>
      <w:marTop w:val="0"/>
      <w:marBottom w:val="0"/>
      <w:divBdr>
        <w:top w:val="none" w:sz="0" w:space="0" w:color="auto"/>
        <w:left w:val="none" w:sz="0" w:space="0" w:color="auto"/>
        <w:bottom w:val="none" w:sz="0" w:space="0" w:color="auto"/>
        <w:right w:val="none" w:sz="0" w:space="0" w:color="auto"/>
      </w:divBdr>
    </w:div>
    <w:div w:id="1832717406">
      <w:bodyDiv w:val="1"/>
      <w:marLeft w:val="0"/>
      <w:marRight w:val="0"/>
      <w:marTop w:val="0"/>
      <w:marBottom w:val="0"/>
      <w:divBdr>
        <w:top w:val="none" w:sz="0" w:space="0" w:color="auto"/>
        <w:left w:val="none" w:sz="0" w:space="0" w:color="auto"/>
        <w:bottom w:val="none" w:sz="0" w:space="0" w:color="auto"/>
        <w:right w:val="none" w:sz="0" w:space="0" w:color="auto"/>
      </w:divBdr>
    </w:div>
    <w:div w:id="1956478059">
      <w:bodyDiv w:val="1"/>
      <w:marLeft w:val="0"/>
      <w:marRight w:val="0"/>
      <w:marTop w:val="0"/>
      <w:marBottom w:val="0"/>
      <w:divBdr>
        <w:top w:val="none" w:sz="0" w:space="0" w:color="auto"/>
        <w:left w:val="none" w:sz="0" w:space="0" w:color="auto"/>
        <w:bottom w:val="none" w:sz="0" w:space="0" w:color="auto"/>
        <w:right w:val="none" w:sz="0" w:space="0" w:color="auto"/>
      </w:divBdr>
    </w:div>
    <w:div w:id="1994332699">
      <w:bodyDiv w:val="1"/>
      <w:marLeft w:val="0"/>
      <w:marRight w:val="0"/>
      <w:marTop w:val="0"/>
      <w:marBottom w:val="0"/>
      <w:divBdr>
        <w:top w:val="none" w:sz="0" w:space="0" w:color="auto"/>
        <w:left w:val="none" w:sz="0" w:space="0" w:color="auto"/>
        <w:bottom w:val="none" w:sz="0" w:space="0" w:color="auto"/>
        <w:right w:val="none" w:sz="0" w:space="0" w:color="auto"/>
      </w:divBdr>
    </w:div>
    <w:div w:id="1996644794">
      <w:bodyDiv w:val="1"/>
      <w:marLeft w:val="0"/>
      <w:marRight w:val="0"/>
      <w:marTop w:val="0"/>
      <w:marBottom w:val="0"/>
      <w:divBdr>
        <w:top w:val="none" w:sz="0" w:space="0" w:color="auto"/>
        <w:left w:val="none" w:sz="0" w:space="0" w:color="auto"/>
        <w:bottom w:val="none" w:sz="0" w:space="0" w:color="auto"/>
        <w:right w:val="none" w:sz="0" w:space="0" w:color="auto"/>
      </w:divBdr>
    </w:div>
    <w:div w:id="2018388477">
      <w:bodyDiv w:val="1"/>
      <w:marLeft w:val="0"/>
      <w:marRight w:val="0"/>
      <w:marTop w:val="0"/>
      <w:marBottom w:val="0"/>
      <w:divBdr>
        <w:top w:val="none" w:sz="0" w:space="0" w:color="auto"/>
        <w:left w:val="none" w:sz="0" w:space="0" w:color="auto"/>
        <w:bottom w:val="none" w:sz="0" w:space="0" w:color="auto"/>
        <w:right w:val="none" w:sz="0" w:space="0" w:color="auto"/>
      </w:divBdr>
    </w:div>
    <w:div w:id="2026663810">
      <w:bodyDiv w:val="1"/>
      <w:marLeft w:val="0"/>
      <w:marRight w:val="0"/>
      <w:marTop w:val="0"/>
      <w:marBottom w:val="0"/>
      <w:divBdr>
        <w:top w:val="none" w:sz="0" w:space="0" w:color="auto"/>
        <w:left w:val="none" w:sz="0" w:space="0" w:color="auto"/>
        <w:bottom w:val="none" w:sz="0" w:space="0" w:color="auto"/>
        <w:right w:val="none" w:sz="0" w:space="0" w:color="auto"/>
      </w:divBdr>
    </w:div>
    <w:div w:id="2101020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law-tracker.europa.eu/procedure/2025_555?lang=pt" TargetMode="External"/><Relationship Id="rId18" Type="http://schemas.openxmlformats.org/officeDocument/2006/relationships/hyperlink" Target="https://ods.pt/objectivos/12-producao-e-consumo-sustentaveis/"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ods.pt/objectivos/9-inovacao-e-infraestruturas/" TargetMode="External"/><Relationship Id="rId25"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yperlink" Target="https://ods.pt/objectivos/8-trabalho-e-crescimento-economico/"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commission.europa.eu/publications/european-competitiveness-fund_en"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sdgs.un.org/goals/goal13"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ur-lex.europa.eu/legal-content/PT/TXT/PDF/?uri=CELEX:52025PC0555R(01)" TargetMode="External"/><Relationship Id="rId22" Type="http://schemas.openxmlformats.org/officeDocument/2006/relationships/footer" Target="footer2.xm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data.europa.eu/eli/C/2025/2004/oj" TargetMode="External"/><Relationship Id="rId13" Type="http://schemas.openxmlformats.org/officeDocument/2006/relationships/hyperlink" Target="https://eur-lex.europa.eu/legal-content/PT/ALL/?uri=CELEX%3A52016AE3274" TargetMode="External"/><Relationship Id="rId18" Type="http://schemas.openxmlformats.org/officeDocument/2006/relationships/hyperlink" Target="https://eur-lex.europa.eu/legal-content/PT/TXT/?uri=CELEX%3A52021IE3668" TargetMode="External"/><Relationship Id="rId3" Type="http://schemas.openxmlformats.org/officeDocument/2006/relationships/hyperlink" Target="https://eur-lex.europa.eu/legal-content/PT/TXT/?uri=CELEX%3A52020AE1450" TargetMode="External"/><Relationship Id="rId21" Type="http://schemas.openxmlformats.org/officeDocument/2006/relationships/hyperlink" Target="https://eur-lex.europa.eu/legal-content/PT/TXT/PDF/?uri=CELEX:52025PC0555R(01)" TargetMode="External"/><Relationship Id="rId7" Type="http://schemas.openxmlformats.org/officeDocument/2006/relationships/hyperlink" Target="https://www.eesc.europa.eu/pt/our-work/opinions-information-reports/opinions/strengthening-enforcement-single-market-rules-revision-current-tools-and-framework" TargetMode="External"/><Relationship Id="rId12" Type="http://schemas.openxmlformats.org/officeDocument/2006/relationships/hyperlink" Target="https://eur-lex.europa.eu/legal-content/PT/ALL/?uri=CELEX%3A52018AE3007" TargetMode="External"/><Relationship Id="rId17" Type="http://schemas.openxmlformats.org/officeDocument/2006/relationships/hyperlink" Target="https://eur-lex.europa.eu/legal-content/PT/TXT/?uri=CELEX%3A52022IE1049" TargetMode="External"/><Relationship Id="rId2" Type="http://schemas.openxmlformats.org/officeDocument/2006/relationships/hyperlink" Target="https://eur-lex.europa.eu/legal-content/PT/TXT/?uri=CELEX%3A52021IE3668" TargetMode="External"/><Relationship Id="rId16" Type="http://schemas.openxmlformats.org/officeDocument/2006/relationships/hyperlink" Target="https://eur-lex.europa.eu/legal-content/PT/TXT/PDF/?uri=CELEX:52025PC0555R(01)" TargetMode="External"/><Relationship Id="rId20" Type="http://schemas.openxmlformats.org/officeDocument/2006/relationships/hyperlink" Target="http://data.europa.eu/eli/C/2025/4212/oj" TargetMode="External"/><Relationship Id="rId1" Type="http://schemas.openxmlformats.org/officeDocument/2006/relationships/hyperlink" Target="https://eur-lex.europa.eu/legal-content/PT/TXT/?uri=CELEX%3A52022IE1049" TargetMode="External"/><Relationship Id="rId6" Type="http://schemas.openxmlformats.org/officeDocument/2006/relationships/hyperlink" Target="https://www.eesc.europa.eu/pt/our-work/opinions-information-reports/opinions/single-market-strategy" TargetMode="External"/><Relationship Id="rId11" Type="http://schemas.openxmlformats.org/officeDocument/2006/relationships/hyperlink" Target="http://data.europa.eu/eli/C/2024/6874/oj" TargetMode="External"/><Relationship Id="rId24" Type="http://schemas.openxmlformats.org/officeDocument/2006/relationships/hyperlink" Target="https://eur-lex.europa.eu/legal-content/PT/TXT/PDF/?uri=CELEX:52025PC0555R(01)" TargetMode="External"/><Relationship Id="rId5" Type="http://schemas.openxmlformats.org/officeDocument/2006/relationships/hyperlink" Target="http://data.europa.eu/eli/C/2025/4212/oj" TargetMode="External"/><Relationship Id="rId15" Type="http://schemas.openxmlformats.org/officeDocument/2006/relationships/hyperlink" Target="https://eur-lex.europa.eu/legal-content/PT/TXT/PDF/?uri=CELEX:52025PC0555R(01)" TargetMode="External"/><Relationship Id="rId23" Type="http://schemas.openxmlformats.org/officeDocument/2006/relationships/hyperlink" Target="https://eur-lex.europa.eu/legal-content/PT/TXT/PDF/?uri=CELEX:52025PC0555R(01)" TargetMode="External"/><Relationship Id="rId10" Type="http://schemas.openxmlformats.org/officeDocument/2006/relationships/hyperlink" Target="https://commission.europa.eu/publications/multiannual-financial-framework_en" TargetMode="External"/><Relationship Id="rId19" Type="http://schemas.openxmlformats.org/officeDocument/2006/relationships/hyperlink" Target="https://eur-lex.europa.eu/legal-content/PT/TXT/?uri=CELEX%3A52020AE1450" TargetMode="External"/><Relationship Id="rId4" Type="http://schemas.openxmlformats.org/officeDocument/2006/relationships/hyperlink" Target="http://data.europa.eu/eli/C/2025/3189/oj" TargetMode="External"/><Relationship Id="rId9" Type="http://schemas.openxmlformats.org/officeDocument/2006/relationships/hyperlink" Target="https://commission.europa.eu/topics/budget/eu-budget-2028-2034-explained_pt" TargetMode="External"/><Relationship Id="rId14" Type="http://schemas.openxmlformats.org/officeDocument/2006/relationships/hyperlink" Target="https://eur-lex.europa.eu/legal-content/PT/TXT/PDF/?uri=CELEX:52025PC0555R(01)" TargetMode="External"/><Relationship Id="rId22" Type="http://schemas.openxmlformats.org/officeDocument/2006/relationships/hyperlink" Target="https://eur-lex.europa.eu/legal-content/PT/TXT/PDF/?uri=CELEX:52025PC0555R(0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1a33af13-4045-4f88-9d7b-618e30f79918">A6WAAD5KZT2Q-235352946-8672</_dlc_DocId>
    <_dlc_DocIdUrl xmlns="1a33af13-4045-4f88-9d7b-618e30f79918">
      <Url>http://dm/eesc/2025/_layouts/15/DocIdRedir.aspx?ID=A6WAAD5KZT2Q-235352946-8672</Url>
      <Description>A6WAAD5KZT2Q-235352946-8672</Description>
    </_dlc_DocIdUrl>
    <Procedure xmlns="1a33af13-4045-4f88-9d7b-618e30f79918">2025/0555(COD)</Procedure>
    <DocumentType_0 xmlns="http://schemas.microsoft.com/sharepoint/v3/fields">
      <Terms xmlns="http://schemas.microsoft.com/office/infopath/2007/PartnerControls">
        <TermInfo xmlns="http://schemas.microsoft.com/office/infopath/2007/PartnerControls">
          <TermName xmlns="http://schemas.microsoft.com/office/infopath/2007/PartnerControls">AS</TermName>
          <TermId xmlns="http://schemas.microsoft.com/office/infopath/2007/PartnerControls">c7a748eb-f6f2-4d9d-8b5a-af0cafebc224</TermId>
        </TermInfo>
      </Terms>
    </DocumentType_0>
    <DocumentSource_0 xmlns="http://schemas.microsoft.com/sharepoint/v3/fields">
      <Terms xmlns="http://schemas.microsoft.com/office/infopath/2007/PartnerControls">
        <TermInfo xmlns="http://schemas.microsoft.com/office/infopath/2007/PartnerControls">
          <TermName xmlns="http://schemas.microsoft.com/office/infopath/2007/PartnerControls">EESC</TermName>
          <TermId xmlns="http://schemas.microsoft.com/office/infopath/2007/PartnerControls">422833ec-8d7e-4e65-8e4e-8bed07ffb729</TermId>
        </TermInfo>
      </Terms>
    </DocumentSource_0>
    <ProductionDate xmlns="1a33af13-4045-4f88-9d7b-618e30f79918">2025-11-20T12:00:00+00:00</ProductionDate>
    <DocumentNumber xmlns="a3e83899-37aa-47c6-ba54-4ea80e9c17cf">2576</DocumentNumber>
    <FicheYear xmlns="1a33af13-4045-4f88-9d7b-618e30f79918" xsi:nil="true"/>
    <DossierNumber xmlns="1a33af13-4045-4f88-9d7b-618e30f79918">1101</DossierNumber>
    <Confidentiality_0 xmlns="http://schemas.microsoft.com/sharepoint/v3/fields">
      <Terms xmlns="http://schemas.microsoft.com/office/infopath/2007/PartnerControls">
        <TermInfo xmlns="http://schemas.microsoft.com/office/infopath/2007/PartnerControls">
          <TermName xmlns="http://schemas.microsoft.com/office/infopath/2007/PartnerControls">Unrestricted</TermName>
          <TermId xmlns="http://schemas.microsoft.com/office/infopath/2007/PartnerControls">826e22d7-d029-4ec0-a450-0c28ff673572</TermId>
        </TermInfo>
      </Terms>
    </Confidentiality_0>
    <MeetingDate xmlns="1a33af13-4045-4f88-9d7b-618e30f79918">2025-12-03T12:00:00+00:00</MeetingDate>
    <TaxCatchAll xmlns="1a33af13-4045-4f88-9d7b-618e30f79918">
      <Value>67</Value>
      <Value>51</Value>
      <Value>50</Value>
      <Value>47</Value>
      <Value>46</Value>
      <Value>43</Value>
      <Value>42</Value>
      <Value>41</Value>
      <Value>40</Value>
      <Value>39</Value>
      <Value>37</Value>
      <Value>36</Value>
      <Value>35</Value>
      <Value>34</Value>
      <Value>33</Value>
      <Value>32</Value>
      <Value>31</Value>
      <Value>30</Value>
      <Value>29</Value>
      <Value>28</Value>
      <Value>27</Value>
      <Value>24</Value>
      <Value>23</Value>
      <Value>16</Value>
      <Value>15</Value>
      <Value>13</Value>
      <Value>12</Value>
      <Value>8</Value>
      <Value>5</Value>
      <Value>126</Value>
      <Value>1</Value>
    </TaxCatchAll>
    <DocumentLanguage_0 xmlns="http://schemas.microsoft.com/sharepoint/v3/fields">
      <Terms xmlns="http://schemas.microsoft.com/office/infopath/2007/PartnerControls">
        <TermInfo xmlns="http://schemas.microsoft.com/office/infopath/2007/PartnerControls">
          <TermName xmlns="http://schemas.microsoft.com/office/infopath/2007/PartnerControls">PT</TermName>
          <TermId xmlns="http://schemas.microsoft.com/office/infopath/2007/PartnerControls">50ccc04a-eadd-42ae-a0cb-acaf45f812ba</TermId>
        </TermInfo>
      </Terms>
    </DocumentLanguage_0>
    <Rapporteur xmlns="1a33af13-4045-4f88-9d7b-618e30f79918">ANGELOVA</Rapporteur>
    <VersionStatus_0 xmlns="http://schemas.microsoft.com/sharepoint/v3/fields">
      <Terms xmlns="http://schemas.microsoft.com/office/infopath/2007/PartnerControls">
        <TermInfo xmlns="http://schemas.microsoft.com/office/infopath/2007/PartnerControls">
          <TermName xmlns="http://schemas.microsoft.com/office/infopath/2007/PartnerControls">Final</TermName>
          <TermId xmlns="http://schemas.microsoft.com/office/infopath/2007/PartnerControls">ea5e6674-7b27-4bac-b091-73adbb394efe</TermId>
        </TermInfo>
      </Terms>
    </VersionStatus_0>
    <DocumentYear xmlns="1a33af13-4045-4f88-9d7b-618e30f79918">2025</DocumentYear>
    <FicheNumber xmlns="1a33af13-4045-4f88-9d7b-618e30f79918">296703</FicheNumber>
    <OriginalSender xmlns="1a33af13-4045-4f88-9d7b-618e30f79918">
      <UserInfo>
        <DisplayName>Kupriyanova Edita</DisplayName>
        <AccountId>2020</AccountId>
        <AccountType/>
      </UserInfo>
    </OriginalSender>
    <DocumentPart xmlns="1a33af13-4045-4f88-9d7b-618e30f79918">0</DocumentPart>
    <AdoptionDate xmlns="1a33af13-4045-4f88-9d7b-618e30f79918" xsi:nil="true"/>
    <RequestingService xmlns="1a33af13-4045-4f88-9d7b-618e30f79918">Marché unique, production, consommation</RequestingService>
    <MeetingName_0 xmlns="http://schemas.microsoft.com/sharepoint/v3/fields">
      <Terms xmlns="http://schemas.microsoft.com/office/infopath/2007/PartnerControls">
        <TermInfo xmlns="http://schemas.microsoft.com/office/infopath/2007/PartnerControls">
          <TermName xmlns="http://schemas.microsoft.com/office/infopath/2007/PartnerControls">SPL-CES</TermName>
          <TermId xmlns="http://schemas.microsoft.com/office/infopath/2007/PartnerControls">32d8cb1f-c9ec-4365-95c7-8385a18618ac</TermId>
        </TermInfo>
      </Terms>
    </MeetingName_0>
    <AvailableTranslations_0 xmlns="http://schemas.microsoft.com/sharepoint/v3/fields">
      <Terms xmlns="http://schemas.microsoft.com/office/infopath/2007/PartnerControls">
        <TermInfo xmlns="http://schemas.microsoft.com/office/infopath/2007/PartnerControls">
          <TermName xmlns="http://schemas.microsoft.com/office/infopath/2007/PartnerControls">DA</TermName>
          <TermId xmlns="http://schemas.microsoft.com/office/infopath/2007/PartnerControls">5d49c027-8956-412b-aa16-e85a0f96ad0e</TermId>
        </TermInfo>
        <TermInfo xmlns="http://schemas.microsoft.com/office/infopath/2007/PartnerControls">
          <TermName xmlns="http://schemas.microsoft.com/office/infopath/2007/PartnerControls">EL</TermName>
          <TermId xmlns="http://schemas.microsoft.com/office/infopath/2007/PartnerControls">6d4f4d51-af9b-4650-94b4-4276bee85c91</TermId>
        </TermInfo>
        <TermInfo xmlns="http://schemas.microsoft.com/office/infopath/2007/PartnerControls">
          <TermName xmlns="http://schemas.microsoft.com/office/infopath/2007/PartnerControls">LT</TermName>
          <TermId xmlns="http://schemas.microsoft.com/office/infopath/2007/PartnerControls">a7ff5ce7-6123-4f68-865a-a57c31810414</TermId>
        </TermInfo>
        <TermInfo xmlns="http://schemas.microsoft.com/office/infopath/2007/PartnerControls">
          <TermName xmlns="http://schemas.microsoft.com/office/infopath/2007/PartnerControls">DE</TermName>
          <TermId xmlns="http://schemas.microsoft.com/office/infopath/2007/PartnerControls">f6b31e5a-26fa-4935-b661-318e46daf27e</TermId>
        </TermInfo>
        <TermInfo xmlns="http://schemas.microsoft.com/office/infopath/2007/PartnerControls">
          <TermName xmlns="http://schemas.microsoft.com/office/infopath/2007/PartnerControls">GA</TermName>
          <TermId xmlns="http://schemas.microsoft.com/office/infopath/2007/PartnerControls">762d2456-c427-4ecb-b312-af3dad8e258c</TermId>
        </TermInfo>
        <TermInfo xmlns="http://schemas.microsoft.com/office/infopath/2007/PartnerControls">
          <TermName xmlns="http://schemas.microsoft.com/office/infopath/2007/PartnerControls">IT</TermName>
          <TermId xmlns="http://schemas.microsoft.com/office/infopath/2007/PartnerControls">0774613c-01ed-4e5d-a25d-11d2388de825</TermId>
        </TermInfo>
        <TermInfo xmlns="http://schemas.microsoft.com/office/infopath/2007/PartnerControls">
          <TermName xmlns="http://schemas.microsoft.com/office/infopath/2007/PartnerControls">SK</TermName>
          <TermId xmlns="http://schemas.microsoft.com/office/infopath/2007/PartnerControls">46d9fce0-ef79-4f71-b89b-cd6aa82426b8</TermId>
        </TermInfo>
        <TermInfo xmlns="http://schemas.microsoft.com/office/infopath/2007/PartnerControls">
          <TermName xmlns="http://schemas.microsoft.com/office/infopath/2007/PartnerControls">SV</TermName>
          <TermId xmlns="http://schemas.microsoft.com/office/infopath/2007/PartnerControls">c2ed69e7-a339-43d7-8f22-d93680a92aa0</TermId>
        </TermInfo>
        <TermInfo xmlns="http://schemas.microsoft.com/office/infopath/2007/PartnerControls">
          <TermName xmlns="http://schemas.microsoft.com/office/infopath/2007/PartnerControls">RO</TermName>
          <TermId xmlns="http://schemas.microsoft.com/office/infopath/2007/PartnerControls">feb747a2-64cd-4299-af12-4833ddc30497</TermId>
        </TermInfo>
        <TermInfo xmlns="http://schemas.microsoft.com/office/infopath/2007/PartnerControls">
          <TermName xmlns="http://schemas.microsoft.com/office/infopath/2007/PartnerControls">ET</TermName>
          <TermId xmlns="http://schemas.microsoft.com/office/infopath/2007/PartnerControls">ff6c3f4c-b02c-4c3c-ab07-2c37995a7a0a</TermId>
        </TermInfo>
        <TermInfo xmlns="http://schemas.microsoft.com/office/infopath/2007/PartnerControls">
          <TermName xmlns="http://schemas.microsoft.com/office/infopath/2007/PartnerControls">ES</TermName>
          <TermId xmlns="http://schemas.microsoft.com/office/infopath/2007/PartnerControls">e7a6b05b-ae16-40c8-add9-68b64b03aeba</TermId>
        </TermInfo>
        <TermInfo xmlns="http://schemas.microsoft.com/office/infopath/2007/PartnerControls">
          <TermName xmlns="http://schemas.microsoft.com/office/infopath/2007/PartnerControls">EN</TermName>
          <TermId xmlns="http://schemas.microsoft.com/office/infopath/2007/PartnerControls">f2175f21-25d7-44a3-96da-d6a61b075e1b</TermId>
        </TermInfo>
        <TermInfo xmlns="http://schemas.microsoft.com/office/infopath/2007/PartnerControls">
          <TermName xmlns="http://schemas.microsoft.com/office/infopath/2007/PartnerControls">NL</TermName>
          <TermId xmlns="http://schemas.microsoft.com/office/infopath/2007/PartnerControls">55c6556c-b4f4-441d-9acf-c498d4f838bd</TermId>
        </TermInfo>
        <TermInfo xmlns="http://schemas.microsoft.com/office/infopath/2007/PartnerControls">
          <TermName xmlns="http://schemas.microsoft.com/office/infopath/2007/PartnerControls">FR</TermName>
          <TermId xmlns="http://schemas.microsoft.com/office/infopath/2007/PartnerControls">d2afafd3-4c81-4f60-8f52-ee33f2f54ff3</TermId>
        </TermInfo>
        <TermInfo xmlns="http://schemas.microsoft.com/office/infopath/2007/PartnerControls">
          <TermName xmlns="http://schemas.microsoft.com/office/infopath/2007/PartnerControls">PT</TermName>
          <TermId xmlns="http://schemas.microsoft.com/office/infopath/2007/PartnerControls">50ccc04a-eadd-42ae-a0cb-acaf45f812ba</TermId>
        </TermInfo>
        <TermInfo xmlns="http://schemas.microsoft.com/office/infopath/2007/PartnerControls">
          <TermName xmlns="http://schemas.microsoft.com/office/infopath/2007/PartnerControls">HU</TermName>
          <TermId xmlns="http://schemas.microsoft.com/office/infopath/2007/PartnerControls">6b229040-c589-4408-b4c1-4285663d20a8</TermId>
        </TermInfo>
        <TermInfo xmlns="http://schemas.microsoft.com/office/infopath/2007/PartnerControls">
          <TermName xmlns="http://schemas.microsoft.com/office/infopath/2007/PartnerControls">HR</TermName>
          <TermId xmlns="http://schemas.microsoft.com/office/infopath/2007/PartnerControls">2f555653-ed1a-4fe6-8362-9082d95989e5</TermId>
        </TermInfo>
        <TermInfo xmlns="http://schemas.microsoft.com/office/infopath/2007/PartnerControls">
          <TermName xmlns="http://schemas.microsoft.com/office/infopath/2007/PartnerControls">FI</TermName>
          <TermId xmlns="http://schemas.microsoft.com/office/infopath/2007/PartnerControls">87606a43-d45f-42d6-b8c9-e1a3457db5b7</TermId>
        </TermInfo>
        <TermInfo xmlns="http://schemas.microsoft.com/office/infopath/2007/PartnerControls">
          <TermName xmlns="http://schemas.microsoft.com/office/infopath/2007/PartnerControls">PL</TermName>
          <TermId xmlns="http://schemas.microsoft.com/office/infopath/2007/PartnerControls">1e03da61-4678-4e07-b136-b5024ca9197b</TermId>
        </TermInfo>
        <TermInfo xmlns="http://schemas.microsoft.com/office/infopath/2007/PartnerControls">
          <TermName xmlns="http://schemas.microsoft.com/office/infopath/2007/PartnerControls">BG</TermName>
          <TermId xmlns="http://schemas.microsoft.com/office/infopath/2007/PartnerControls">1a1b3951-7821-4e6a-85f5-5673fc08bd2c</TermId>
        </TermInfo>
        <TermInfo xmlns="http://schemas.microsoft.com/office/infopath/2007/PartnerControls">
          <TermName xmlns="http://schemas.microsoft.com/office/infopath/2007/PartnerControls">CS</TermName>
          <TermId xmlns="http://schemas.microsoft.com/office/infopath/2007/PartnerControls">72f9705b-0217-4fd3-bea2-cbc7ed80e26e</TermId>
        </TermInfo>
        <TermInfo xmlns="http://schemas.microsoft.com/office/infopath/2007/PartnerControls">
          <TermName xmlns="http://schemas.microsoft.com/office/infopath/2007/PartnerControls">MT</TermName>
          <TermId xmlns="http://schemas.microsoft.com/office/infopath/2007/PartnerControls">7df99101-6854-4a26-b53a-b88c0da02c26</TermId>
        </TermInfo>
        <TermInfo xmlns="http://schemas.microsoft.com/office/infopath/2007/PartnerControls">
          <TermName xmlns="http://schemas.microsoft.com/office/infopath/2007/PartnerControls">LV</TermName>
          <TermId xmlns="http://schemas.microsoft.com/office/infopath/2007/PartnerControls">46f7e311-5d9f-4663-b433-18aeccb7ace7</TermId>
        </TermInfo>
        <TermInfo xmlns="http://schemas.microsoft.com/office/infopath/2007/PartnerControls">
          <TermName xmlns="http://schemas.microsoft.com/office/infopath/2007/PartnerControls">SL</TermName>
          <TermId xmlns="http://schemas.microsoft.com/office/infopath/2007/PartnerControls">98a412ae-eb01-49e9-ae3d-585a81724cfc</TermId>
        </TermInfo>
      </Terms>
    </AvailableTranslations_0>
    <DocumentStatus_0 xmlns="http://schemas.microsoft.com/sharepoint/v3/fields">
      <Terms xmlns="http://schemas.microsoft.com/office/infopath/2007/PartnerControls">
        <TermInfo xmlns="http://schemas.microsoft.com/office/infopath/2007/PartnerControls">
          <TermName xmlns="http://schemas.microsoft.com/office/infopath/2007/PartnerControls">TRA</TermName>
          <TermId xmlns="http://schemas.microsoft.com/office/infopath/2007/PartnerControls">150d2a88-1431-44e6-a8ca-0bb753ab8672</TermId>
        </TermInfo>
      </Terms>
    </DocumentStatus_0>
    <OriginalLanguage_0 xmlns="http://schemas.microsoft.com/sharepoint/v3/fields">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f2175f21-25d7-44a3-96da-d6a61b075e1b</TermId>
        </TermInfo>
      </Terms>
    </OriginalLanguage_0>
    <MeetingNumber xmlns="a3e83899-37aa-47c6-ba54-4ea80e9c17cf">601</MeetingNumber>
    <DossierName_0 xmlns="http://schemas.microsoft.com/sharepoint/v3/fields">
      <Terms xmlns="http://schemas.microsoft.com/office/infopath/2007/PartnerControls">
        <TermInfo xmlns="http://schemas.microsoft.com/office/infopath/2007/PartnerControls">
          <TermName xmlns="http://schemas.microsoft.com/office/infopath/2007/PartnerControls">INT</TermName>
          <TermId xmlns="http://schemas.microsoft.com/office/infopath/2007/PartnerControls">e1edfecb-ed43-427b-bb02-d45fe6645386</TermId>
        </TermInfo>
      </Terms>
    </DossierName_0>
    <DocumentVersion xmlns="1a33af13-4045-4f88-9d7b-618e30f79918">1</DocumentVersion>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M Document" ma:contentTypeID="0x010100EA97B91038054C99906057A708A1480A004B94E0CD93B68F4F96D67EEBEC8A7176" ma:contentTypeVersion="4" ma:contentTypeDescription="Defines the documents for Document Manager V2" ma:contentTypeScope="" ma:versionID="56661591a508277d6262203e4557b8ae">
  <xsd:schema xmlns:xsd="http://www.w3.org/2001/XMLSchema" xmlns:xs="http://www.w3.org/2001/XMLSchema" xmlns:p="http://schemas.microsoft.com/office/2006/metadata/properties" xmlns:ns2="1a33af13-4045-4f88-9d7b-618e30f79918" xmlns:ns3="http://schemas.microsoft.com/sharepoint/v3/fields" xmlns:ns4="a3e83899-37aa-47c6-ba54-4ea80e9c17cf" targetNamespace="http://schemas.microsoft.com/office/2006/metadata/properties" ma:root="true" ma:fieldsID="1ddc428e300a307dc1c6e67e6931f8cc" ns2:_="" ns3:_="" ns4:_="">
    <xsd:import namespace="1a33af13-4045-4f88-9d7b-618e30f79918"/>
    <xsd:import namespace="http://schemas.microsoft.com/sharepoint/v3/fields"/>
    <xsd:import namespace="a3e83899-37aa-47c6-ba54-4ea80e9c17cf"/>
    <xsd:element name="properties">
      <xsd:complexType>
        <xsd:sequence>
          <xsd:element name="documentManagement">
            <xsd:complexType>
              <xsd:all>
                <xsd:element ref="ns2:_dlc_DocId" minOccurs="0"/>
                <xsd:element ref="ns2:_dlc_DocIdUrl" minOccurs="0"/>
                <xsd:element ref="ns2:_dlc_DocIdPersistId" minOccurs="0"/>
                <xsd:element ref="ns2:ProductionDate" minOccurs="0"/>
                <xsd:element ref="ns2:OriginalSender" minOccurs="0"/>
                <xsd:element ref="ns3:DocumentLanguage_0" minOccurs="0"/>
                <xsd:element ref="ns2:DossierNumber" minOccurs="0"/>
                <xsd:element ref="ns4:MeetingNumber" minOccurs="0"/>
                <xsd:element ref="ns2:Rapporteur" minOccurs="0"/>
                <xsd:element ref="ns2:AdoptionDate" minOccurs="0"/>
                <xsd:element ref="ns3:Confidentiality_0" minOccurs="0"/>
                <xsd:element ref="ns2:TaxCatchAll" minOccurs="0"/>
                <xsd:element ref="ns2:TaxCatchAllLabel" minOccurs="0"/>
                <xsd:element ref="ns3:DocumentSource_0" minOccurs="0"/>
                <xsd:element ref="ns4:DocumentNumber" minOccurs="0"/>
                <xsd:element ref="ns2:MeetingDate" minOccurs="0"/>
                <xsd:element ref="ns3:OriginalLanguage_0" minOccurs="0"/>
                <xsd:element ref="ns2:Procedure" minOccurs="0"/>
                <xsd:element ref="ns3:VersionStatus_0" minOccurs="0"/>
                <xsd:element ref="ns3:DocumentStatus_0" minOccurs="0"/>
                <xsd:element ref="ns2:DocumentYear"/>
                <xsd:element ref="ns3:DocumentType_0" minOccurs="0"/>
                <xsd:element ref="ns2:DocumentPart" minOccurs="0"/>
                <xsd:element ref="ns3:MeetingName_0" minOccurs="0"/>
                <xsd:element ref="ns3:AvailableTranslations_0" minOccurs="0"/>
                <xsd:element ref="ns2:FicheYear" minOccurs="0"/>
                <xsd:element ref="ns2:RequestingService" minOccurs="0"/>
                <xsd:element ref="ns2:FicheNumber" minOccurs="0"/>
                <xsd:element ref="ns3:DossierName_0" minOccurs="0"/>
                <xsd:element ref="ns2:Documen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33af13-4045-4f88-9d7b-618e30f7991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ProductionDate" ma:index="12" nillable="true" ma:displayName="Production Date" ma:format="DateOnly" ma:internalName="ProductionDate">
      <xsd:simpleType>
        <xsd:restriction base="dms:DateTime"/>
      </xsd:simpleType>
    </xsd:element>
    <xsd:element name="OriginalSender" ma:index="13" nillable="true" ma:displayName="Original Sender" ma:internalName="OriginalSend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ssierNumber" ma:index="15" nillable="true" ma:displayName="Dossier Number" ma:decimals="0" ma:internalName="DossierNumber">
      <xsd:simpleType>
        <xsd:restriction base="dms:Unknown"/>
      </xsd:simpleType>
    </xsd:element>
    <xsd:element name="Rapporteur" ma:index="17" nillable="true" ma:displayName="Rapporteur" ma:internalName="Rapporteur">
      <xsd:simpleType>
        <xsd:restriction base="dms:Text"/>
      </xsd:simpleType>
    </xsd:element>
    <xsd:element name="AdoptionDate" ma:index="18" nillable="true" ma:displayName="Adoption Date" ma:format="DateOnly" ma:internalName="AdoptionDate">
      <xsd:simpleType>
        <xsd:restriction base="dms:DateTime"/>
      </xsd:simpleType>
    </xsd:element>
    <xsd:element name="TaxCatchAll" ma:index="20" nillable="true" ma:displayName="Taxonomy Catch All Column" ma:hidden="true" ma:list="{c795c8aa-ad9d-4177-b7c3-7e58e1f2dfdf}" ma:internalName="TaxCatchAll" ma:showField="CatchAllData"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TaxCatchAllLabel" ma:index="21" nillable="true" ma:displayName="Taxonomy Catch All Column1" ma:hidden="true" ma:list="{c795c8aa-ad9d-4177-b7c3-7e58e1f2dfdf}" ma:internalName="TaxCatchAllLabel" ma:readOnly="true" ma:showField="CatchAllDataLabel"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MeetingDate" ma:index="26" nillable="true" ma:displayName="Meeting Date" ma:format="DateOnly" ma:internalName="MeetingDate">
      <xsd:simpleType>
        <xsd:restriction base="dms:DateTime"/>
      </xsd:simpleType>
    </xsd:element>
    <xsd:element name="Procedure" ma:index="29" nillable="true" ma:displayName="Procedure" ma:internalName="Procedure">
      <xsd:simpleType>
        <xsd:restriction base="dms:Text"/>
      </xsd:simpleType>
    </xsd:element>
    <xsd:element name="DocumentYear" ma:index="34" ma:displayName="Document Year" ma:decimals="0" ma:internalName="DocumentYear">
      <xsd:simpleType>
        <xsd:restriction base="dms:Unknown"/>
      </xsd:simpleType>
    </xsd:element>
    <xsd:element name="DocumentPart" ma:index="37" nillable="true" ma:displayName="Document Part" ma:decimals="0" ma:internalName="DocumentPart">
      <xsd:simpleType>
        <xsd:restriction base="dms:Unknown"/>
      </xsd:simpleType>
    </xsd:element>
    <xsd:element name="FicheYear" ma:index="42" nillable="true" ma:displayName="Fiche Year" ma:decimals="0" ma:internalName="FicheYear">
      <xsd:simpleType>
        <xsd:restriction base="dms:Unknown"/>
      </xsd:simpleType>
    </xsd:element>
    <xsd:element name="RequestingService" ma:index="43" nillable="true" ma:displayName="Requesting Service" ma:internalName="RequestingService">
      <xsd:simpleType>
        <xsd:restriction base="dms:Text"/>
      </xsd:simpleType>
    </xsd:element>
    <xsd:element name="FicheNumber" ma:index="44" nillable="true" ma:displayName="Fiche Number" ma:decimals="0" ma:internalName="FicheNumber">
      <xsd:simpleType>
        <xsd:restriction base="dms:Unknown"/>
      </xsd:simpleType>
    </xsd:element>
    <xsd:element name="DocumentVersion" ma:index="47" nillable="true" ma:displayName="Document Version" ma:decimals="0" ma:internalName="DocumentVersion">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DocumentLanguage_0" ma:index="14" nillable="true" ma:taxonomy="true" ma:internalName="DocumentLanguage_0" ma:taxonomyFieldName="DocumentLanguage" ma:displayName="Document Language" ma:fieldId="{ee5c55ab-e8dd-441f-8840-fdce66906fe3}"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Confidentiality_0" ma:index="19" nillable="true" ma:taxonomy="true" ma:internalName="Confidentiality_0" ma:taxonomyFieldName="Confidentiality" ma:displayName="Confidentiality" ma:fieldId="{ee5c4bfe-2b62-4831-9131-22edf8f3665c}" ma:sspId="5004ddca-ed1a-45fa-b2df-508b3c5dfc98" ma:termSetId="11d040ac-3a9a-4d4c-b9cf-922342a701d6" ma:anchorId="00000000-0000-0000-0000-000000000000" ma:open="false" ma:isKeyword="false">
      <xsd:complexType>
        <xsd:sequence>
          <xsd:element ref="pc:Terms" minOccurs="0" maxOccurs="1"/>
        </xsd:sequence>
      </xsd:complexType>
    </xsd:element>
    <xsd:element name="DocumentSource_0" ma:index="23" ma:taxonomy="true" ma:internalName="DocumentSource_0" ma:taxonomyFieldName="DocumentSource" ma:displayName="Document Source" ma:fieldId="{ee5c1c29-f257-4aae-8e5e-529c0040e17a}" ma:sspId="5004ddca-ed1a-45fa-b2df-508b3c5dfc98" ma:termSetId="ca143256-a90d-4d26-b249-02646b17c0c5" ma:anchorId="00000000-0000-0000-0000-000000000000" ma:open="false" ma:isKeyword="false">
      <xsd:complexType>
        <xsd:sequence>
          <xsd:element ref="pc:Terms" minOccurs="0" maxOccurs="1"/>
        </xsd:sequence>
      </xsd:complexType>
    </xsd:element>
    <xsd:element name="OriginalLanguage_0" ma:index="27" nillable="true" ma:taxonomy="true" ma:internalName="OriginalLanguage_0" ma:taxonomyFieldName="OriginalLanguage" ma:displayName="Original Language" ma:fieldId="{ee5ce750-ff6c-4875-8192-ef11fb51efba}"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VersionStatus_0" ma:index="30" ma:taxonomy="true" ma:internalName="VersionStatus_0" ma:taxonomyFieldName="VersionStatus" ma:displayName="Version Status" ma:indexed="true" ma:fieldId="{ee5cb94b-3df1-4df3-b49b-6e47ce2a7e87}" ma:sspId="5004ddca-ed1a-45fa-b2df-508b3c5dfc98" ma:termSetId="adeca67b-2bdd-4d0f-b3af-a690b4c6d95d" ma:anchorId="00000000-0000-0000-0000-000000000000" ma:open="false" ma:isKeyword="false">
      <xsd:complexType>
        <xsd:sequence>
          <xsd:element ref="pc:Terms" minOccurs="0" maxOccurs="1"/>
        </xsd:sequence>
      </xsd:complexType>
    </xsd:element>
    <xsd:element name="DocumentStatus_0" ma:index="32" nillable="true" ma:taxonomy="true" ma:internalName="DocumentStatus_0" ma:taxonomyFieldName="DocumentStatus" ma:displayName="Document Status" ma:fieldId="{ee5cab93-ac4d-4e2f-b298-e5342324388c}" ma:sspId="5004ddca-ed1a-45fa-b2df-508b3c5dfc98" ma:termSetId="54b85ca4-9023-4cbf-8e96-81af7735228f" ma:anchorId="00000000-0000-0000-0000-000000000000" ma:open="false" ma:isKeyword="false">
      <xsd:complexType>
        <xsd:sequence>
          <xsd:element ref="pc:Terms" minOccurs="0" maxOccurs="1"/>
        </xsd:sequence>
      </xsd:complexType>
    </xsd:element>
    <xsd:element name="DocumentType_0" ma:index="35" nillable="true" ma:taxonomy="true" ma:internalName="DocumentType_0" ma:taxonomyFieldName="DocumentType" ma:displayName="Document Type" ma:indexed="true" ma:fieldId="{ee5cf431-2d10-41e6-bd88-1b6bd5b84f5f}" ma:sspId="5004ddca-ed1a-45fa-b2df-508b3c5dfc98" ma:termSetId="67a76952-94e0-437b-9a60-5085083dde02" ma:anchorId="00000000-0000-0000-0000-000000000000" ma:open="false" ma:isKeyword="false">
      <xsd:complexType>
        <xsd:sequence>
          <xsd:element ref="pc:Terms" minOccurs="0" maxOccurs="1"/>
        </xsd:sequence>
      </xsd:complexType>
    </xsd:element>
    <xsd:element name="MeetingName_0" ma:index="38" nillable="true" ma:taxonomy="true" ma:internalName="MeetingName_0" ma:taxonomyFieldName="MeetingName" ma:displayName="Meeting Name" ma:indexed="true" ma:fieldId="{ee5c9b55-8403-4f9e-a156-b6ce5b7b9456}" ma:sspId="5004ddca-ed1a-45fa-b2df-508b3c5dfc98" ma:termSetId="a04e9634-de73-4a41-8cb5-e1efdb89060c" ma:anchorId="00000000-0000-0000-0000-000000000000" ma:open="false" ma:isKeyword="false">
      <xsd:complexType>
        <xsd:sequence>
          <xsd:element ref="pc:Terms" minOccurs="0" maxOccurs="1"/>
        </xsd:sequence>
      </xsd:complexType>
    </xsd:element>
    <xsd:element name="AvailableTranslations_0" ma:index="40" nillable="true" ma:taxonomy="true" ma:internalName="AvailableTranslations_0" ma:taxonomyFieldName="AvailableTranslations" ma:displayName="Available Translations" ma:fieldId="{ee5c7c01-1a65-4138-aa64-80e01e34d799}"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DossierName_0" ma:index="45" nillable="true" ma:taxonomy="true" ma:internalName="DossierName_0" ma:taxonomyFieldName="DossierName" ma:displayName="Dossier Name" ma:fieldId="{ee5cf7da-503b-4593-8db2-4f0e09c901fd}" ma:sspId="5004ddca-ed1a-45fa-b2df-508b3c5dfc98" ma:termSetId="2b392f04-1222-4352-87c1-6fd60ec33b64"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e83899-37aa-47c6-ba54-4ea80e9c17cf" elementFormDefault="qualified">
    <xsd:import namespace="http://schemas.microsoft.com/office/2006/documentManagement/types"/>
    <xsd:import namespace="http://schemas.microsoft.com/office/infopath/2007/PartnerControls"/>
    <xsd:element name="MeetingNumber" ma:index="16" nillable="true" ma:displayName="Meeting Number" ma:decimals="0" ma:indexed="true" ma:internalName="MeetingNumber">
      <xsd:simpleType>
        <xsd:restriction base="dms:Unknown"/>
      </xsd:simpleType>
    </xsd:element>
    <xsd:element name="DocumentNumber" ma:index="25" nillable="true" ma:displayName="Document Number" ma:decimals="0" ma:indexed="true" ma:internalName="DocumentNumber">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0C32586-58A2-426E-8B89-8C1533FDA79C}">
  <ds:schemaRefs>
    <ds:schemaRef ds:uri="http://schemas.microsoft.com/office/2006/metadata/properties"/>
    <ds:schemaRef ds:uri="http://schemas.microsoft.com/office/infopath/2007/PartnerControls"/>
    <ds:schemaRef ds:uri="1a33af13-4045-4f88-9d7b-618e30f79918"/>
    <ds:schemaRef ds:uri="http://schemas.microsoft.com/sharepoint/v3/fields"/>
    <ds:schemaRef ds:uri="a3e83899-37aa-47c6-ba54-4ea80e9c17cf"/>
  </ds:schemaRefs>
</ds:datastoreItem>
</file>

<file path=customXml/itemProps2.xml><?xml version="1.0" encoding="utf-8"?>
<ds:datastoreItem xmlns:ds="http://schemas.openxmlformats.org/officeDocument/2006/customXml" ds:itemID="{26F3AFE3-F37D-4802-B885-E2B379E8164F}">
  <ds:schemaRefs>
    <ds:schemaRef ds:uri="http://schemas.microsoft.com/sharepoint/v3/contenttype/forms"/>
  </ds:schemaRefs>
</ds:datastoreItem>
</file>

<file path=customXml/itemProps3.xml><?xml version="1.0" encoding="utf-8"?>
<ds:datastoreItem xmlns:ds="http://schemas.openxmlformats.org/officeDocument/2006/customXml" ds:itemID="{F2536821-B2C7-4A5E-AAE0-36EC2E2269F7}">
  <ds:schemaRefs>
    <ds:schemaRef ds:uri="http://schemas.microsoft.com/sharepoint/events"/>
  </ds:schemaRefs>
</ds:datastoreItem>
</file>

<file path=customXml/itemProps4.xml><?xml version="1.0" encoding="utf-8"?>
<ds:datastoreItem xmlns:ds="http://schemas.openxmlformats.org/officeDocument/2006/customXml" ds:itemID="{14EF5905-2132-4D0B-BA0F-077B80580999}"/>
</file>

<file path=docProps/app.xml><?xml version="1.0" encoding="utf-8"?>
<Properties xmlns="http://schemas.openxmlformats.org/officeDocument/2006/extended-properties" xmlns:vt="http://schemas.openxmlformats.org/officeDocument/2006/docPropsVTypes">
  <Template>Normal.dotm</Template>
  <TotalTime>0</TotalTime>
  <Pages>13</Pages>
  <Words>4699</Words>
  <Characters>26664</Characters>
  <Application>Microsoft Office Word</Application>
  <DocSecurity>0</DocSecurity>
  <Lines>222</Lines>
  <Paragraphs>62</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Competitiveness fund</vt:lpstr>
      <vt:lpstr>Competitiveness fund</vt:lpstr>
    </vt:vector>
  </TitlesOfParts>
  <Manager/>
  <Company/>
  <LinksUpToDate>false</LinksUpToDate>
  <CharactersWithSpaces>31301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Fundo Europeu de Competitividade</dc:title>
  <dc:subject>Section opinion</dc:subject>
  <dc:creator/>
  <cp:keywords>EESC-2025-02576-00-00-AS-TRA-EN</cp:keywords>
  <dc:description>Rapporteur: - ANGELOVA Original language: - EN Date of document: - 18/11/2025 Date of meeting: - 03/12/2025 External documents: - COM(2025)555- final Administrator responsible: - Mme STAFFA Silvia</dc:description>
  <cp:lastModifiedBy/>
  <cp:revision>9</cp:revision>
  <cp:lastPrinted>2025-08-04T07:25:00Z</cp:lastPrinted>
  <dcterms:created xsi:type="dcterms:W3CDTF">2025-11-19T12:58:00Z</dcterms:created>
  <dcterms:modified xsi:type="dcterms:W3CDTF">2025-11-20T10:11:00Z</dcterms:modified>
  <cp:category>INT/1101</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ef_formatted">
    <vt:bool>true</vt:bool>
  </property>
  <property fmtid="{D5CDD505-2E9C-101B-9397-08002B2CF9AE}" pid="3" name="Pref_Date">
    <vt:lpwstr>19/11/2025, 18/11/2025, 03/11/2025, 08/10/2025, 07/10/2025, 22/08/2025, 03-07-2025, 12/04/2024, 03/04/2024, 11/03/2024, 04/03/2024, 04/03/2024, 04/03/2024, 20/12/2023, 17/05/2022, 04/11/2015, 27/10/2015, 19/10/2015, 09/10/2015, 05/10/2015, 05/10/2015, 26/</vt:lpwstr>
  </property>
  <property fmtid="{D5CDD505-2E9C-101B-9397-08002B2CF9AE}" pid="4" name="Pref_Time">
    <vt:lpwstr>13:58:09, 17:35:46, 17:02:00, 16:38:51, 09:40:47, 15:01:46, 08:56:40, 11:59:36, 08:10:26, 12:03:24, 12:56:55, 12:41:08, 11:08:50, 07:02:01, 13:02:32, 12/10/07, 14:44:02, 16/04/16, 14:09:30, 16:24:55, 16:04:02, 08:56:14, 07:27:56, 17:31:53</vt:lpwstr>
  </property>
  <property fmtid="{D5CDD505-2E9C-101B-9397-08002B2CF9AE}" pid="5" name="Pref_User">
    <vt:lpwstr>pacup, jhvi, pacup, amett, amett, pacup, pacup, enied, enied, enied, enied, enied, enied, enied, enied, ssex, enied, amett, tvoc, mreg, mreg, amett, enied, ssex</vt:lpwstr>
  </property>
  <property fmtid="{D5CDD505-2E9C-101B-9397-08002B2CF9AE}" pid="6" name="Pref_FileName">
    <vt:lpwstr>EESC-2025-02576-00-01-AS-ORI.docx, EESC-2025-02576-00-00-AS-TRA-EN-CRR.docx, EESC-2025-02576-00-00-PA-ORI.docx, EESC-2025-02576-00-01-APA-ORI.docx, EESC-2025-02576-00-00-APA-ORI.docx, EESC-2025-02576-00-00-DT-ORI.docx, EESC-2025-01910-00-00-DT-ORI.docx, C</vt:lpwstr>
  </property>
  <property fmtid="{D5CDD505-2E9C-101B-9397-08002B2CF9AE}" pid="7" name="ContentTypeId">
    <vt:lpwstr>0x010100EA97B91038054C99906057A708A1480A004B94E0CD93B68F4F96D67EEBEC8A7176</vt:lpwstr>
  </property>
  <property fmtid="{D5CDD505-2E9C-101B-9397-08002B2CF9AE}" pid="8" name="_dlc_DocIdItemGuid">
    <vt:lpwstr>4297b66b-4c34-4df4-a61b-ac1045e3b39d</vt:lpwstr>
  </property>
  <property fmtid="{D5CDD505-2E9C-101B-9397-08002B2CF9AE}" pid="9" name="Procedure">
    <vt:lpwstr>2025/0555(COD)</vt:lpwstr>
  </property>
  <property fmtid="{D5CDD505-2E9C-101B-9397-08002B2CF9AE}" pid="10" name="AvailableTranslations">
    <vt:lpwstr>40;#DA|5d49c027-8956-412b-aa16-e85a0f96ad0e;#42;#EL|6d4f4d51-af9b-4650-94b4-4276bee85c91;#30;#LT|a7ff5ce7-6123-4f68-865a-a57c31810414;#23;#DE|f6b31e5a-26fa-4935-b661-318e46daf27e;#43;#GA|762d2456-c427-4ecb-b312-af3dad8e258c;#34;#IT|0774613c-01ed-4e5d-a25d-11d2388de825;#46;#SK|46d9fce0-ef79-4f71-b89b-cd6aa82426b8;#28;#SV|c2ed69e7-a339-43d7-8f22-d93680a92aa0;#36;#RO|feb747a2-64cd-4299-af12-4833ddc30497;#41;#ET|ff6c3f4c-b02c-4c3c-ab07-2c37995a7a0a;#16;#ES|e7a6b05b-ae16-40c8-add9-68b64b03aeba;#5;#EN|f2175f21-25d7-44a3-96da-d6a61b075e1b;#27;#NL|55c6556c-b4f4-441d-9acf-c498d4f838bd;#12;#FR|d2afafd3-4c81-4f60-8f52-ee33f2f54ff3;#33;#PT|50ccc04a-eadd-42ae-a0cb-acaf45f812ba;#37;#HU|6b229040-c589-4408-b4c1-4285663d20a8;#50;#HR|2f555653-ed1a-4fe6-8362-9082d95989e5;#35;#FI|87606a43-d45f-42d6-b8c9-e1a3457db5b7;#24;#PL|1e03da61-4678-4e07-b136-b5024ca9197b;#47;#BG|1a1b3951-7821-4e6a-85f5-5673fc08bd2c;#29;#CS|72f9705b-0217-4fd3-bea2-cbc7ed80e26e;#32;#MT|7df99101-6854-4a26-b53a-b88c0da02c26;#39;#LV|46f7e311-5d9f-4663-b433-18aeccb7ace7;#31;#SL|98a412ae-eb01-49e9-ae3d-585a81724cfc</vt:lpwstr>
  </property>
  <property fmtid="{D5CDD505-2E9C-101B-9397-08002B2CF9AE}" pid="11" name="DocumentType_0">
    <vt:lpwstr>AS|c7a748eb-f6f2-4d9d-8b5a-af0cafebc224</vt:lpwstr>
  </property>
  <property fmtid="{D5CDD505-2E9C-101B-9397-08002B2CF9AE}" pid="12" name="MeetingNumber">
    <vt:i4>601</vt:i4>
  </property>
  <property fmtid="{D5CDD505-2E9C-101B-9397-08002B2CF9AE}" pid="13" name="DossierName_0">
    <vt:lpwstr>INT|e1edfecb-ed43-427b-bb02-d45fe6645386</vt:lpwstr>
  </property>
  <property fmtid="{D5CDD505-2E9C-101B-9397-08002B2CF9AE}" pid="14" name="DocumentSource_0">
    <vt:lpwstr>EESC|422833ec-8d7e-4e65-8e4e-8bed07ffb729</vt:lpwstr>
  </property>
  <property fmtid="{D5CDD505-2E9C-101B-9397-08002B2CF9AE}" pid="15" name="DocumentNumber">
    <vt:i4>2576</vt:i4>
  </property>
  <property fmtid="{D5CDD505-2E9C-101B-9397-08002B2CF9AE}" pid="16" name="FicheYear">
    <vt:i4>2025</vt:i4>
  </property>
  <property fmtid="{D5CDD505-2E9C-101B-9397-08002B2CF9AE}" pid="17" name="DocumentVersion">
    <vt:i4>1</vt:i4>
  </property>
  <property fmtid="{D5CDD505-2E9C-101B-9397-08002B2CF9AE}" pid="18" name="DossierNumber">
    <vt:i4>1101</vt:i4>
  </property>
  <property fmtid="{D5CDD505-2E9C-101B-9397-08002B2CF9AE}" pid="19" name="DocumentStatus">
    <vt:lpwstr>13;#TRA|150d2a88-1431-44e6-a8ca-0bb753ab8672</vt:lpwstr>
  </property>
  <property fmtid="{D5CDD505-2E9C-101B-9397-08002B2CF9AE}" pid="20" name="DossierName">
    <vt:lpwstr>51;#INT|e1edfecb-ed43-427b-bb02-d45fe6645386</vt:lpwstr>
  </property>
  <property fmtid="{D5CDD505-2E9C-101B-9397-08002B2CF9AE}" pid="21" name="RequestingService">
    <vt:lpwstr>Marché unique, production, consommation</vt:lpwstr>
  </property>
  <property fmtid="{D5CDD505-2E9C-101B-9397-08002B2CF9AE}" pid="22" name="Confidentiality">
    <vt:lpwstr>15;#Unrestricted|826e22d7-d029-4ec0-a450-0c28ff673572</vt:lpwstr>
  </property>
  <property fmtid="{D5CDD505-2E9C-101B-9397-08002B2CF9AE}" pid="23" name="MeetingName_0">
    <vt:lpwstr>SPL-CES|32d8cb1f-c9ec-4365-95c7-8385a18618ac</vt:lpwstr>
  </property>
  <property fmtid="{D5CDD505-2E9C-101B-9397-08002B2CF9AE}" pid="24" name="Confidentiality_0">
    <vt:lpwstr>Unrestricted|826e22d7-d029-4ec0-a450-0c28ff673572</vt:lpwstr>
  </property>
  <property fmtid="{D5CDD505-2E9C-101B-9397-08002B2CF9AE}" pid="25" name="OriginalLanguage">
    <vt:lpwstr>5;#EN|f2175f21-25d7-44a3-96da-d6a61b075e1b</vt:lpwstr>
  </property>
  <property fmtid="{D5CDD505-2E9C-101B-9397-08002B2CF9AE}" pid="26" name="MeetingName">
    <vt:lpwstr>67;#SPL-CES|32d8cb1f-c9ec-4365-95c7-8385a18618ac</vt:lpwstr>
  </property>
  <property fmtid="{D5CDD505-2E9C-101B-9397-08002B2CF9AE}" pid="27" name="MeetingDate">
    <vt:filetime>2025-12-03T12:00:00Z</vt:filetime>
  </property>
  <property fmtid="{D5CDD505-2E9C-101B-9397-08002B2CF9AE}" pid="28" name="AvailableTranslations_0">
    <vt:lpwstr>DA|5d49c027-8956-412b-aa16-e85a0f96ad0e;IT|0774613c-01ed-4e5d-a25d-11d2388de825;SK|46d9fce0-ef79-4f71-b89b-cd6aa82426b8;EN|f2175f21-25d7-44a3-96da-d6a61b075e1b;FR|d2afafd3-4c81-4f60-8f52-ee33f2f54ff3;MT|7df99101-6854-4a26-b53a-b88c0da02c26;LV|46f7e311-5d9f-4663-b433-18aeccb7ace7</vt:lpwstr>
  </property>
  <property fmtid="{D5CDD505-2E9C-101B-9397-08002B2CF9AE}" pid="29" name="DocumentStatus_0">
    <vt:lpwstr>TRA|150d2a88-1431-44e6-a8ca-0bb753ab8672</vt:lpwstr>
  </property>
  <property fmtid="{D5CDD505-2E9C-101B-9397-08002B2CF9AE}" pid="30" name="OriginalLanguage_0">
    <vt:lpwstr>EN|f2175f21-25d7-44a3-96da-d6a61b075e1b</vt:lpwstr>
  </property>
  <property fmtid="{D5CDD505-2E9C-101B-9397-08002B2CF9AE}" pid="31" name="TaxCatchAll">
    <vt:lpwstr>34;#IT|0774613c-01ed-4e5d-a25d-11d2388de825;#32;#MT|7df99101-6854-4a26-b53a-b88c0da02c26;#67;#SPL-CES|32d8cb1f-c9ec-4365-95c7-8385a18618ac;#15;#Unrestricted|826e22d7-d029-4ec0-a450-0c28ff673572;#126;#AS|c7a748eb-f6f2-4d9d-8b5a-af0cafebc224;#51;#INT|e1edfecb-ed43-427b-bb02-d45fe6645386;#13;#TRA|150d2a88-1431-44e6-a8ca-0bb753ab8672;#12;#FR|d2afafd3-4c81-4f60-8f52-ee33f2f54ff3;#46;#SK|46d9fce0-ef79-4f71-b89b-cd6aa82426b8;#8;#Final|ea5e6674-7b27-4bac-b091-73adbb394efe;#5;#EN|f2175f21-25d7-44a3-96da-d6a61b075e1b;#40;#DA|5d49c027-8956-412b-aa16-e85a0f96ad0e;#39;#LV|46f7e311-5d9f-4663-b433-18aeccb7ace7;#1;#EESC|422833ec-8d7e-4e65-8e4e-8bed07ffb729</vt:lpwstr>
  </property>
  <property fmtid="{D5CDD505-2E9C-101B-9397-08002B2CF9AE}" pid="32" name="Rapporteur">
    <vt:lpwstr>ANGELOVA</vt:lpwstr>
  </property>
  <property fmtid="{D5CDD505-2E9C-101B-9397-08002B2CF9AE}" pid="33" name="VersionStatus_0">
    <vt:lpwstr>Final|ea5e6674-7b27-4bac-b091-73adbb394efe</vt:lpwstr>
  </property>
  <property fmtid="{D5CDD505-2E9C-101B-9397-08002B2CF9AE}" pid="34" name="VersionStatus">
    <vt:lpwstr>8;#Final|ea5e6674-7b27-4bac-b091-73adbb394efe</vt:lpwstr>
  </property>
  <property fmtid="{D5CDD505-2E9C-101B-9397-08002B2CF9AE}" pid="35" name="DocumentYear">
    <vt:i4>2025</vt:i4>
  </property>
  <property fmtid="{D5CDD505-2E9C-101B-9397-08002B2CF9AE}" pid="36" name="FicheNumber">
    <vt:i4>296703</vt:i4>
  </property>
  <property fmtid="{D5CDD505-2E9C-101B-9397-08002B2CF9AE}" pid="37" name="DocumentPart">
    <vt:i4>0</vt:i4>
  </property>
  <property fmtid="{D5CDD505-2E9C-101B-9397-08002B2CF9AE}" pid="38" name="DocumentSource">
    <vt:lpwstr>1;#EESC|422833ec-8d7e-4e65-8e4e-8bed07ffb729</vt:lpwstr>
  </property>
  <property fmtid="{D5CDD505-2E9C-101B-9397-08002B2CF9AE}" pid="39" name="DocumentType">
    <vt:lpwstr>126;#AS|c7a748eb-f6f2-4d9d-8b5a-af0cafebc224</vt:lpwstr>
  </property>
  <property fmtid="{D5CDD505-2E9C-101B-9397-08002B2CF9AE}" pid="40" name="DocumentLanguage">
    <vt:lpwstr>33;#PT|50ccc04a-eadd-42ae-a0cb-acaf45f812ba</vt:lpwstr>
  </property>
  <property fmtid="{D5CDD505-2E9C-101B-9397-08002B2CF9AE}" pid="41" name="_docset_NoMedatataSyncRequired">
    <vt:lpwstr>False</vt:lpwstr>
  </property>
  <property fmtid="{D5CDD505-2E9C-101B-9397-08002B2CF9AE}" pid="42" name="DocumentLanguage_0">
    <vt:lpwstr>EN|f2175f21-25d7-44a3-96da-d6a61b075e1b</vt:lpwstr>
  </property>
</Properties>
</file>