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ECB517" w14:textId="5B22BDC9" w:rsidR="0090606C" w:rsidRPr="00310E7A" w:rsidRDefault="00397FFC">
      <w:pPr>
        <w:jc w:val="center"/>
      </w:pPr>
      <w:r w:rsidRPr="00310E7A">
        <w:rPr>
          <w:noProof/>
        </w:rPr>
        <w:drawing>
          <wp:inline distT="0" distB="0" distL="0" distR="0" wp14:anchorId="2DAA2603" wp14:editId="0C66B462">
            <wp:extent cx="1792605" cy="1239520"/>
            <wp:effectExtent l="0" t="0" r="0" b="0"/>
            <wp:docPr id="1" name="Picture 1" title="EESCLogo_NL"/>
            <wp:cNvGraphicFramePr/>
            <a:graphic xmlns:a="http://schemas.openxmlformats.org/drawingml/2006/main">
              <a:graphicData uri="http://schemas.openxmlformats.org/drawingml/2006/picture">
                <pic:pic xmlns:pic="http://schemas.openxmlformats.org/drawingml/2006/picture">
                  <pic:nvPicPr>
                    <pic:cNvPr id="1" name="Picture 1" title="EESCLogo_NL"/>
                    <pic:cNvPicPr/>
                  </pic:nvPicPr>
                  <pic:blipFill>
                    <a:blip r:embed="rId11"/>
                    <a:stretch>
                      <a:fillRect/>
                    </a:stretch>
                  </pic:blipFill>
                  <pic:spPr>
                    <a:xfrm>
                      <a:off x="0" y="0"/>
                      <a:ext cx="1792605" cy="1239520"/>
                    </a:xfrm>
                    <a:prstGeom prst="rect">
                      <a:avLst/>
                    </a:prstGeom>
                  </pic:spPr>
                </pic:pic>
              </a:graphicData>
            </a:graphic>
          </wp:inline>
        </w:drawing>
      </w:r>
      <w:r w:rsidR="00601604" w:rsidRPr="00310E7A">
        <w:rPr>
          <w:noProof/>
          <w:sz w:val="20"/>
        </w:rPr>
        <mc:AlternateContent>
          <mc:Choice Requires="wps">
            <w:drawing>
              <wp:anchor distT="0" distB="0" distL="114300" distR="114300" simplePos="0" relativeHeight="251658240" behindDoc="1" locked="0" layoutInCell="0" allowOverlap="1" wp14:anchorId="03DC7385" wp14:editId="5ED7ABF9">
                <wp:simplePos x="0" y="0"/>
                <wp:positionH relativeFrom="page">
                  <wp:posOffset>6769100</wp:posOffset>
                </wp:positionH>
                <wp:positionV relativeFrom="page">
                  <wp:posOffset>10081260</wp:posOffset>
                </wp:positionV>
                <wp:extent cx="647700" cy="396240"/>
                <wp:effectExtent l="0" t="3810" r="3175" b="0"/>
                <wp:wrapNone/>
                <wp:docPr id="2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F93A4D" w14:textId="77777777" w:rsidR="0090606C" w:rsidRDefault="00601604">
                            <w:pPr>
                              <w:jc w:val="center"/>
                              <w:rPr>
                                <w:rFonts w:ascii="Arial" w:hAnsi="Arial" w:cs="Arial"/>
                                <w:b/>
                                <w:bCs/>
                                <w:sz w:val="48"/>
                              </w:rPr>
                            </w:pPr>
                            <w:r>
                              <w:rPr>
                                <w:rFonts w:ascii="Arial" w:hAnsi="Arial"/>
                                <w:b/>
                                <w:sz w:val="48"/>
                              </w:rPr>
                              <w:t>NL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3DC7385" id="_x0000_t202" coordsize="21600,21600" o:spt="202" path="m,l,21600r21600,l21600,xe">
                <v:stroke joinstyle="miter"/>
                <v:path gradientshapeok="t" o:connecttype="rect"/>
              </v:shapetype>
              <v:shape id="Text Box 17" o:spid="_x0000_s1026" type="#_x0000_t202" style="position:absolute;left:0;text-align:left;margin-left:533pt;margin-top:793.8pt;width:51pt;height:31.2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" o:allowincell="f" filled="f" stroked="f">
                <v:textbox>
                  <w:txbxContent>
                    <w:p w14:paraId="2CF93A4D" w14:textId="77777777" w:rsidR="0090606C" w:rsidRDefault="00601604">
                      <w:pPr>
                        <w:jc w:val="center"/>
                        <w:rPr>
                          <w:rFonts w:ascii="Arial" w:hAnsi="Arial" w:cs="Arial"/>
                          <w:b/>
                          <w:bCs/>
                          <w:sz w:val="48"/>
                        </w:rPr>
                      </w:pPr>
                      <w:r>
                        <w:rPr>
                          <w:rFonts w:ascii="Arial" w:hAnsi="Arial"/>
                          <w:b/>
                          <w:sz w:val="48"/>
                        </w:rPr>
                        <w:t>NL</w:t>
                      </w:r>
                    </w:p>
                  </w:txbxContent>
                </v:textbox>
                <w10:wrap anchorx="page" anchory="page"/>
              </v:shape>
            </w:pict>
          </mc:Fallback>
        </mc:AlternateContent>
      </w:r>
    </w:p>
    <w:p w14:paraId="7DEC2BE9" w14:textId="77777777" w:rsidR="0090606C" w:rsidRPr="00310E7A" w:rsidRDefault="0090606C">
      <w:pPr>
        <w:jc w:val="left"/>
      </w:pPr>
    </w:p>
    <w:p w14:paraId="685D93E3" w14:textId="77777777" w:rsidR="0090606C" w:rsidRPr="00310E7A" w:rsidRDefault="00601604">
      <w:pPr>
        <w:jc w:val="right"/>
      </w:pPr>
      <w:r w:rsidRPr="00310E7A">
        <w:rPr>
          <w:b/>
        </w:rPr>
        <w:t>INT/1101</w:t>
      </w:r>
    </w:p>
    <w:p w14:paraId="68FF4A3F" w14:textId="77777777" w:rsidR="0090606C" w:rsidRPr="00310E7A" w:rsidRDefault="00601604">
      <w:pPr>
        <w:jc w:val="right"/>
      </w:pPr>
      <w:r w:rsidRPr="00310E7A">
        <w:rPr>
          <w:b/>
        </w:rPr>
        <w:t>Europees Fonds voor concurrentievermogen</w:t>
      </w:r>
    </w:p>
    <w:p w14:paraId="24D04A79" w14:textId="77777777" w:rsidR="0090606C" w:rsidRPr="00310E7A" w:rsidRDefault="0090606C"/>
    <w:p w14:paraId="65C5D9E6" w14:textId="77777777" w:rsidR="0090606C" w:rsidRPr="00310E7A" w:rsidRDefault="0090606C"/>
    <w:p w14:paraId="72453381" w14:textId="219B9A27" w:rsidR="0090606C" w:rsidRPr="00310E7A" w:rsidRDefault="00601604">
      <w:pPr>
        <w:jc w:val="center"/>
        <w:rPr>
          <w:b/>
          <w:bCs/>
          <w:sz w:val="28"/>
          <w:szCs w:val="28"/>
        </w:rPr>
      </w:pPr>
      <w:r w:rsidRPr="00310E7A">
        <w:rPr>
          <w:b/>
          <w:sz w:val="28"/>
        </w:rPr>
        <w:t>ADVIES</w:t>
      </w:r>
    </w:p>
    <w:p w14:paraId="63D5CBBB" w14:textId="77777777" w:rsidR="0090606C" w:rsidRPr="00310E7A" w:rsidRDefault="0090606C">
      <w:pPr>
        <w:jc w:val="center"/>
      </w:pPr>
    </w:p>
    <w:p w14:paraId="1BF5A61E" w14:textId="77777777" w:rsidR="0090606C" w:rsidRPr="00310E7A" w:rsidRDefault="00601604">
      <w:pPr>
        <w:jc w:val="center"/>
      </w:pPr>
      <w:r w:rsidRPr="00310E7A">
        <w:t>Afdeling Interne Markt, Productie en Consumptie</w:t>
      </w:r>
    </w:p>
    <w:p w14:paraId="39F296EE" w14:textId="77777777" w:rsidR="0090606C" w:rsidRPr="00310E7A" w:rsidRDefault="0090606C">
      <w:pPr>
        <w:jc w:val="center"/>
      </w:pPr>
    </w:p>
    <w:p w14:paraId="2A94ED9F" w14:textId="77777777" w:rsidR="0090606C" w:rsidRPr="00310E7A" w:rsidRDefault="00601604">
      <w:pPr>
        <w:ind w:left="360"/>
        <w:jc w:val="center"/>
        <w:rPr>
          <w:b/>
          <w:bCs/>
        </w:rPr>
      </w:pPr>
      <w:r w:rsidRPr="00310E7A">
        <w:rPr>
          <w:b/>
        </w:rPr>
        <w:t>Voorstel voor een verordening van het Europees Parlement en de Raad tot oprichting van het Europees Fonds voor concurrentievermogen (“EFC”), met inbegrip van het specifieke programma voor onderzoeks- en innovatieactiviteiten op defensiegebied, tot intrekking van de Verordeningen (EU) 2021/522, (EU) 2021/694, (EU) 2021/697 en (EU) 2021/783 en tot wijziging van de Verordeningen (EU) 2021/696, (EU) 2023/588 en (EU) [EDIP]</w:t>
      </w:r>
    </w:p>
    <w:p w14:paraId="2E6CB957" w14:textId="77777777" w:rsidR="0090606C" w:rsidRPr="00310E7A" w:rsidRDefault="00601604">
      <w:pPr>
        <w:jc w:val="center"/>
      </w:pPr>
      <w:r w:rsidRPr="00310E7A">
        <w:t>(COM(2025) 555 final - 2025/0555 (COD))</w:t>
      </w:r>
    </w:p>
    <w:p w14:paraId="1C0F0A83" w14:textId="77777777" w:rsidR="0090606C" w:rsidRPr="00310E7A" w:rsidRDefault="0090606C">
      <w:pPr>
        <w:jc w:val="center"/>
      </w:pPr>
    </w:p>
    <w:tbl>
      <w:tblPr>
        <w:tblpPr w:leftFromText="181" w:rightFromText="181" w:tblpYSpec="bottom"/>
        <w:tblOverlap w:val="never"/>
        <w:tblW w:w="9289" w:type="dxa"/>
        <w:tblLayout w:type="fixed"/>
        <w:tblLook w:val="04A0" w:firstRow="1" w:lastRow="0" w:firstColumn="1" w:lastColumn="0" w:noHBand="0" w:noVBand="1"/>
      </w:tblPr>
      <w:tblGrid>
        <w:gridCol w:w="3119"/>
        <w:gridCol w:w="6170"/>
      </w:tblGrid>
      <w:tr w:rsidR="0090606C" w:rsidRPr="00310E7A" w14:paraId="3C076D4A" w14:textId="77777777">
        <w:tc>
          <w:tcPr>
            <w:tcW w:w="3119" w:type="dxa"/>
          </w:tcPr>
          <w:p w14:paraId="4FCD4D20" w14:textId="77777777" w:rsidR="0090606C" w:rsidRPr="00310E7A" w:rsidRDefault="00601604">
            <w:r w:rsidRPr="00310E7A">
              <w:t>Administrateur</w:t>
            </w:r>
          </w:p>
        </w:tc>
        <w:tc>
          <w:tcPr>
            <w:tcW w:w="6170" w:type="dxa"/>
          </w:tcPr>
          <w:p w14:paraId="12149E3E" w14:textId="77777777" w:rsidR="0090606C" w:rsidRPr="00310E7A" w:rsidRDefault="00601604">
            <w:pPr>
              <w:jc w:val="left"/>
            </w:pPr>
            <w:r w:rsidRPr="00310E7A">
              <w:t>Silvia STAFFA</w:t>
            </w:r>
          </w:p>
        </w:tc>
      </w:tr>
      <w:tr w:rsidR="0090606C" w:rsidRPr="00310E7A" w14:paraId="4D6908BE" w14:textId="77777777">
        <w:tc>
          <w:tcPr>
            <w:tcW w:w="3119" w:type="dxa"/>
          </w:tcPr>
          <w:p w14:paraId="03F895A4" w14:textId="77777777" w:rsidR="0090606C" w:rsidRPr="00310E7A" w:rsidRDefault="00601604">
            <w:r w:rsidRPr="00310E7A">
              <w:t>Datum document</w:t>
            </w:r>
          </w:p>
        </w:tc>
        <w:tc>
          <w:tcPr>
            <w:tcW w:w="6170" w:type="dxa"/>
          </w:tcPr>
          <w:p w14:paraId="72915B50" w14:textId="5DBAB995" w:rsidR="0090606C" w:rsidRPr="00310E7A" w:rsidRDefault="0036350D">
            <w:pPr>
              <w:jc w:val="left"/>
            </w:pPr>
            <w:r w:rsidRPr="00310E7A">
              <w:t>20/11/2025</w:t>
            </w:r>
          </w:p>
        </w:tc>
      </w:tr>
    </w:tbl>
    <w:p w14:paraId="51814474" w14:textId="77777777" w:rsidR="0090606C" w:rsidRPr="00310E7A" w:rsidRDefault="00601604">
      <w:pPr>
        <w:jc w:val="center"/>
        <w:rPr>
          <w:b/>
          <w:bCs/>
        </w:rPr>
      </w:pPr>
      <w:r w:rsidRPr="00310E7A">
        <w:t xml:space="preserve">Rapporteur: </w:t>
      </w:r>
      <w:r w:rsidRPr="00310E7A">
        <w:rPr>
          <w:b/>
        </w:rPr>
        <w:t>Milena ANGELOVA</w:t>
      </w:r>
    </w:p>
    <w:p w14:paraId="672BF167" w14:textId="77777777" w:rsidR="0090606C" w:rsidRPr="00310E7A" w:rsidRDefault="0090606C"/>
    <w:p w14:paraId="1BD8DF67" w14:textId="77777777" w:rsidR="0090606C" w:rsidRPr="00310E7A" w:rsidRDefault="0090606C">
      <w:pPr>
        <w:sectPr w:rsidR="0090606C" w:rsidRPr="00310E7A" w:rsidSect="00432D8E">
          <w:headerReference w:type="even" r:id="rId12"/>
          <w:headerReference w:type="default" r:id="rId13"/>
          <w:footerReference w:type="even" r:id="rId14"/>
          <w:footerReference w:type="default" r:id="rId15"/>
          <w:headerReference w:type="first" r:id="rId16"/>
          <w:footerReference w:type="first" r:id="rId17"/>
          <w:pgSz w:w="11907" w:h="16839" w:code="9"/>
          <w:pgMar w:top="1417" w:right="1417" w:bottom="1417" w:left="1417" w:header="709" w:footer="709" w:gutter="0"/>
          <w:pgNumType w:start="1"/>
          <w:cols w:space="720"/>
          <w:docGrid w:linePitch="299"/>
        </w:sectPr>
      </w:pPr>
    </w:p>
    <w:p w14:paraId="6E6EA355" w14:textId="77777777" w:rsidR="0090606C" w:rsidRPr="00310E7A" w:rsidRDefault="0090606C"/>
    <w:tbl>
      <w:tblPr>
        <w:tblW w:w="0" w:type="auto"/>
        <w:tblLook w:val="04A0" w:firstRow="1" w:lastRow="0" w:firstColumn="1" w:lastColumn="0" w:noHBand="0" w:noVBand="1"/>
      </w:tblPr>
      <w:tblGrid>
        <w:gridCol w:w="3055"/>
        <w:gridCol w:w="6018"/>
      </w:tblGrid>
      <w:tr w:rsidR="0090606C" w:rsidRPr="00310E7A" w14:paraId="2751D80C" w14:textId="77777777">
        <w:tc>
          <w:tcPr>
            <w:tcW w:w="3055" w:type="dxa"/>
          </w:tcPr>
          <w:p w14:paraId="257CF595" w14:textId="77777777" w:rsidR="0090606C" w:rsidRPr="00310E7A" w:rsidRDefault="00601604">
            <w:pPr>
              <w:jc w:val="left"/>
            </w:pPr>
            <w:r w:rsidRPr="00310E7A">
              <w:t>Adviseur</w:t>
            </w:r>
          </w:p>
        </w:tc>
        <w:tc>
          <w:tcPr>
            <w:tcW w:w="6018" w:type="dxa"/>
          </w:tcPr>
          <w:p w14:paraId="45E618CA" w14:textId="77777777" w:rsidR="0090606C" w:rsidRPr="00310E7A" w:rsidRDefault="00601604">
            <w:pPr>
              <w:jc w:val="left"/>
            </w:pPr>
            <w:r w:rsidRPr="00310E7A">
              <w:t>Tellervo KYLÄ-HARAKKA-RUONALA (voor de rapporteur)</w:t>
            </w:r>
          </w:p>
        </w:tc>
      </w:tr>
      <w:tr w:rsidR="0090606C" w:rsidRPr="00310E7A" w14:paraId="3F2D69F2" w14:textId="77777777">
        <w:tc>
          <w:tcPr>
            <w:tcW w:w="3055" w:type="dxa"/>
          </w:tcPr>
          <w:p w14:paraId="09DA15F6" w14:textId="77777777" w:rsidR="0090606C" w:rsidRPr="00310E7A" w:rsidRDefault="00601604">
            <w:pPr>
              <w:jc w:val="left"/>
            </w:pPr>
            <w:r w:rsidRPr="00310E7A">
              <w:t>Wetgevingsprocedure</w:t>
            </w:r>
          </w:p>
        </w:tc>
        <w:tc>
          <w:tcPr>
            <w:tcW w:w="6018" w:type="dxa"/>
          </w:tcPr>
          <w:p w14:paraId="0E892A6E" w14:textId="77777777" w:rsidR="0090606C" w:rsidRPr="00310E7A" w:rsidRDefault="00C1310C">
            <w:pPr>
              <w:pStyle w:val="ListParagraph"/>
              <w:ind w:left="0"/>
              <w:jc w:val="left"/>
              <w:rPr>
                <w:rStyle w:val="Hyperlink"/>
                <w:u w:val="none"/>
              </w:rPr>
            </w:pPr>
            <w:hyperlink r:id="rId18" w:history="1">
              <w:r w:rsidR="00397FFC" w:rsidRPr="00310E7A">
                <w:rPr>
                  <w:rStyle w:val="Hyperlink"/>
                </w:rPr>
                <w:t>EU Law Tracker</w:t>
              </w:r>
            </w:hyperlink>
          </w:p>
        </w:tc>
      </w:tr>
      <w:tr w:rsidR="0090606C" w:rsidRPr="00310E7A" w14:paraId="4C3DDA3C" w14:textId="77777777">
        <w:tc>
          <w:tcPr>
            <w:tcW w:w="3055" w:type="dxa"/>
          </w:tcPr>
          <w:p w14:paraId="4C46344B" w14:textId="77777777" w:rsidR="0090606C" w:rsidRPr="00310E7A" w:rsidRDefault="00601604">
            <w:pPr>
              <w:jc w:val="left"/>
            </w:pPr>
            <w:r w:rsidRPr="00310E7A">
              <w:t>Raadplegingen</w:t>
            </w:r>
          </w:p>
        </w:tc>
        <w:tc>
          <w:tcPr>
            <w:tcW w:w="6018" w:type="dxa"/>
          </w:tcPr>
          <w:p w14:paraId="3C50F0BF" w14:textId="09E120C5" w:rsidR="0090606C" w:rsidRPr="00310E7A" w:rsidRDefault="00601604">
            <w:pPr>
              <w:pStyle w:val="ListParagraph"/>
              <w:ind w:left="0"/>
              <w:jc w:val="left"/>
            </w:pPr>
            <w:r w:rsidRPr="00310E7A">
              <w:t>Europees Parlement, 12 november 2025</w:t>
            </w:r>
          </w:p>
          <w:p w14:paraId="08309E84" w14:textId="77777777" w:rsidR="0090606C" w:rsidRPr="00310E7A" w:rsidRDefault="00601604">
            <w:pPr>
              <w:pStyle w:val="ListParagraph"/>
              <w:ind w:left="0"/>
              <w:jc w:val="left"/>
            </w:pPr>
            <w:r w:rsidRPr="00310E7A">
              <w:t>Raad van de Europese Unie, 22 september 2025</w:t>
            </w:r>
          </w:p>
        </w:tc>
      </w:tr>
      <w:tr w:rsidR="0090606C" w:rsidRPr="00310E7A" w14:paraId="648C7F5B" w14:textId="77777777">
        <w:trPr>
          <w:trHeight w:val="251"/>
        </w:trPr>
        <w:tc>
          <w:tcPr>
            <w:tcW w:w="3055" w:type="dxa"/>
          </w:tcPr>
          <w:p w14:paraId="7BEA170B" w14:textId="77777777" w:rsidR="0090606C" w:rsidRPr="00310E7A" w:rsidRDefault="00601604">
            <w:pPr>
              <w:jc w:val="left"/>
            </w:pPr>
            <w:r w:rsidRPr="00310E7A">
              <w:t>Rechtsgrond</w:t>
            </w:r>
          </w:p>
        </w:tc>
        <w:tc>
          <w:tcPr>
            <w:tcW w:w="6018" w:type="dxa"/>
          </w:tcPr>
          <w:p w14:paraId="5E830CBC" w14:textId="77777777" w:rsidR="0090606C" w:rsidRPr="00310E7A" w:rsidRDefault="00601604">
            <w:pPr>
              <w:jc w:val="left"/>
            </w:pPr>
            <w:r w:rsidRPr="00310E7A">
              <w:t>Artikelen 43, lid 2, 168, lid 5, 172,, 173, lid 3, 175, 182, lid 4,, 188, 192, lid 1, en 194, lid 2, van het Verdrag betreffende de werking van de Europese Unie</w:t>
            </w:r>
          </w:p>
        </w:tc>
      </w:tr>
      <w:tr w:rsidR="0090606C" w:rsidRPr="00310E7A" w14:paraId="69577C0C" w14:textId="77777777">
        <w:tc>
          <w:tcPr>
            <w:tcW w:w="3055" w:type="dxa"/>
          </w:tcPr>
          <w:p w14:paraId="7CFEB7F2" w14:textId="77777777" w:rsidR="0090606C" w:rsidRPr="00310E7A" w:rsidRDefault="00601604">
            <w:pPr>
              <w:spacing w:after="240"/>
              <w:jc w:val="left"/>
            </w:pPr>
            <w:r w:rsidRPr="00310E7A">
              <w:t>Documenten van de Europese Commissie</w:t>
            </w:r>
          </w:p>
        </w:tc>
        <w:tc>
          <w:tcPr>
            <w:tcW w:w="6018" w:type="dxa"/>
            <w:vAlign w:val="bottom"/>
          </w:tcPr>
          <w:p w14:paraId="52E3C2B6" w14:textId="77777777" w:rsidR="0090606C" w:rsidRPr="00310E7A" w:rsidRDefault="00C1310C">
            <w:pPr>
              <w:jc w:val="left"/>
            </w:pPr>
            <w:hyperlink r:id="rId19" w:history="1">
              <w:r w:rsidR="00397FFC" w:rsidRPr="00310E7A">
                <w:rPr>
                  <w:rStyle w:val="Hyperlink"/>
                </w:rPr>
                <w:t>COM(2025) 555 final – 2025/0555 (COD)</w:t>
              </w:r>
            </w:hyperlink>
          </w:p>
          <w:p w14:paraId="06B1AD71" w14:textId="77777777" w:rsidR="0090606C" w:rsidRPr="00310E7A" w:rsidRDefault="00C1310C">
            <w:pPr>
              <w:jc w:val="left"/>
              <w:rPr>
                <w:color w:val="0000FF"/>
                <w:u w:val="single"/>
              </w:rPr>
            </w:pPr>
            <w:hyperlink r:id="rId20" w:history="1">
              <w:r w:rsidR="00397FFC" w:rsidRPr="00310E7A">
                <w:rPr>
                  <w:rStyle w:val="Hyperlink"/>
                </w:rPr>
                <w:t>Europees Fonds voor concurrentievermogen</w:t>
              </w:r>
            </w:hyperlink>
          </w:p>
        </w:tc>
      </w:tr>
      <w:tr w:rsidR="0090606C" w:rsidRPr="00310E7A" w14:paraId="16B95346" w14:textId="77777777">
        <w:tc>
          <w:tcPr>
            <w:tcW w:w="3055" w:type="dxa"/>
          </w:tcPr>
          <w:p w14:paraId="5C3EDACF" w14:textId="77777777" w:rsidR="0090606C" w:rsidRPr="00310E7A" w:rsidRDefault="00601604">
            <w:pPr>
              <w:jc w:val="left"/>
            </w:pPr>
            <w:r w:rsidRPr="00310E7A">
              <w:t>Relevante duurzame-ontwikkelingsdoelstellingen (SDG’s)</w:t>
            </w:r>
          </w:p>
        </w:tc>
        <w:tc>
          <w:tcPr>
            <w:tcW w:w="6018" w:type="dxa"/>
            <w:vAlign w:val="bottom"/>
          </w:tcPr>
          <w:p w14:paraId="725D1A1A" w14:textId="77777777" w:rsidR="0090606C" w:rsidRPr="00310E7A" w:rsidRDefault="00C1310C">
            <w:pPr>
              <w:jc w:val="left"/>
            </w:pPr>
            <w:hyperlink r:id="rId21" w:history="1">
              <w:r w:rsidR="00397FFC" w:rsidRPr="00310E7A">
                <w:rPr>
                  <w:rStyle w:val="Hyperlink"/>
                </w:rPr>
                <w:t>SDG 8 — Fatsoenlijk werk en economische groei</w:t>
              </w:r>
            </w:hyperlink>
            <w:r w:rsidR="00397FFC" w:rsidRPr="00310E7A">
              <w:t xml:space="preserve"> </w:t>
            </w:r>
          </w:p>
          <w:p w14:paraId="78BF4EA7" w14:textId="77777777" w:rsidR="0090606C" w:rsidRPr="00310E7A" w:rsidRDefault="00C1310C">
            <w:pPr>
              <w:jc w:val="left"/>
            </w:pPr>
            <w:hyperlink r:id="rId22" w:history="1">
              <w:r w:rsidR="00397FFC" w:rsidRPr="00310E7A">
                <w:rPr>
                  <w:rStyle w:val="Hyperlink"/>
                </w:rPr>
                <w:t>SDG 9 Industrie, innovatie en infrastructuur</w:t>
              </w:r>
            </w:hyperlink>
          </w:p>
          <w:p w14:paraId="5E395C92" w14:textId="77777777" w:rsidR="0090606C" w:rsidRPr="00310E7A" w:rsidRDefault="00C1310C">
            <w:pPr>
              <w:jc w:val="left"/>
            </w:pPr>
            <w:hyperlink r:id="rId23" w:history="1">
              <w:r w:rsidR="00397FFC" w:rsidRPr="00310E7A">
                <w:rPr>
                  <w:rStyle w:val="Hyperlink"/>
                </w:rPr>
                <w:t>SDG 12 Verantwoorde consumptie en productie</w:t>
              </w:r>
            </w:hyperlink>
          </w:p>
          <w:p w14:paraId="59A12946" w14:textId="77777777" w:rsidR="0090606C" w:rsidRPr="00310E7A" w:rsidRDefault="00C1310C">
            <w:pPr>
              <w:jc w:val="left"/>
              <w:rPr>
                <w:rStyle w:val="Hyperlink"/>
                <w:highlight w:val="yellow"/>
              </w:rPr>
            </w:pPr>
            <w:hyperlink r:id="rId24" w:history="1">
              <w:r w:rsidR="00397FFC" w:rsidRPr="00310E7A">
                <w:rPr>
                  <w:rStyle w:val="Hyperlink"/>
                </w:rPr>
                <w:t>SDG 13 Klimaatactie</w:t>
              </w:r>
            </w:hyperlink>
          </w:p>
        </w:tc>
      </w:tr>
      <w:tr w:rsidR="0090606C" w:rsidRPr="00310E7A" w14:paraId="5C447F32" w14:textId="77777777">
        <w:tc>
          <w:tcPr>
            <w:tcW w:w="3055" w:type="dxa"/>
          </w:tcPr>
          <w:p w14:paraId="5EBC6D09" w14:textId="77777777" w:rsidR="0090606C" w:rsidRPr="00310E7A" w:rsidRDefault="00601604">
            <w:pPr>
              <w:jc w:val="left"/>
            </w:pPr>
            <w:r w:rsidRPr="00310E7A">
              <w:t>Bevoegde afdeling</w:t>
            </w:r>
          </w:p>
        </w:tc>
        <w:tc>
          <w:tcPr>
            <w:tcW w:w="6018" w:type="dxa"/>
          </w:tcPr>
          <w:p w14:paraId="7DAFCC7B" w14:textId="77777777" w:rsidR="0090606C" w:rsidRPr="00310E7A" w:rsidRDefault="00601604">
            <w:pPr>
              <w:jc w:val="left"/>
            </w:pPr>
            <w:r w:rsidRPr="00310E7A">
              <w:t>Interne Markt, Productie en Consumptie</w:t>
            </w:r>
          </w:p>
        </w:tc>
      </w:tr>
      <w:tr w:rsidR="0090606C" w:rsidRPr="00310E7A" w14:paraId="38E3D44B" w14:textId="77777777">
        <w:tc>
          <w:tcPr>
            <w:tcW w:w="3055" w:type="dxa"/>
          </w:tcPr>
          <w:p w14:paraId="4AD08C63" w14:textId="77777777" w:rsidR="0090606C" w:rsidRPr="00310E7A" w:rsidRDefault="00601604">
            <w:pPr>
              <w:jc w:val="left"/>
            </w:pPr>
            <w:r w:rsidRPr="00310E7A">
              <w:t>Goedkeuring door de afdeling</w:t>
            </w:r>
          </w:p>
        </w:tc>
        <w:tc>
          <w:tcPr>
            <w:tcW w:w="6018" w:type="dxa"/>
          </w:tcPr>
          <w:p w14:paraId="3DA68908" w14:textId="70269CF0" w:rsidR="0090606C" w:rsidRPr="00310E7A" w:rsidRDefault="005622A4">
            <w:pPr>
              <w:jc w:val="left"/>
            </w:pPr>
            <w:r w:rsidRPr="00310E7A">
              <w:t>14/11/2025</w:t>
            </w:r>
          </w:p>
        </w:tc>
      </w:tr>
      <w:tr w:rsidR="0090606C" w:rsidRPr="00310E7A" w14:paraId="330D333A" w14:textId="77777777">
        <w:tc>
          <w:tcPr>
            <w:tcW w:w="3055" w:type="dxa"/>
          </w:tcPr>
          <w:p w14:paraId="175419AA" w14:textId="77777777" w:rsidR="0090606C" w:rsidRPr="00310E7A" w:rsidRDefault="00601604">
            <w:pPr>
              <w:jc w:val="left"/>
            </w:pPr>
            <w:r w:rsidRPr="00310E7A">
              <w:t>Stemuitslag</w:t>
            </w:r>
            <w:r w:rsidRPr="00310E7A">
              <w:br/>
              <w:t>(voor/tegen/onthoudingen)</w:t>
            </w:r>
          </w:p>
        </w:tc>
        <w:tc>
          <w:tcPr>
            <w:tcW w:w="6018" w:type="dxa"/>
            <w:vAlign w:val="bottom"/>
          </w:tcPr>
          <w:p w14:paraId="10694F20" w14:textId="098F6E62" w:rsidR="0090606C" w:rsidRPr="00310E7A" w:rsidRDefault="00CD267B">
            <w:pPr>
              <w:jc w:val="left"/>
            </w:pPr>
            <w:r w:rsidRPr="00310E7A">
              <w:t>83/2/3</w:t>
            </w:r>
          </w:p>
        </w:tc>
      </w:tr>
      <w:tr w:rsidR="0090606C" w:rsidRPr="00310E7A" w14:paraId="597A3926" w14:textId="77777777">
        <w:tc>
          <w:tcPr>
            <w:tcW w:w="3055" w:type="dxa"/>
          </w:tcPr>
          <w:p w14:paraId="1C72FF2E" w14:textId="77777777" w:rsidR="0090606C" w:rsidRPr="00310E7A" w:rsidRDefault="00601604">
            <w:pPr>
              <w:jc w:val="left"/>
            </w:pPr>
            <w:r w:rsidRPr="00310E7A">
              <w:t>Goedkeuring door de voltallige vergadering</w:t>
            </w:r>
          </w:p>
        </w:tc>
        <w:tc>
          <w:tcPr>
            <w:tcW w:w="6018" w:type="dxa"/>
          </w:tcPr>
          <w:p w14:paraId="02B449A7" w14:textId="77777777" w:rsidR="0090606C" w:rsidRPr="00310E7A" w:rsidRDefault="00601604">
            <w:pPr>
              <w:jc w:val="left"/>
            </w:pPr>
            <w:r w:rsidRPr="00310E7A">
              <w:t>D/M/YYYY</w:t>
            </w:r>
          </w:p>
        </w:tc>
      </w:tr>
      <w:tr w:rsidR="0090606C" w:rsidRPr="00310E7A" w14:paraId="59FDC766" w14:textId="77777777">
        <w:tc>
          <w:tcPr>
            <w:tcW w:w="3055" w:type="dxa"/>
          </w:tcPr>
          <w:p w14:paraId="40EF4A76" w14:textId="77777777" w:rsidR="0090606C" w:rsidRPr="00310E7A" w:rsidRDefault="00601604">
            <w:pPr>
              <w:jc w:val="left"/>
            </w:pPr>
            <w:r w:rsidRPr="00310E7A">
              <w:t>Zitting nr.</w:t>
            </w:r>
          </w:p>
        </w:tc>
        <w:tc>
          <w:tcPr>
            <w:tcW w:w="6018" w:type="dxa"/>
          </w:tcPr>
          <w:p w14:paraId="370871AD" w14:textId="77777777" w:rsidR="0090606C" w:rsidRPr="00310E7A" w:rsidRDefault="00601604">
            <w:pPr>
              <w:jc w:val="left"/>
            </w:pPr>
            <w:r w:rsidRPr="00310E7A">
              <w:t>…</w:t>
            </w:r>
          </w:p>
        </w:tc>
      </w:tr>
      <w:tr w:rsidR="0090606C" w:rsidRPr="00310E7A" w14:paraId="02B07CDD" w14:textId="77777777">
        <w:tc>
          <w:tcPr>
            <w:tcW w:w="3055" w:type="dxa"/>
          </w:tcPr>
          <w:p w14:paraId="77D76DD1" w14:textId="77777777" w:rsidR="0090606C" w:rsidRPr="00310E7A" w:rsidRDefault="00601604">
            <w:pPr>
              <w:jc w:val="left"/>
            </w:pPr>
            <w:r w:rsidRPr="00310E7A">
              <w:t>Stemuitslag</w:t>
            </w:r>
            <w:r w:rsidRPr="00310E7A">
              <w:br/>
              <w:t>(voor/tegen/onthoudingen)</w:t>
            </w:r>
          </w:p>
        </w:tc>
        <w:tc>
          <w:tcPr>
            <w:tcW w:w="6018" w:type="dxa"/>
            <w:vAlign w:val="bottom"/>
          </w:tcPr>
          <w:p w14:paraId="1E9CDBFF" w14:textId="77777777" w:rsidR="0090606C" w:rsidRPr="00310E7A" w:rsidRDefault="00601604">
            <w:pPr>
              <w:jc w:val="left"/>
            </w:pPr>
            <w:r w:rsidRPr="00310E7A">
              <w:t>…/…/…</w:t>
            </w:r>
          </w:p>
        </w:tc>
      </w:tr>
    </w:tbl>
    <w:p w14:paraId="47B2D8BE" w14:textId="77777777" w:rsidR="0090606C" w:rsidRPr="00310E7A" w:rsidRDefault="00601604">
      <w:pPr>
        <w:rPr>
          <w:sz w:val="16"/>
          <w:szCs w:val="16"/>
        </w:rPr>
      </w:pPr>
      <w:r w:rsidRPr="00310E7A">
        <w:br w:type="page"/>
      </w:r>
    </w:p>
    <w:p w14:paraId="3331BC2E" w14:textId="77777777" w:rsidR="0090606C" w:rsidRPr="00310E7A" w:rsidRDefault="00601604">
      <w:pPr>
        <w:pStyle w:val="Heading1"/>
      </w:pPr>
      <w:r w:rsidRPr="00310E7A">
        <w:rPr>
          <w:b/>
        </w:rPr>
        <w:lastRenderedPageBreak/>
        <w:t>AANBEVELINGEN</w:t>
      </w:r>
    </w:p>
    <w:p w14:paraId="160D0250" w14:textId="77777777" w:rsidR="0090606C" w:rsidRPr="00310E7A" w:rsidRDefault="0090606C">
      <w:pPr>
        <w:jc w:val="left"/>
      </w:pPr>
    </w:p>
    <w:p w14:paraId="0C1E6320" w14:textId="77777777" w:rsidR="0090606C" w:rsidRPr="00310E7A" w:rsidRDefault="00601604">
      <w:pPr>
        <w:jc w:val="left"/>
        <w:rPr>
          <w:i/>
          <w:iCs/>
        </w:rPr>
      </w:pPr>
      <w:r w:rsidRPr="00310E7A">
        <w:t>Het Europees Economisch en Sociaal Comité (EESC)</w:t>
      </w:r>
    </w:p>
    <w:p w14:paraId="04CD6E9D" w14:textId="77777777" w:rsidR="0090606C" w:rsidRPr="00310E7A" w:rsidRDefault="0090606C">
      <w:pPr>
        <w:ind w:left="142" w:hanging="142"/>
        <w:jc w:val="left"/>
      </w:pPr>
    </w:p>
    <w:p w14:paraId="5819220C" w14:textId="596D6B41" w:rsidR="0090606C" w:rsidRPr="00310E7A" w:rsidRDefault="00601604">
      <w:pPr>
        <w:pStyle w:val="Heading2"/>
      </w:pPr>
      <w:r w:rsidRPr="00310E7A">
        <w:t>is ingenomen</w:t>
      </w:r>
      <w:r w:rsidRPr="00310E7A">
        <w:rPr>
          <w:b/>
        </w:rPr>
        <w:t xml:space="preserve"> </w:t>
      </w:r>
      <w:r w:rsidRPr="00310E7A">
        <w:t>met de voorgestelde invoering van een Europees fonds voor concurrentievermogen (EFC) als onderdeel van het nieuwe meerjarig financieel kader (MFK). Mede dankzij de synergieën met andere fondsen zou het fonds fungeren als katalysator voor tal van andere doelstellingen van de EU. Het stelt voor om het EFC om te dopen tot het Fonds voor concurrentievermogen en veiligheid (veiligheid in de breedste zin van het woord), aangezien het voor een groot deel gewijd is aan veiligheid en er tal van raakvlakken zijn tussen concurrentievermogen en de verschillende aspecten van veiligheid.</w:t>
      </w:r>
    </w:p>
    <w:p w14:paraId="573C1C38" w14:textId="77777777" w:rsidR="0090606C" w:rsidRPr="00310E7A" w:rsidRDefault="0090606C">
      <w:pPr>
        <w:ind w:left="567" w:hanging="567"/>
      </w:pPr>
    </w:p>
    <w:p w14:paraId="381385D5" w14:textId="08A0C59F" w:rsidR="0090606C" w:rsidRPr="00310E7A" w:rsidRDefault="00601604">
      <w:pPr>
        <w:pStyle w:val="Heading2"/>
      </w:pPr>
      <w:r w:rsidRPr="00310E7A">
        <w:t>De resultaatgerichte en geïntegreerde aanpak waarbij verschillende bestaande programma’s worden gecombineerd tot vier beleidsterreinen die de belangrijkste gemeenschappelijke uitdagingen bestrijken verdient bijval, al moeten daarbij de onderlinge verbanden tussen de terreinen en hun onderlinge evenwicht wel goed worden onderkend om te kunnen reageren op de polycrisis, langetermijntransformaties en snel opkomende uitdagingen.</w:t>
      </w:r>
    </w:p>
    <w:p w14:paraId="60020F06" w14:textId="77777777" w:rsidR="0090606C" w:rsidRPr="00310E7A" w:rsidRDefault="0090606C">
      <w:pPr>
        <w:ind w:left="567" w:hanging="567"/>
      </w:pPr>
    </w:p>
    <w:p w14:paraId="4A07406E" w14:textId="7D954FF9" w:rsidR="0090606C" w:rsidRPr="00310E7A" w:rsidRDefault="00601604">
      <w:pPr>
        <w:pStyle w:val="Heading2"/>
      </w:pPr>
      <w:r w:rsidRPr="00310E7A">
        <w:t>De vast te stellen transparante algemene toekenningscriteria die voor alle terreinen moeten gelden en voortvloeien uit de algemene doelstellingen voor concurrentievermogen, met uitmuntendheid, toekomstgerichtheid en economisch potentieel als leidende criteria, zouden vergezeld moeten gaan van criteria die specifiek gelden voor elk afzonderlijk terrein, overeenkomstig de verwachte resultaten op het thematische gebied; daarbij dienen het EU-model voor de sociale markteconomie van de EU alsook algehele duurzaamheid in acht te worden genomen, met volledige naleving van de bestaande sociale en milieuwetgeving.</w:t>
      </w:r>
    </w:p>
    <w:p w14:paraId="0B1D573B" w14:textId="77777777" w:rsidR="0090606C" w:rsidRPr="00310E7A" w:rsidRDefault="0090606C"/>
    <w:p w14:paraId="73528FD4" w14:textId="0B13DBEF" w:rsidR="0090606C" w:rsidRPr="00310E7A" w:rsidRDefault="00601604">
      <w:pPr>
        <w:pStyle w:val="Heading2"/>
      </w:pPr>
      <w:r w:rsidRPr="00310E7A">
        <w:t>Het zou nuttig zijn om specifieke en gerichte financiering te verstrekken aan activiteiten en actoren die een cruciale rol spelen bij het verbeteren van het concurrentievermogen en de veerkracht, maar er zijn wel duidelijke selectiecriteria nodig om transparantie en gezonde concurrentie te waarborgen, en de markt mag niet mag worden verstoord door winnaars te kiezen onder technologieën, bedrijven en waardeketens, of door de verschillen tussen de lidstaten te vergroten. Er is passende steun geboden voor projecten van lokaal en regionaal belang, vooral om het hoofd te bieden aan de veiligheidsdreigingen waarmee de grenslanden van de EU worden geconfronteerd (de landen die op land en op zee grenzen aan Rusland en Wit-Rusland, alsook Griekenland en Cyprus).</w:t>
      </w:r>
      <w:r w:rsidRPr="00310E7A">
        <w:rPr>
          <w:i/>
        </w:rPr>
        <w:t xml:space="preserve"> </w:t>
      </w:r>
      <w:r w:rsidRPr="00310E7A">
        <w:t>Er is specifieke financiering nodig om watergerelateerde uitdagingen aan te pakken, zoals bepleit in de Blue Deal-verklaring van het EESC.</w:t>
      </w:r>
      <w:r w:rsidR="006F7338" w:rsidRPr="00310E7A">
        <w:rPr>
          <w:rStyle w:val="FootnoteReference"/>
          <w:iCs/>
        </w:rPr>
        <w:footnoteReference w:id="1"/>
      </w:r>
      <w:r w:rsidRPr="00310E7A">
        <w:t xml:space="preserve"> Strategische investeringen in waterweerbaarheid zullen leiden tot een betere paraatheid en een groter concurrentievermogen.</w:t>
      </w:r>
    </w:p>
    <w:p w14:paraId="4164A509" w14:textId="77777777" w:rsidR="0090606C" w:rsidRPr="00310E7A" w:rsidRDefault="0090606C"/>
    <w:p w14:paraId="4D1C2F33" w14:textId="5C6CB989" w:rsidR="0090606C" w:rsidRPr="00310E7A" w:rsidRDefault="00601604">
      <w:pPr>
        <w:pStyle w:val="Heading2"/>
      </w:pPr>
      <w:r w:rsidRPr="00310E7A">
        <w:t xml:space="preserve">Het is van cruciaal belang om op een geïntegreerde manier tegemoet te komen aan datgene waar in elk van de investeringsfasen behoefte aan bestaat — van onderzoek en innovatie tot de opschaling van bedrijven — met specifieke middelen voor investeringen in de kwalificaties en opleiding van werknemers en het bevorderen van fatsoenlijk werk. Het EESC pleit ervoor </w:t>
      </w:r>
      <w:r w:rsidRPr="00310E7A">
        <w:lastRenderedPageBreak/>
        <w:t>grensoverschrijdende innovatie en bedrijfsecosystemen te stimuleren en te streven naar gelijke toegang tot de interne markt en Europese waardeketens in de hele EU.</w:t>
      </w:r>
    </w:p>
    <w:p w14:paraId="5216B03C" w14:textId="77777777" w:rsidR="00B2203F" w:rsidRPr="00310E7A" w:rsidRDefault="00B2203F" w:rsidP="00FA5329"/>
    <w:p w14:paraId="652ECAAD" w14:textId="7BDF3CF8" w:rsidR="0090606C" w:rsidRPr="00310E7A" w:rsidRDefault="00601604">
      <w:pPr>
        <w:pStyle w:val="Heading2"/>
      </w:pPr>
      <w:r w:rsidRPr="00310E7A">
        <w:t>Het EESC steunt de doelstelling van het EFC om zijn impact te vergroten door investeringen van particuliere en institutionele investeerders aan te zwengelen en bij het gebruik van financieringsinstrumenten flexibeler te werk te gaan en meer middelen te bundelen, maar breekt ook een lans voor meer manieren om kapitaal te mobiliseren, (bijvoorbeeld via marktreferenda) waarbij ervoor moet worden gezorgd dat steunmaatregelen voorspelbaar en relevant zijn vanuit het oogpunt van de begunstigden.</w:t>
      </w:r>
    </w:p>
    <w:p w14:paraId="4F222E28" w14:textId="77777777" w:rsidR="0090606C" w:rsidRPr="00310E7A" w:rsidRDefault="0090606C">
      <w:pPr>
        <w:ind w:left="567" w:hanging="567"/>
      </w:pPr>
    </w:p>
    <w:p w14:paraId="6D51902B" w14:textId="77777777" w:rsidR="0090606C" w:rsidRPr="00310E7A" w:rsidRDefault="00601604">
      <w:pPr>
        <w:pStyle w:val="Heading2"/>
        <w:rPr>
          <w:b/>
          <w:bCs/>
        </w:rPr>
      </w:pPr>
      <w:r w:rsidRPr="00310E7A">
        <w:t>Het is een goede zaak dat de aandacht uitgaat naar de algemene financiële en adviesbehoeften van kmo's en kleine midcap-ondernemingen en voor de specifieke uitdagingen waarmee start-ups en scale-ups worden geconfronteerd bij het verkrijgen van toegang tot aandelenkapitaal en durfkapitaal, maar het EEC dringt wel aan op de oprichting van een netwerk van “financieringsombudsmannen” en een nauwkeurigere segmentering van kmo's om beter tegemoet te komen aan de behoeften van elk segment, in nauwe samenwerking met kmo-netwerken en -organisaties</w:t>
      </w:r>
      <w:r w:rsidRPr="00310E7A">
        <w:rPr>
          <w:rStyle w:val="FootnoteReference"/>
        </w:rPr>
        <w:footnoteReference w:id="2"/>
      </w:r>
      <w:r w:rsidRPr="00310E7A">
        <w:t>. Steunregelingen voor kmo's zouden op het niveau van de lidstaten moeten worden gestructureerd.</w:t>
      </w:r>
    </w:p>
    <w:p w14:paraId="6D14A114" w14:textId="77777777" w:rsidR="0090606C" w:rsidRPr="00310E7A" w:rsidRDefault="0090606C">
      <w:pPr>
        <w:ind w:left="567" w:hanging="567"/>
      </w:pPr>
    </w:p>
    <w:p w14:paraId="4B7465FD" w14:textId="77777777" w:rsidR="0090606C" w:rsidRPr="00310E7A" w:rsidRDefault="00601604">
      <w:pPr>
        <w:pStyle w:val="Heading2"/>
      </w:pPr>
      <w:r w:rsidRPr="00310E7A">
        <w:t>Alle begunstigden moeten in staat worden gesteld om op gelijke wijze te profiteren van vereenvoudigingen die in alle onderdelen van het EFC moeten worden ingebed, van de overkoepelende structuur tot werkprogramma’s en aanvraag- en gunningsprocedures, met een duidelijke koppeling tussen aanvraagformulieren en het beoordelingsschema en de score, ondersteund door solide digitale systemen en infrastructuur.</w:t>
      </w:r>
    </w:p>
    <w:p w14:paraId="4B798023" w14:textId="77777777" w:rsidR="0090606C" w:rsidRPr="00310E7A" w:rsidRDefault="0090606C"/>
    <w:p w14:paraId="0F35A7C5" w14:textId="49FC5642" w:rsidR="0090606C" w:rsidRPr="00310E7A" w:rsidRDefault="00601604">
      <w:pPr>
        <w:pStyle w:val="Heading2"/>
      </w:pPr>
      <w:r w:rsidRPr="00310E7A">
        <w:t xml:space="preserve">De tenuitvoerlegging van het EFC moet worden vergemakkelijkt door middel van communicatie en capaciteitsopbouw, samenwerking en gezamenlijke acties van sociale partners en een gestroomlijnd toezichtskader, met de nadruk op naleving van duurzaamheidsregels. Het EESC bepleit duidelijke definities van de belangrijkste concepten en expliciete en transparante beschrijvingen van de procedures en een gestroomlijnd monitoringkader, zodat zowel potentiële begunstigden als besluitvormers effectief kunnen opereren. </w:t>
      </w:r>
    </w:p>
    <w:p w14:paraId="6252222B" w14:textId="13E92091" w:rsidR="0090606C" w:rsidRPr="00310E7A" w:rsidRDefault="0090606C">
      <w:pPr>
        <w:pStyle w:val="Heading2"/>
        <w:numPr>
          <w:ilvl w:val="0"/>
          <w:numId w:val="0"/>
        </w:numPr>
      </w:pPr>
    </w:p>
    <w:p w14:paraId="03F5BF8A" w14:textId="70861058" w:rsidR="0090606C" w:rsidRPr="00310E7A" w:rsidRDefault="00601604">
      <w:pPr>
        <w:pStyle w:val="Heading2"/>
      </w:pPr>
      <w:r w:rsidRPr="00310E7A">
        <w:t>Het EECS dringt aan op een duidelijke governance en een adequate rol voor de sociale partners en andere actoren uit het maatschappelijk middenveld op EU-, nationaal, sectoraal en regionaal niveau bij de voorbereiding, uitvoering en monitoring van het EFC, en zou graag zien dat het EESC een passende plaats krijgt in de raad van strategische belanghebbenden.</w:t>
      </w:r>
    </w:p>
    <w:p w14:paraId="759D8678" w14:textId="77777777" w:rsidR="0090606C" w:rsidRPr="00310E7A" w:rsidRDefault="0090606C"/>
    <w:p w14:paraId="373CAD78" w14:textId="77777777" w:rsidR="0090606C" w:rsidRPr="00310E7A" w:rsidRDefault="00601604">
      <w:pPr>
        <w:pStyle w:val="Heading1"/>
        <w:keepNext/>
        <w:keepLines/>
        <w:rPr>
          <w:b/>
          <w:bCs/>
        </w:rPr>
      </w:pPr>
      <w:r w:rsidRPr="00310E7A">
        <w:rPr>
          <w:b/>
        </w:rPr>
        <w:lastRenderedPageBreak/>
        <w:t>TOELICHTING</w:t>
      </w:r>
    </w:p>
    <w:p w14:paraId="2DD7A272" w14:textId="77777777" w:rsidR="0090606C" w:rsidRPr="00310E7A" w:rsidRDefault="0090606C">
      <w:pPr>
        <w:keepNext/>
        <w:keepLines/>
      </w:pPr>
    </w:p>
    <w:p w14:paraId="447FBEB0" w14:textId="77777777" w:rsidR="0090606C" w:rsidRPr="00310E7A" w:rsidRDefault="00601604">
      <w:pPr>
        <w:keepNext/>
        <w:keepLines/>
        <w:ind w:left="720" w:hanging="153"/>
        <w:rPr>
          <w:i/>
          <w:iCs/>
        </w:rPr>
      </w:pPr>
      <w:r w:rsidRPr="00310E7A">
        <w:rPr>
          <w:i/>
        </w:rPr>
        <w:t>Horizontale argumenten</w:t>
      </w:r>
    </w:p>
    <w:p w14:paraId="73C34684" w14:textId="77777777" w:rsidR="0090606C" w:rsidRPr="00310E7A" w:rsidRDefault="0090606C" w:rsidP="00FA5329">
      <w:pPr>
        <w:keepNext/>
        <w:keepLines/>
      </w:pPr>
    </w:p>
    <w:p w14:paraId="25753B54" w14:textId="71930BC0" w:rsidR="0090606C" w:rsidRPr="00310E7A" w:rsidRDefault="00601604">
      <w:pPr>
        <w:pStyle w:val="Heading2"/>
      </w:pPr>
      <w:r w:rsidRPr="00310E7A">
        <w:t>De overkoepelende aanpak van het EFC — naar welvaart streven door versterking van het concurrentievermogen, succesvolle en duurzame bedrijven en een sterke en veerkrachtige economie— is zeer lovenswaardig, aangezien ermee kan worden ingespeeld op gemeenschappelijke uitdagingen van de EU. De financiering wordt zo terecht gericht op het verbeteren van innovatie, vaardigheden, technologische capaciteit en algehele productiviteit, alsook op toegang tot middelen, marktintroductie en opschaling, maar moet ook gebruikt worden voor waardeketens voor schone technologie waarmee de EU comparatieve voordelen kan behalen. In dit verband is er dringend behoefte aan gerichte financiering om de veerkracht te vergroten, de voorzieningszekerheid te waarborgen en de externe afhankelijkheid van kritieke grondstoffen af te bouwen, die van essentieel belang zijn voor de industriële en economische veiligheid van Europa. Deze focus moet strikt en consequent worden gehandhaafd bij de toewijzing van middelen in het kader van het EFC. Bovendien moet het EFC geflankeerd worden door particuliere financiering en een algemeen bedrijfsklimaat dat innovatie, investeringen en handel stimuleert.</w:t>
      </w:r>
    </w:p>
    <w:p w14:paraId="1D71C548" w14:textId="77777777" w:rsidR="0090606C" w:rsidRPr="00310E7A" w:rsidRDefault="0090606C">
      <w:pPr>
        <w:ind w:left="567" w:hanging="567"/>
      </w:pPr>
    </w:p>
    <w:p w14:paraId="30AA24BD" w14:textId="02D4B18E" w:rsidR="0090606C" w:rsidRPr="00310E7A" w:rsidRDefault="00601604">
      <w:pPr>
        <w:pStyle w:val="Heading2"/>
      </w:pPr>
      <w:r w:rsidRPr="00310E7A">
        <w:t>Het concurrentievermogen moet op duurzame wijze worden ontwikkeld, d.w.z. met een combinatie van economische, sociale en milieuaspecten. In het rapport-Letta staat terecht dat de doeltreffendheid en acceptatie van staatssteuninstrumenten afhankelijk is van de vraag of de overheidsmiddelen strategisch worden ingezet om gemeenschappelijke beleidsdoelstellingen te verwezenlijken.</w:t>
      </w:r>
    </w:p>
    <w:p w14:paraId="0A502860" w14:textId="3136C3FB" w:rsidR="0090606C" w:rsidRPr="00310E7A" w:rsidRDefault="0090606C">
      <w:pPr>
        <w:pStyle w:val="Heading2"/>
        <w:numPr>
          <w:ilvl w:val="0"/>
          <w:numId w:val="0"/>
        </w:numPr>
      </w:pPr>
    </w:p>
    <w:p w14:paraId="4029A9D1" w14:textId="173CE704" w:rsidR="0090606C" w:rsidRPr="00310E7A" w:rsidRDefault="00601604">
      <w:pPr>
        <w:pStyle w:val="Heading2"/>
      </w:pPr>
      <w:r w:rsidRPr="00310E7A">
        <w:t>Aangezien de interne markt de basis vormt voor het concurrentievermogen en de economische veiligheid van de EU, en aangezien het EFC een steuninstrument van de volgende generatie is dat een soepele en operationele interne markt moet opleveren, is het om een soepele inzet van het fonds mogelijk te maken zaak om onnodige marktbelemmeringen die nog altijd bestaan in kaart te brengen en te slechten, een proces waarbij ook de sociale partners</w:t>
      </w:r>
      <w:r w:rsidRPr="00310E7A">
        <w:rPr>
          <w:rStyle w:val="FootnoteReference"/>
          <w:szCs w:val="24"/>
        </w:rPr>
        <w:footnoteReference w:id="3"/>
      </w:r>
      <w:r w:rsidRPr="00310E7A">
        <w:t xml:space="preserve"> moeten worden betrokken. </w:t>
      </w:r>
    </w:p>
    <w:p w14:paraId="19648095" w14:textId="77777777" w:rsidR="0090606C" w:rsidRPr="00310E7A" w:rsidRDefault="0090606C">
      <w:pPr>
        <w:ind w:left="567" w:hanging="567"/>
      </w:pPr>
    </w:p>
    <w:p w14:paraId="3FA59CCF" w14:textId="214D19FB" w:rsidR="0090606C" w:rsidRPr="00310E7A" w:rsidRDefault="00601604">
      <w:pPr>
        <w:pStyle w:val="Heading2"/>
      </w:pPr>
      <w:r w:rsidRPr="00310E7A">
        <w:t>Samenwerking met buitenlandse partners is een bestanddeel van zowel economische als algemene veiligheid. Om de belangen van de EU te beschermen moet echter grote voorzichtigheid worden betracht bij de openstelling van de EFC-faciliteit voor ondernemingen en investeringsprojecten van derde landen — deze toegang dient strikt verankerd te zijn in partnerschapsovereenkomsten en moet stroken met hun bijdragen. Om dezelfde reden is het een goede zaak dat begunstigden zich niet naar het buitenland mogen verplaatsen (artikel 10, EU-preferentie). Bovendien mag het EFC niet worden gebruikt om protectionistische maatregelen van andere economieën te financieren.</w:t>
      </w:r>
      <w:r w:rsidRPr="00310E7A">
        <w:rPr>
          <w:rStyle w:val="FootnoteReference"/>
        </w:rPr>
        <w:footnoteReference w:id="4"/>
      </w:r>
      <w:r w:rsidRPr="00310E7A">
        <w:t xml:space="preserve"> </w:t>
      </w:r>
    </w:p>
    <w:p w14:paraId="4F7D9261" w14:textId="77777777" w:rsidR="0090606C" w:rsidRPr="00310E7A" w:rsidRDefault="0090606C">
      <w:pPr>
        <w:ind w:left="567" w:hanging="567"/>
      </w:pPr>
    </w:p>
    <w:p w14:paraId="1F6583A2" w14:textId="77777777" w:rsidR="0090606C" w:rsidRPr="00310E7A" w:rsidRDefault="00601604">
      <w:pPr>
        <w:keepNext/>
        <w:keepLines/>
        <w:ind w:left="567"/>
        <w:rPr>
          <w:i/>
          <w:iCs/>
        </w:rPr>
      </w:pPr>
      <w:r w:rsidRPr="00310E7A">
        <w:rPr>
          <w:i/>
        </w:rPr>
        <w:lastRenderedPageBreak/>
        <w:t>Argumenten voor 1.1 (Fonds)</w:t>
      </w:r>
    </w:p>
    <w:p w14:paraId="1477A303" w14:textId="77777777" w:rsidR="0090606C" w:rsidRPr="00310E7A" w:rsidRDefault="0090606C">
      <w:pPr>
        <w:keepNext/>
        <w:keepLines/>
      </w:pPr>
    </w:p>
    <w:p w14:paraId="4CB576AB" w14:textId="11AC3A3F" w:rsidR="0090606C" w:rsidRPr="00310E7A" w:rsidRDefault="00601604">
      <w:pPr>
        <w:pStyle w:val="Heading2"/>
      </w:pPr>
      <w:r w:rsidRPr="00310E7A">
        <w:t>De voorgestelde oprichting van het EFC ter versterking van het concurrentievermogen is een goede zaak, aangezien concurrentievermogen bijdraagt aan de verwezenlijking van tal van andere doelstellingen, zoals het scheppen van hoogwaardige banen, de verlening van diensten van algemeen belang (met name duurzame en betaalbare energie, water en huisvesting) en opwaartse convergentie en cohesie, alsook algemene duurzame groei in de hele EU. De centrale rol van het EFC moet dan ook worden onderkend bij de toewijzing van MFK-middelen.</w:t>
      </w:r>
    </w:p>
    <w:p w14:paraId="68964A05" w14:textId="77777777" w:rsidR="0090606C" w:rsidRPr="00310E7A" w:rsidRDefault="0090606C">
      <w:pPr>
        <w:pStyle w:val="Heading2"/>
        <w:numPr>
          <w:ilvl w:val="0"/>
          <w:numId w:val="0"/>
        </w:numPr>
      </w:pPr>
    </w:p>
    <w:p w14:paraId="42314B5C" w14:textId="1D093825" w:rsidR="0090606C" w:rsidRPr="00310E7A" w:rsidRDefault="00601604">
      <w:pPr>
        <w:pStyle w:val="Heading2"/>
      </w:pPr>
      <w:r w:rsidRPr="00310E7A">
        <w:t>De EFC-middelen zouden ongeveer een vijfde van de totale MFK-begroting bedragen en ongeveer de helft van het nieuwe nationale en regionale partnerschapsfonds voor cohesie en landbouw.</w:t>
      </w:r>
      <w:r w:rsidRPr="00310E7A">
        <w:rPr>
          <w:rStyle w:val="FootnoteReference"/>
        </w:rPr>
        <w:footnoteReference w:id="5"/>
      </w:r>
      <w:r w:rsidRPr="00310E7A">
        <w:t xml:space="preserve"> Bovendien zou een aanzienlijk deel van het EFC naar veiligheid moeten gaan, wat een goede reden zou zijn om het een fonds voor concurrentievermogen en veiligheid te noemen. Alomvattende veiligheid omvat verschillende dimensies, waaronder niet alleen defensiecapaciteit, maar ook civiele, industriële en maatschappelijke paraatheid, de vele facetten van economische veiligheid en sociale, gezondheids-, voedsel- en milieuzekerheid.</w:t>
      </w:r>
    </w:p>
    <w:p w14:paraId="7824DDB0" w14:textId="77777777" w:rsidR="0090606C" w:rsidRPr="00310E7A" w:rsidRDefault="0090606C"/>
    <w:p w14:paraId="39599DE7" w14:textId="2E580840" w:rsidR="0090606C" w:rsidRPr="00310E7A" w:rsidRDefault="00601604">
      <w:pPr>
        <w:pStyle w:val="Heading2"/>
      </w:pPr>
      <w:r w:rsidRPr="00310E7A">
        <w:t>Het is ook belangrijk om de beleidscoherentie te vergroten en synergieën tussen verschillende fondsen te stimuleren. Nationale en regionale infrastructuurpartnerschappen en internationale economische partnerschappen zijn bijvoorbeeld van cruciaal belang voor zowel het concurrentievermogen als de veiligheid. Het door het EESC voorgestelde transitiefonds voor de Blue Deal</w:t>
      </w:r>
      <w:r w:rsidR="00D568A2" w:rsidRPr="00310E7A">
        <w:rPr>
          <w:rStyle w:val="FootnoteReference"/>
          <w:iCs/>
        </w:rPr>
        <w:footnoteReference w:id="6"/>
      </w:r>
      <w:r w:rsidRPr="00310E7A">
        <w:t xml:space="preserve"> zou deze doelstelling kunnen helpen verwezenlijken omdat het één thematisch toegangspunt biedt voor verschillende soorten financiering ten behoeve van een waterweerbare economie. Het heeft betrekking op vaardigheden, onderzoek en de invoering van waterefficiënte technologieën om de waterzekerheid en het concurrentievermogen van Europa te vergroten. Dit zou bijdragen tot de ontwikkeling van een economie die slim omspringt met water in heel Europa, waar duurzaam watergebruik, innovatie en investeringen de basis vormen voor industriële slagkracht, milieubescherming en sociaal welzijn.</w:t>
      </w:r>
    </w:p>
    <w:p w14:paraId="3E0B6F39" w14:textId="77777777" w:rsidR="0090606C" w:rsidRPr="00310E7A" w:rsidRDefault="0090606C"/>
    <w:p w14:paraId="57B6C269" w14:textId="77777777" w:rsidR="0090606C" w:rsidRPr="00310E7A" w:rsidRDefault="00601604">
      <w:pPr>
        <w:keepNext/>
        <w:keepLines/>
        <w:ind w:left="567"/>
        <w:rPr>
          <w:i/>
          <w:iCs/>
        </w:rPr>
      </w:pPr>
      <w:r w:rsidRPr="00310E7A">
        <w:rPr>
          <w:i/>
        </w:rPr>
        <w:t>Argumenten voor 1.2 (beleidsterreinen)</w:t>
      </w:r>
    </w:p>
    <w:p w14:paraId="194D14C8" w14:textId="77777777" w:rsidR="0090606C" w:rsidRPr="00310E7A" w:rsidRDefault="0090606C">
      <w:pPr>
        <w:keepNext/>
      </w:pPr>
    </w:p>
    <w:p w14:paraId="3D22FFF1" w14:textId="77777777" w:rsidR="0090606C" w:rsidRPr="00310E7A" w:rsidRDefault="00601604">
      <w:pPr>
        <w:pStyle w:val="Heading2"/>
      </w:pPr>
      <w:r w:rsidRPr="00310E7A">
        <w:t>De voorgestelde resultaatgerichte en geïntegreerde opzet, in combinatie met vereenvoudiging, helpt om versnippering tegen te gaan en de doeltreffendheid te verbeteren. De vier aandachtsgebieden, of “terreinen”, die een aantal van de huidige programma’s combineren, zijn goed gestructureerd en richten zich op actuele gemeenschappelijke uitdagingen, van de schone en digitale transitie en de gezondheids- en bio-economie tot ruimte- en defensiekwesties.</w:t>
      </w:r>
    </w:p>
    <w:p w14:paraId="02C19EBD" w14:textId="77777777" w:rsidR="0090606C" w:rsidRPr="00310E7A" w:rsidRDefault="0090606C">
      <w:pPr>
        <w:ind w:left="567" w:hanging="567"/>
      </w:pPr>
    </w:p>
    <w:p w14:paraId="58F3787F" w14:textId="0D70FBF8" w:rsidR="0090606C" w:rsidRPr="00012722" w:rsidRDefault="00601604">
      <w:pPr>
        <w:pStyle w:val="Heading2"/>
        <w:rPr>
          <w:spacing w:val="-4"/>
        </w:rPr>
      </w:pPr>
      <w:r w:rsidRPr="00012722">
        <w:rPr>
          <w:spacing w:val="-4"/>
        </w:rPr>
        <w:t xml:space="preserve">De terreinen zelf lijken echter vooral los van elkaar te worden beschouwd, met gedetailleerde beschrijvingen van de activiteiten die voor elk afzonderlijk terrein moeten worden ondersteund, waardoor bijvoorbeeld aan het oog kan worden onttrokken welk potentieel diepe technologieën en infrastructuur, technologieën en producten voor tweeërlei gebruik voor de hele economie herbergen. Er is een geïntegreerde aanpak nodig om ervoor te zorgen dat de focus behouden blijft en dat </w:t>
      </w:r>
      <w:r w:rsidRPr="00012722">
        <w:rPr>
          <w:spacing w:val="-4"/>
        </w:rPr>
        <w:lastRenderedPageBreak/>
        <w:t>begunstigden kunnen rekenen op voorspelbaarheid, zodat kan worden gereageerd op de polycrisis, transformerende uitdagingen op lange termijn en snel veranderende situaties en behoeften.</w:t>
      </w:r>
    </w:p>
    <w:p w14:paraId="0F62970E" w14:textId="77777777" w:rsidR="0090606C" w:rsidRPr="00310E7A" w:rsidRDefault="0090606C" w:rsidP="00012722">
      <w:pPr>
        <w:spacing w:line="240" w:lineRule="auto"/>
        <w:ind w:left="567" w:hanging="567"/>
      </w:pPr>
    </w:p>
    <w:p w14:paraId="5449A251" w14:textId="77777777" w:rsidR="0090606C" w:rsidRPr="00310E7A" w:rsidRDefault="00601604" w:rsidP="00012722">
      <w:pPr>
        <w:keepNext/>
        <w:keepLines/>
        <w:spacing w:line="240" w:lineRule="auto"/>
        <w:ind w:left="567"/>
        <w:rPr>
          <w:i/>
          <w:iCs/>
        </w:rPr>
      </w:pPr>
      <w:r w:rsidRPr="00310E7A">
        <w:rPr>
          <w:i/>
        </w:rPr>
        <w:t>Argumenten voor 1.3 (toekenningscriteria)</w:t>
      </w:r>
    </w:p>
    <w:p w14:paraId="27E4DA0A" w14:textId="77777777" w:rsidR="0090606C" w:rsidRPr="00310E7A" w:rsidRDefault="0090606C">
      <w:pPr>
        <w:keepNext/>
      </w:pPr>
    </w:p>
    <w:p w14:paraId="118D7898" w14:textId="18183EA0" w:rsidR="0090606C" w:rsidRPr="00310E7A" w:rsidRDefault="00601604">
      <w:pPr>
        <w:pStyle w:val="Heading2"/>
      </w:pPr>
      <w:r w:rsidRPr="00310E7A">
        <w:t>Hoewel in het EFC-voorstel her en der sporadisch wordt gerept van toekenningscriteria, moeten er omwille van de samenhang tussen de verschillende financieringsbesluiten ook gemeenschappelijke criteria worden vastgesteld voor de toewijzing van financiering op alle thematische gebieden. Gemeenschappelijke toekenningscriteria zouden moeten voortvloeien uit de doelstelling van het EFC om het concurrentievermogen te versterken, dus met uitmuntendheid, toekomstgerichtheid en economisch potentieel als leidende criteria, terwijl de specifieke criteria voor elk afzonderlijk terrein betrekking zouden moeten hebben op het nagestreefde resultaat in het thematische gebied van dat terrein. Tegelijkertijd moet het uiteindelijke doel van het concurrentievermogen, namelijk verbetering van de levenskwaliteit, volledig worden geëerbiedigd.</w:t>
      </w:r>
    </w:p>
    <w:p w14:paraId="7B581337" w14:textId="77777777" w:rsidR="0090606C" w:rsidRPr="00310E7A" w:rsidRDefault="0090606C">
      <w:pPr>
        <w:pStyle w:val="Heading2"/>
        <w:numPr>
          <w:ilvl w:val="0"/>
          <w:numId w:val="0"/>
        </w:numPr>
        <w:ind w:left="567"/>
      </w:pPr>
    </w:p>
    <w:p w14:paraId="7CE6276D" w14:textId="77777777" w:rsidR="0090606C" w:rsidRPr="00310E7A" w:rsidRDefault="00601604">
      <w:pPr>
        <w:pStyle w:val="Heading2"/>
      </w:pPr>
      <w:r w:rsidRPr="00310E7A">
        <w:t>Het voorstel zou ook vergezeld moeten gaan van methodologische richtsnoeren voor de manier waarop de bijdrage aan het algemene concurrentievermogen van de EU moet worden ingeschat. Samen met welomschreven beoordelings- en scoringmethoden zijn duidelijke en relevante toekenningscriteria van cruciaal belang voor voorspelbaarheid en transparantie, die op hun beurt essentieel zijn voor potentiële begunstigden.</w:t>
      </w:r>
    </w:p>
    <w:p w14:paraId="248389F1" w14:textId="77777777" w:rsidR="0090606C" w:rsidRPr="00310E7A" w:rsidRDefault="0090606C" w:rsidP="00012722">
      <w:pPr>
        <w:spacing w:line="240" w:lineRule="auto"/>
      </w:pPr>
    </w:p>
    <w:p w14:paraId="654FBA71" w14:textId="77777777" w:rsidR="0090606C" w:rsidRPr="00310E7A" w:rsidRDefault="00601604" w:rsidP="00012722">
      <w:pPr>
        <w:keepNext/>
        <w:keepLines/>
        <w:spacing w:line="240" w:lineRule="auto"/>
        <w:ind w:left="567"/>
        <w:rPr>
          <w:i/>
          <w:iCs/>
        </w:rPr>
      </w:pPr>
      <w:r w:rsidRPr="00310E7A">
        <w:rPr>
          <w:i/>
        </w:rPr>
        <w:t xml:space="preserve">Argumenten voor 1.4 (specifieke doelgerichtheid) </w:t>
      </w:r>
    </w:p>
    <w:p w14:paraId="3EB05D5D" w14:textId="77777777" w:rsidR="0090606C" w:rsidRPr="00310E7A" w:rsidRDefault="0090606C">
      <w:pPr>
        <w:keepNext/>
        <w:keepLines/>
        <w:ind w:left="567"/>
        <w:rPr>
          <w:i/>
          <w:iCs/>
        </w:rPr>
      </w:pPr>
    </w:p>
    <w:p w14:paraId="0EFA8A3C" w14:textId="77777777" w:rsidR="0090606C" w:rsidRPr="00310E7A" w:rsidRDefault="00601604">
      <w:pPr>
        <w:pStyle w:val="Heading2"/>
      </w:pPr>
      <w:r w:rsidRPr="00310E7A">
        <w:t>Niet alleen schort het aan algemene toekenningsscriteria, het voorstel bevat ook diverse voor meerdere uitleg vatbare karakteriseringen van specifieke steundoelstellingen. Het ontbreken van duidelijke criteria open de deur voor willekeurige beslissingen en maakt het gemakkelijker om door middel van lobbyen voordelen te behalen. Anderzijds is het zaak te voorkomen dat “winnaars worden uitgekozen” en dat bedrijven en sectoren zodanig worden geclassificeerd dat de mededinging en de werking van de markt erdoor verstoord raken. Een leidend beginsel voor het EFC moet daarom zijn dat wordt gestreefd naar een gelijk speelveld in de hele EU en voor economische actoren.</w:t>
      </w:r>
    </w:p>
    <w:p w14:paraId="3C95E448" w14:textId="77777777" w:rsidR="0090606C" w:rsidRPr="00310E7A" w:rsidRDefault="0090606C" w:rsidP="00012722">
      <w:pPr>
        <w:spacing w:line="240" w:lineRule="auto"/>
        <w:ind w:left="567" w:hanging="567"/>
      </w:pPr>
    </w:p>
    <w:p w14:paraId="5D6378BE" w14:textId="77777777" w:rsidR="0090606C" w:rsidRPr="00310E7A" w:rsidRDefault="00601604">
      <w:pPr>
        <w:pStyle w:val="Heading2"/>
      </w:pPr>
      <w:r w:rsidRPr="00310E7A">
        <w:t>Hoewel de voorstellen voor de opbouw van waardeketens in de eengemaakte markt (artikel 16) en voor technologiekoplopers in de EU (artikel 17) een goede zaak zijn, is het onduidelijk hoe deze geselecteerd moeten worden en hoe de staatssteunregels op hun financiering zouden moeten worden toegepast. Ook de procedure voor de selectie van ondersteunende acties voor het opvoeren van de productie (artikel 18) is onduidelijk, evenals de manier waarop ervoor moet worden gezorgd dat alle lidstaten hierbij gelijke kansen hebben. Bovendien kan het mechanisme voor versnelde en gerichte acties op het gebied van concurrentievermogen (artikel 20) leiden tot bevooroordeelde en risicovolle besluiten wanneer er geen duidelijke beoordelingsmethode is.</w:t>
      </w:r>
    </w:p>
    <w:p w14:paraId="4C1C0204" w14:textId="77777777" w:rsidR="0090606C" w:rsidRPr="00310E7A" w:rsidRDefault="0090606C" w:rsidP="00012722">
      <w:pPr>
        <w:spacing w:line="240" w:lineRule="auto"/>
        <w:ind w:left="567" w:hanging="567"/>
      </w:pPr>
    </w:p>
    <w:p w14:paraId="698629FE" w14:textId="77777777" w:rsidR="0090606C" w:rsidRPr="00310E7A" w:rsidRDefault="00601604">
      <w:pPr>
        <w:pStyle w:val="Heading2"/>
      </w:pPr>
      <w:r w:rsidRPr="00310E7A">
        <w:t>De aanvullingen voor belangrijke projecten van gemeenschappelijk Europees belang (artikel 19) kunnen ervoor zorgen dat de lidstaten gelijke kansen hebben om deel te nemen en dat samenwerking en synergie tussen hen wordt bevorderd,</w:t>
      </w:r>
      <w:r w:rsidRPr="00310E7A">
        <w:rPr>
          <w:rStyle w:val="FootnoteReference"/>
          <w:szCs w:val="24"/>
        </w:rPr>
        <w:footnoteReference w:id="7"/>
      </w:r>
      <w:r w:rsidRPr="00310E7A">
        <w:t xml:space="preserve"> zodat bepaalde lidstaten niet worden </w:t>
      </w:r>
      <w:r w:rsidRPr="00310E7A">
        <w:lastRenderedPageBreak/>
        <w:t>benadeeld, zoals bij sommige lopende EU-programma’s wel het geval is</w:t>
      </w:r>
      <w:r w:rsidRPr="00310E7A">
        <w:rPr>
          <w:rStyle w:val="FootnoteReference"/>
        </w:rPr>
        <w:footnoteReference w:id="8"/>
      </w:r>
      <w:r w:rsidRPr="00310E7A">
        <w:t>. Zij kunnen worden gecombineerd met een marktreferendumvereiste, waarbij op een aanvrager die in aanmerking wil komen voor aanvulling door de EU de verplichting rust om op financiële/kapitaalmarkten een bepaalde hoeveelheid particuliere financiering te mobiliseren.</w:t>
      </w:r>
    </w:p>
    <w:p w14:paraId="5B05ED9B" w14:textId="77777777" w:rsidR="0090606C" w:rsidRPr="00310E7A" w:rsidRDefault="0090606C"/>
    <w:p w14:paraId="0D794893" w14:textId="36FA4DD3" w:rsidR="0090606C" w:rsidRPr="00310E7A" w:rsidRDefault="00601604">
      <w:pPr>
        <w:pStyle w:val="Heading2"/>
      </w:pPr>
      <w:r w:rsidRPr="00310E7A">
        <w:t>Het is van essentieel belang om rekening te houden met regionale verschillen en convergentie te bevorderen door projecten van lokaal en regionaal belang, en dus niet alleen grote en gecentraliseerde initiatieven, te ondersteunen. Aanvullende financiering moet specifiek worden bestemd voor de grenslanden van de EU die met militaire en niet-militaire dreigingen worden geconfronteerd, zodat zij hun weerbaarheid op economisch, sociaal en veiligheidsgebied kunnen versterken.</w:t>
      </w:r>
    </w:p>
    <w:p w14:paraId="00E1ED26" w14:textId="77777777" w:rsidR="0090606C" w:rsidRPr="00310E7A" w:rsidRDefault="0090606C"/>
    <w:p w14:paraId="23206951" w14:textId="7B4A85E2" w:rsidR="0090606C" w:rsidRPr="00310E7A" w:rsidRDefault="00601604">
      <w:pPr>
        <w:pStyle w:val="Heading2"/>
      </w:pPr>
      <w:r w:rsidRPr="00310E7A">
        <w:t>Wat de deelname van derden en derde landen betreft is er absoluut behoefte aan consensus over de selectiecriteria en aan een gemeenschappelijk risicobeoordelingsmechanisme om fouten en verliezen te voorkomen en de bevordering van het Europese concurrentievermogen duidelijk voor ogen te houden.</w:t>
      </w:r>
    </w:p>
    <w:p w14:paraId="74FF2B2E" w14:textId="071CBCDA" w:rsidR="00A27CE3" w:rsidRPr="00310E7A" w:rsidRDefault="00A27CE3"/>
    <w:p w14:paraId="132945C5" w14:textId="77777777" w:rsidR="00A27CE3" w:rsidRPr="00310E7A" w:rsidRDefault="00A27CE3" w:rsidP="00A27CE3">
      <w:pPr>
        <w:pStyle w:val="Heading2"/>
        <w:rPr>
          <w:iCs/>
        </w:rPr>
      </w:pPr>
      <w:r w:rsidRPr="00310E7A">
        <w:t>Het EESC roept nogmaals op tot maatregelen om in het kader van de Blue Deal de waterweerbaarheid te vergroten — als belangrijke faciliterende hulpbron voor het concurrentievermogen — en beschouwt water als een strategische financieringsprioriteit</w:t>
      </w:r>
      <w:r w:rsidRPr="00310E7A">
        <w:rPr>
          <w:rStyle w:val="FootnoteReference"/>
          <w:iCs/>
        </w:rPr>
        <w:footnoteReference w:id="9"/>
      </w:r>
      <w:r w:rsidRPr="00310E7A">
        <w:t>, wat tot uiting moet komen in het Fonds voor concurrentievermogen.</w:t>
      </w:r>
    </w:p>
    <w:p w14:paraId="2D74FD1A" w14:textId="77777777" w:rsidR="0090606C" w:rsidRPr="00310E7A" w:rsidRDefault="0090606C">
      <w:pPr>
        <w:ind w:left="567"/>
      </w:pPr>
    </w:p>
    <w:p w14:paraId="7C1E9C84" w14:textId="77777777" w:rsidR="0090606C" w:rsidRPr="00310E7A" w:rsidRDefault="00601604">
      <w:pPr>
        <w:keepNext/>
        <w:keepLines/>
        <w:ind w:left="567"/>
        <w:rPr>
          <w:i/>
          <w:iCs/>
        </w:rPr>
      </w:pPr>
      <w:r w:rsidRPr="00310E7A">
        <w:rPr>
          <w:i/>
        </w:rPr>
        <w:t>Argumenten voor 1.5 (investeringsfasen)</w:t>
      </w:r>
    </w:p>
    <w:p w14:paraId="3D677E7F" w14:textId="77777777" w:rsidR="0090606C" w:rsidRPr="00310E7A" w:rsidRDefault="0090606C">
      <w:pPr>
        <w:keepNext/>
      </w:pPr>
    </w:p>
    <w:p w14:paraId="466CA26E" w14:textId="77777777" w:rsidR="0090606C" w:rsidRPr="00310E7A" w:rsidRDefault="00601604">
      <w:pPr>
        <w:pStyle w:val="Heading2"/>
      </w:pPr>
      <w:r w:rsidRPr="00012722">
        <w:rPr>
          <w:spacing w:val="-2"/>
        </w:rPr>
        <w:t>Aangezien “[h]et investeringstraject [...] niet lineair [is], want alle fasen beïnvloeden elkaar”</w:t>
      </w:r>
      <w:r w:rsidRPr="00012722">
        <w:rPr>
          <w:spacing w:val="-2"/>
          <w:sz w:val="24"/>
          <w:szCs w:val="24"/>
          <w:vertAlign w:val="superscript"/>
        </w:rPr>
        <w:footnoteReference w:id="10"/>
      </w:r>
      <w:r w:rsidRPr="00012722">
        <w:rPr>
          <w:spacing w:val="-2"/>
        </w:rPr>
        <w:t>, is een geïntegreerde aanpak geboden waarbij rekening wordt gehouden met datgene waar in alle investeringsfasen, van onderzoek en innovatie tot grootschalige activiteiten, behoefte aan bestaat. Er moet speciale aandacht worden besteed aan de “tussenliggende” fasen, zoals de aanleg van technologie-infrastructuur om gemakkelijker nieuwe technologieën te kunnen testen en, in een later stadium, het mobiliseren van kapitaal om opschaling van bedrijven mogelijk te maken</w:t>
      </w:r>
      <w:r w:rsidRPr="00310E7A">
        <w:t>.</w:t>
      </w:r>
    </w:p>
    <w:p w14:paraId="50A03D10" w14:textId="77777777" w:rsidR="0090606C" w:rsidRPr="00310E7A" w:rsidRDefault="0090606C"/>
    <w:p w14:paraId="2E536641" w14:textId="4237FF58" w:rsidR="0090606C" w:rsidRPr="00310E7A" w:rsidRDefault="00601604">
      <w:pPr>
        <w:pStyle w:val="Heading2"/>
      </w:pPr>
      <w:r w:rsidRPr="00310E7A">
        <w:t>Investeringen in de ontwikkeling van vaardigheden en competenties — van de bevordering van toptalent tot specifieke steun voor de bij- en omscholing van werknemers en de bevordering van beroepsonderwijs en -opleiding en een leven lang leren — moeten daarop worden afgestemd. Daarbij moet niet alleen rekening worden gehouden met de huidige, maar ook met de toekomstige behoeften van de arbeidsmarkt. Dat is van cruciaal belang om in te spelen op de veranderende behoeften van de arbeidsmarkten en om met ingrijpende veranderingen om te gaan. Een geoormerkt bedrag aan EFC-financiering moet worden toegewezen aan sociale investeringen zoals omscholing en bijscholing van werknemers en de aanpassing van hun vaardigheden, waarbij de voorwaarde wel is dat deze instrumenten gezamenlijk door de sociale partners worden beheerd.</w:t>
      </w:r>
    </w:p>
    <w:p w14:paraId="13ABB860" w14:textId="77777777" w:rsidR="0090606C" w:rsidRPr="00310E7A" w:rsidRDefault="00601604">
      <w:pPr>
        <w:pStyle w:val="Heading2"/>
      </w:pPr>
      <w:r w:rsidRPr="00310E7A">
        <w:lastRenderedPageBreak/>
        <w:t xml:space="preserve">De speciale aandacht voor de “samenwerking tussen kleine en grote ondernemingen, </w:t>
      </w:r>
      <w:r w:rsidRPr="00310E7A">
        <w:rPr>
          <w:spacing w:val="-2"/>
        </w:rPr>
        <w:t>academische onderzoeksinstellingen [en] infrastructuuraanbieders”</w:t>
      </w:r>
      <w:r w:rsidRPr="00310E7A">
        <w:rPr>
          <w:spacing w:val="-2"/>
          <w:sz w:val="24"/>
          <w:szCs w:val="24"/>
          <w:vertAlign w:val="superscript"/>
        </w:rPr>
        <w:footnoteReference w:id="11"/>
      </w:r>
      <w:r w:rsidRPr="00310E7A">
        <w:rPr>
          <w:spacing w:val="-2"/>
        </w:rPr>
        <w:t xml:space="preserve"> is een goede zaak. Om het potentieel van de EU ten volle te benutten moet het EFC een stimulerend effect hebben op de oprichting van grensoverschrijdende innovatiepartnerschappen en Europese bedrijfsecosystemen en waardeketens waarvan op verschillende locaties gevestigde bedrijven deel</w:t>
      </w:r>
      <w:r w:rsidRPr="00310E7A">
        <w:t xml:space="preserve"> uitmaken. Naast investeringen in hoogwaardige innovatie-infrastructuur vraagt dit om investeringen in fysieke infrastructuur en gelijke toegang tot de eengemaakte markt, zelfs vanuit afgelegen gebieden. Daartoe is het onder meer zaak om gerichte steun te verlenen voor extra vervoerskosten en extra beoordelingspunten toe te kennen om waardeketens terug te halen naar de EU.</w:t>
      </w:r>
    </w:p>
    <w:p w14:paraId="3DCD043B" w14:textId="77777777" w:rsidR="0090606C" w:rsidRPr="00310E7A" w:rsidRDefault="0090606C"/>
    <w:p w14:paraId="7D281E9A" w14:textId="77777777" w:rsidR="0090606C" w:rsidRPr="00310E7A" w:rsidRDefault="00601604">
      <w:pPr>
        <w:keepNext/>
        <w:ind w:firstLine="567"/>
        <w:rPr>
          <w:i/>
          <w:iCs/>
        </w:rPr>
      </w:pPr>
      <w:r w:rsidRPr="00310E7A">
        <w:rPr>
          <w:i/>
        </w:rPr>
        <w:t>Argumenten voor 1.6 (financieringsinstrumenten)</w:t>
      </w:r>
    </w:p>
    <w:p w14:paraId="072AEB9E" w14:textId="77777777" w:rsidR="0090606C" w:rsidRPr="00310E7A" w:rsidRDefault="0090606C">
      <w:pPr>
        <w:keepNext/>
        <w:ind w:left="567" w:hanging="567"/>
        <w:rPr>
          <w:i/>
          <w:iCs/>
        </w:rPr>
      </w:pPr>
    </w:p>
    <w:p w14:paraId="149DAEA5" w14:textId="77777777" w:rsidR="0090606C" w:rsidRPr="00310E7A" w:rsidRDefault="00601604">
      <w:pPr>
        <w:pStyle w:val="Heading2"/>
      </w:pPr>
      <w:r w:rsidRPr="00310E7A">
        <w:t>Het EFC wil zijn slagkracht vergroten door een impuls te geven aan het aantrekken van particulier en institutioneel kapitaal. Gezien de enorme behoefte aan investeringen op alle thematische gebieden van het EFC is dat van cruciaal belang. Wat dit betreft zou het nuttig zijn om te zorgen voor verschillende manieren om kapitaal te mobiliseren. In dat verband zou onder meer een koppeling moeten worden aangebracht tussen financiering uit het EFC en de middelen die de aanvrager met zijn voorstel op de financiële/kapitaalmarkten wil ophalen (marktreferendum). Het mobiliseren van particulier en institutioneel kapitaal is ook goed voor de integratie van de kapitaalmarkten en de totstandbrenging van een spaar- en investeringsunie. Bedrijfsorganisaties spelen hierbij een belangrijke rol.</w:t>
      </w:r>
    </w:p>
    <w:p w14:paraId="0041A3CC" w14:textId="77777777" w:rsidR="0090606C" w:rsidRPr="00310E7A" w:rsidRDefault="0090606C">
      <w:pPr>
        <w:pStyle w:val="Heading2"/>
        <w:numPr>
          <w:ilvl w:val="0"/>
          <w:numId w:val="0"/>
        </w:numPr>
        <w:ind w:left="567" w:hanging="567"/>
      </w:pPr>
    </w:p>
    <w:p w14:paraId="713570E5" w14:textId="77777777" w:rsidR="0090606C" w:rsidRPr="00310E7A" w:rsidRDefault="00601604">
      <w:pPr>
        <w:pStyle w:val="Heading2"/>
      </w:pPr>
      <w:r w:rsidRPr="00310E7A">
        <w:t>Het EFC beschikt over een breed scala aan financiële instrumenten en is erop gericht om per geval door bundeling en grotere flexibiliteit de weg te banen voor de meest geschikte financiering. Een grotere flexibiliteit bij het gebruik van financieringsinstrumenten is welkom, maar de begunstigden moeten wel meer inspraak krijgen in de keuze van de definitieve financieringsopzet om ervoor te zorgen dat het daadwerkelijk aan hun behoeften beantwoordt. Dit vereist flexibelere, interactieve en open besluitvormingsprocessen. Naadloze samenwerking, synergie en afbakening tussen het EFC en aanverwante, op zichzelf staande fondsen zijn ook absoluut noodzakelijk.</w:t>
      </w:r>
    </w:p>
    <w:p w14:paraId="2A38EC58" w14:textId="77777777" w:rsidR="0090606C" w:rsidRPr="00310E7A" w:rsidRDefault="0090606C" w:rsidP="00012722">
      <w:pPr>
        <w:spacing w:line="240" w:lineRule="auto"/>
      </w:pPr>
    </w:p>
    <w:p w14:paraId="64CFA417" w14:textId="77777777" w:rsidR="0090606C" w:rsidRPr="00310E7A" w:rsidRDefault="00601604">
      <w:pPr>
        <w:keepNext/>
        <w:ind w:left="567"/>
      </w:pPr>
      <w:r w:rsidRPr="00310E7A">
        <w:rPr>
          <w:i/>
        </w:rPr>
        <w:t>Argumenten voor 1.7 (kmo’s)</w:t>
      </w:r>
    </w:p>
    <w:p w14:paraId="0CD6E212" w14:textId="77777777" w:rsidR="0090606C" w:rsidRPr="00310E7A" w:rsidRDefault="0090606C">
      <w:pPr>
        <w:keepNext/>
      </w:pPr>
    </w:p>
    <w:p w14:paraId="2AAB8C9B" w14:textId="77777777" w:rsidR="0090606C" w:rsidRPr="00310E7A" w:rsidRDefault="00601604">
      <w:pPr>
        <w:pStyle w:val="Heading2"/>
      </w:pPr>
      <w:r w:rsidRPr="00310E7A">
        <w:t>Hoewel het voorgestelde EFC-voorstel geen specifieke financieringslijn voor kmo’s omvat, hebben alle terreinen en het InvestEU-instrument van het EFC betrekking op kmo’s, start-ups en scale-ups, en omvat het EFC ook kmo-diensten. Maar de uitvoering bepaalt hoe goed aan de behoeften van deze ondernemingen zal worden voldaan. Daarom is het belangrijk om de bevorderingsprogramma's voor kmo’s op het niveau van de lidstaten te verankeren.</w:t>
      </w:r>
    </w:p>
    <w:p w14:paraId="123DD567" w14:textId="77777777" w:rsidR="0090606C" w:rsidRPr="00310E7A" w:rsidRDefault="0090606C">
      <w:pPr>
        <w:ind w:left="567" w:hanging="567"/>
      </w:pPr>
    </w:p>
    <w:p w14:paraId="693081A5" w14:textId="77777777" w:rsidR="0090606C" w:rsidRPr="00310E7A" w:rsidRDefault="00601604">
      <w:pPr>
        <w:pStyle w:val="Heading2"/>
      </w:pPr>
      <w:r w:rsidRPr="00310E7A">
        <w:t>De speciale aandacht voor kmo’s</w:t>
      </w:r>
      <w:r w:rsidRPr="00310E7A">
        <w:rPr>
          <w:rStyle w:val="FootnoteReference"/>
          <w:szCs w:val="24"/>
        </w:rPr>
        <w:footnoteReference w:id="12"/>
      </w:r>
      <w:r w:rsidRPr="00310E7A">
        <w:t xml:space="preserve"> en de grotere inclusie van kleine midcaps zijn toe te juichen als algemene aanpak, maar een betere en preciezere segmentering is nodig om in de specifieke behoeften van elk afzonderlijk kmo-segment te voorzien.</w:t>
      </w:r>
      <w:r w:rsidRPr="00310E7A">
        <w:rPr>
          <w:rStyle w:val="FootnoteReference"/>
          <w:szCs w:val="24"/>
        </w:rPr>
        <w:footnoteReference w:id="13"/>
      </w:r>
    </w:p>
    <w:p w14:paraId="04EA7DBF" w14:textId="77777777" w:rsidR="0090606C" w:rsidRPr="00012722" w:rsidRDefault="0090606C" w:rsidP="00012722">
      <w:pPr>
        <w:spacing w:line="240" w:lineRule="auto"/>
        <w:ind w:left="567" w:hanging="567"/>
        <w:rPr>
          <w:sz w:val="2"/>
          <w:szCs w:val="2"/>
        </w:rPr>
      </w:pPr>
    </w:p>
    <w:p w14:paraId="32E6C3F5" w14:textId="77777777" w:rsidR="0090606C" w:rsidRPr="00310E7A" w:rsidRDefault="00601604">
      <w:pPr>
        <w:pStyle w:val="Heading2"/>
      </w:pPr>
      <w:r w:rsidRPr="00310E7A">
        <w:t>De dynamiek en de snelle groei van start-ups en scale-ups leveren wat de toegang tot middelen betreft verschillende problemen op, vooral als het gaat om eigen vermogen en durfkapitaal. De specifieke maatregelen om deze ondernemingen aan te moedigen in de EU te blijven en op te schalen zijn belangrijk voor de algehele productiviteit en groei.</w:t>
      </w:r>
    </w:p>
    <w:p w14:paraId="59F850FD" w14:textId="77777777" w:rsidR="0090606C" w:rsidRPr="00310E7A" w:rsidRDefault="0090606C"/>
    <w:p w14:paraId="2647E296" w14:textId="77777777" w:rsidR="0090606C" w:rsidRPr="00012722" w:rsidRDefault="00601604">
      <w:pPr>
        <w:pStyle w:val="Heading2"/>
        <w:rPr>
          <w:spacing w:val="-2"/>
        </w:rPr>
      </w:pPr>
      <w:r w:rsidRPr="00012722">
        <w:rPr>
          <w:spacing w:val="-2"/>
        </w:rPr>
        <w:t>Om de belangen van kmo’s bij de toegang tot financiering beter te beschermen zou in de lidstaten een netwerk van “financiële ombudsmannen” moeten worden opgericht, met coördinatie op EU-niveau. De projectadvisering (artikel 26) moet in nauwe samenwerking met het netwerk van kmo-gezanten en de representatieve kmo-organisaties worden opgesteld, zowel op EU- als op nationaal niveau. In dit verband is het niet duidelijk wat een nieuw op te richten “EU for Business Network” nog voor waarde zou kunnen toevoegen aan bovengenoemde spelers.</w:t>
      </w:r>
    </w:p>
    <w:p w14:paraId="2ECC64D1" w14:textId="77777777" w:rsidR="0090606C" w:rsidRPr="00310E7A" w:rsidRDefault="0090606C">
      <w:pPr>
        <w:ind w:left="567" w:hanging="567"/>
      </w:pPr>
    </w:p>
    <w:p w14:paraId="724474F9" w14:textId="77777777" w:rsidR="0090606C" w:rsidRPr="00310E7A" w:rsidRDefault="00601604">
      <w:pPr>
        <w:keepNext/>
        <w:ind w:left="567"/>
        <w:rPr>
          <w:i/>
          <w:iCs/>
        </w:rPr>
      </w:pPr>
      <w:r w:rsidRPr="00310E7A">
        <w:rPr>
          <w:i/>
        </w:rPr>
        <w:t>Argumenten voor 1.8 (vereenvoudiging)</w:t>
      </w:r>
    </w:p>
    <w:p w14:paraId="4748667F" w14:textId="77777777" w:rsidR="0090606C" w:rsidRPr="00310E7A" w:rsidRDefault="0090606C">
      <w:pPr>
        <w:keepNext/>
      </w:pPr>
    </w:p>
    <w:p w14:paraId="3F9101A9" w14:textId="77777777" w:rsidR="0090606C" w:rsidRPr="00310E7A" w:rsidRDefault="00601604">
      <w:pPr>
        <w:pStyle w:val="Heading2"/>
      </w:pPr>
      <w:r w:rsidRPr="00310E7A">
        <w:t>Hoewel de samenvoeging van verschillende programma’s de vereenvoudiging van de financieringsprocessen ten goede komt, moet vereenvoudiging ook als leidend beginsel worden ingebed in het ontwerp van alle onderdelen van het EFC. Vereenvoudiging moet er bijvoorbeeld voor zorgen dat de inhoud van de werkprogramma’s geen ruimte voor twijfel laat en dat de procedures en documenten in alle stadia van de financiering, van aanvraag tot toekenning, worden gestroomlijnd. Er moet ook een duidelijk verband worden gelegd tussen de aanvraagformulieren en het beoordelingsschema, waarbij het mogelijk moet zijn om de scores te berekenen. Solide digitale systemen en infrastructuur zijn nodig om vereenvoudigingsmaatregelen te ondersteunen en taalverschillen te verkleinen.</w:t>
      </w:r>
    </w:p>
    <w:p w14:paraId="38F97CF9" w14:textId="77777777" w:rsidR="0090606C" w:rsidRPr="00310E7A" w:rsidRDefault="0090606C"/>
    <w:p w14:paraId="563C285C" w14:textId="77777777" w:rsidR="0090606C" w:rsidRPr="00310E7A" w:rsidRDefault="00601604">
      <w:pPr>
        <w:pStyle w:val="Heading2"/>
      </w:pPr>
      <w:r w:rsidRPr="00310E7A">
        <w:t>De invoering van een gemeenschappelijke reeks regels verlicht de lasten voor aanvragers aanzienlijk, maar bergt ook het risico in zich dat fouten zich gaan vermenigvuldigen als de afstemming op de verschillende behoeften en situaties van de potentiële begunstigden te wensen overlaat. De gemeenschappelijke reeks regels moet daarom in nauwe samenwerking en samenspraak met de relevante belanghebbenden en representatieve kmo- en andere bedrijfsorganisaties op EU- en nationaal niveau worden opgesteld.</w:t>
      </w:r>
    </w:p>
    <w:p w14:paraId="5CE52B56" w14:textId="77777777" w:rsidR="0090606C" w:rsidRPr="00310E7A" w:rsidRDefault="0090606C">
      <w:pPr>
        <w:pStyle w:val="Heading2"/>
        <w:numPr>
          <w:ilvl w:val="0"/>
          <w:numId w:val="0"/>
        </w:numPr>
        <w:ind w:left="567" w:hanging="567"/>
      </w:pPr>
    </w:p>
    <w:p w14:paraId="5EBC5AE1" w14:textId="77777777" w:rsidR="0090606C" w:rsidRPr="00310E7A" w:rsidRDefault="00601604">
      <w:pPr>
        <w:pStyle w:val="Heading2"/>
      </w:pPr>
      <w:r w:rsidRPr="00310E7A">
        <w:t>In plaats van “de uitvoering van steun door de Unie voor bepaalde belangrijke projecten [te] vereenvoudigen en [te] versnellen”</w:t>
      </w:r>
      <w:r w:rsidRPr="00310E7A">
        <w:rPr>
          <w:rStyle w:val="FootnoteReference"/>
          <w:szCs w:val="24"/>
        </w:rPr>
        <w:footnoteReference w:id="14"/>
      </w:r>
      <w:r w:rsidRPr="00310E7A">
        <w:t xml:space="preserve"> moet bij alle subsidiabele projecten tot vereenvoudiging worden overgegaan, zodat ongelijke behandeling van begunstigden wordt voorkomen.</w:t>
      </w:r>
    </w:p>
    <w:p w14:paraId="7AF7655E" w14:textId="77777777" w:rsidR="0090606C" w:rsidRPr="00310E7A" w:rsidRDefault="0090606C">
      <w:pPr>
        <w:ind w:left="567" w:hanging="567"/>
      </w:pPr>
    </w:p>
    <w:p w14:paraId="7FF8BC1C" w14:textId="77777777" w:rsidR="0090606C" w:rsidRPr="00310E7A" w:rsidRDefault="00601604">
      <w:pPr>
        <w:keepNext/>
        <w:ind w:left="567"/>
        <w:rPr>
          <w:i/>
          <w:iCs/>
        </w:rPr>
      </w:pPr>
      <w:r w:rsidRPr="00310E7A">
        <w:rPr>
          <w:i/>
        </w:rPr>
        <w:t>Argumenten voor 1.9 (uitvoering vergemakkelijken)</w:t>
      </w:r>
    </w:p>
    <w:p w14:paraId="04556CD8" w14:textId="77777777" w:rsidR="0090606C" w:rsidRPr="00310E7A" w:rsidRDefault="0090606C">
      <w:pPr>
        <w:keepNext/>
        <w:ind w:left="567"/>
      </w:pPr>
    </w:p>
    <w:p w14:paraId="5C3D58E2" w14:textId="77777777" w:rsidR="0090606C" w:rsidRPr="00310E7A" w:rsidRDefault="00601604">
      <w:pPr>
        <w:pStyle w:val="Heading2"/>
      </w:pPr>
      <w:r w:rsidRPr="00310E7A">
        <w:t>Voor een soepele, doeltreffende en inclusieve uitvoering van het EFC moeten belanghebbenden bewust worden gemaakt en op de hoogte worden gebracht van de mogelijkheden die het fonds biedt en van de aan te leggen criteria, en moeten lidstaten en belanghebbenden worden voorzien van de nodige capaciteit om hun weg te kunnen vinden in de financieringsprocedures.</w:t>
      </w:r>
    </w:p>
    <w:p w14:paraId="3887BBB5" w14:textId="77777777" w:rsidR="0090606C" w:rsidRPr="00310E7A" w:rsidRDefault="0090606C"/>
    <w:p w14:paraId="4A38CDEB" w14:textId="7EF5C9F4" w:rsidR="0090606C" w:rsidRPr="00310E7A" w:rsidRDefault="00601604">
      <w:pPr>
        <w:pStyle w:val="Heading2"/>
      </w:pPr>
      <w:r w:rsidRPr="00310E7A">
        <w:lastRenderedPageBreak/>
        <w:t>Hoewel het belangrijk is om de doeltreffendheid en het effect van het EFC te monitoren en te evalueren, is het ook zaak om de indicatoren en processen te stroomlijnen en af te stemmen op bestaande monitoring, teneinde naar hoge sociale prestaties te streven. De richtlijn duurzaamheidsrapportering door bedrijven en de bijbehorende ESRS-standaarden bieden een goed kader om de algehele duurzaamheidsprestaties van ondernemingen transparant te maken.</w:t>
      </w:r>
    </w:p>
    <w:p w14:paraId="00408EEF" w14:textId="77777777" w:rsidR="0090606C" w:rsidRPr="00310E7A" w:rsidRDefault="0090606C"/>
    <w:p w14:paraId="47B82324" w14:textId="77777777" w:rsidR="0090606C" w:rsidRPr="00310E7A" w:rsidRDefault="00601604">
      <w:pPr>
        <w:pStyle w:val="Heading2"/>
      </w:pPr>
      <w:r w:rsidRPr="00310E7A">
        <w:t>Goede definities zijn ook van cruciaal belang voor de ontwikkeling, uitvoering en evaluatie van het EFC. In het voorstel ontbreken echter definities voor allerlei kernbegrippen, en de definities die er wel in staan (artikel 2) zijn niet erg duidelijk en voor subjectieve interpretaties vatbaar. Dit geldt bijvoorbeeld voor “dwingende reden van algemeen belang” en “investeringstraject”.</w:t>
      </w:r>
    </w:p>
    <w:p w14:paraId="7E28FE62" w14:textId="77777777" w:rsidR="0090606C" w:rsidRPr="00310E7A" w:rsidRDefault="0090606C">
      <w:pPr>
        <w:ind w:left="567" w:hanging="567"/>
      </w:pPr>
    </w:p>
    <w:p w14:paraId="05B3E9D2" w14:textId="7C287C1E" w:rsidR="0090606C" w:rsidRPr="00310E7A" w:rsidRDefault="00601604">
      <w:pPr>
        <w:pStyle w:val="Heading2"/>
      </w:pPr>
      <w:r w:rsidRPr="00310E7A">
        <w:t>Naast het verduidelijken van sleutelbegrippen moet ook worden uitgelegd hoe deze tijdens financieringsprocessen worden gebruikt. Hoewel het EFC “bepaalde acties van strategisch en economisch belang” zou ondersteunen</w:t>
      </w:r>
      <w:r w:rsidRPr="00310E7A">
        <w:rPr>
          <w:rStyle w:val="FootnoteReference"/>
          <w:szCs w:val="24"/>
        </w:rPr>
        <w:footnoteReference w:id="15"/>
      </w:r>
      <w:r w:rsidRPr="00310E7A">
        <w:t>, is meer duidelijkheid nodig over de procedure om dergelijke acties als subsidiabel aan te merken, aangezien tal van handelingen een rol spelen bij een dergelijke besluitvorming. Hetzelfde geldt voor de gevallen waarin “bepaalde controles pas na het verstrekken van de financiering [moeten] worden uitgevoerd”</w:t>
      </w:r>
      <w:r w:rsidRPr="00310E7A">
        <w:rPr>
          <w:rStyle w:val="FootnoteReference"/>
          <w:szCs w:val="24"/>
        </w:rPr>
        <w:footnoteReference w:id="16"/>
      </w:r>
      <w:r w:rsidRPr="00310E7A">
        <w:t xml:space="preserve"> en voor het “aanmoedigingsinterventiemechanisme”</w:t>
      </w:r>
      <w:r w:rsidRPr="00310E7A">
        <w:rPr>
          <w:rStyle w:val="FootnoteReference"/>
          <w:szCs w:val="24"/>
        </w:rPr>
        <w:footnoteReference w:id="17"/>
      </w:r>
      <w:r w:rsidRPr="00310E7A">
        <w:t>.</w:t>
      </w:r>
    </w:p>
    <w:p w14:paraId="382E8735" w14:textId="6C05BCEA" w:rsidR="00A27CE3" w:rsidRPr="00310E7A" w:rsidRDefault="00A27CE3" w:rsidP="00A27CE3"/>
    <w:p w14:paraId="6CF6629A" w14:textId="2FD746B6" w:rsidR="00A27CE3" w:rsidRPr="00310E7A" w:rsidRDefault="00753D7F" w:rsidP="00A27CE3">
      <w:pPr>
        <w:pStyle w:val="Heading2"/>
        <w:rPr>
          <w:iCs/>
        </w:rPr>
      </w:pPr>
      <w:r w:rsidRPr="00310E7A">
        <w:t>Het EESC stelt voor om de toegang tot financiering uit het ECF te koppelen aan sociale criteria en collectieve overeenkomsten die samen met de nationale sociale partners moeten worden vastgesteld, waarbij het ook zaak is terdege rekening te houden met de specifieke kenmerken van de lidstaten.</w:t>
      </w:r>
    </w:p>
    <w:p w14:paraId="621DC646" w14:textId="77777777" w:rsidR="0090606C" w:rsidRPr="00310E7A" w:rsidRDefault="0090606C"/>
    <w:p w14:paraId="2B4C52FB" w14:textId="77777777" w:rsidR="0090606C" w:rsidRPr="00310E7A" w:rsidRDefault="00601604">
      <w:pPr>
        <w:keepNext/>
        <w:ind w:left="567"/>
        <w:rPr>
          <w:i/>
          <w:iCs/>
        </w:rPr>
      </w:pPr>
      <w:r w:rsidRPr="00310E7A">
        <w:rPr>
          <w:i/>
        </w:rPr>
        <w:t>Argumenten ter ondersteuning van aanbeveling 1.10 (governance)</w:t>
      </w:r>
    </w:p>
    <w:p w14:paraId="2A184213" w14:textId="77777777" w:rsidR="0090606C" w:rsidRPr="00310E7A" w:rsidRDefault="0090606C">
      <w:pPr>
        <w:keepNext/>
      </w:pPr>
    </w:p>
    <w:p w14:paraId="7FAB930A" w14:textId="77777777" w:rsidR="0090606C" w:rsidRPr="00310E7A" w:rsidRDefault="00601604">
      <w:pPr>
        <w:pStyle w:val="Heading2"/>
      </w:pPr>
      <w:r w:rsidRPr="00310E7A">
        <w:rPr>
          <w:spacing w:val="-2"/>
        </w:rPr>
        <w:t>Relevante belanghebbenden, zoals de sociale partners, kleine en middelgrote ondernemingen, bedrijfs- en innovatieorganisaties en ngo’s, moeten naar behoren worden betrokken bij de ontwikkeling en uitvoering van het EFC op alle niveaus. Dit is niet alleen van cruciaal belang om te kunnen inspelen op reële behoeften, maar ook omdat nauw en voortdurend contact en overleg met hen kan helpen om op toekomstige veranderingen te anticiperen en zo tot de beste reacties te komen. Toezicht moet zorgen voor volledige transparantie bij het gebruik van overheidsmiddelen</w:t>
      </w:r>
      <w:r w:rsidRPr="00310E7A">
        <w:t>.</w:t>
      </w:r>
    </w:p>
    <w:p w14:paraId="7434D30D" w14:textId="77777777" w:rsidR="0090606C" w:rsidRPr="00310E7A" w:rsidRDefault="0090606C">
      <w:pPr>
        <w:ind w:left="567" w:hanging="567"/>
      </w:pPr>
    </w:p>
    <w:p w14:paraId="299193A2" w14:textId="77777777" w:rsidR="0090606C" w:rsidRPr="00310E7A" w:rsidRDefault="00601604">
      <w:pPr>
        <w:pStyle w:val="Heading2"/>
      </w:pPr>
      <w:r w:rsidRPr="00310E7A">
        <w:t>Aangezien het EESC het diverse maatschappelijk middenveld van de hele EU vertegenwoordigt en graag een proactieve en ondersteunende partner zou willen zijn bij de ontwikkeling van het EFC, zou het een passende plaats moeten krijgen in de raad van strategische belanghebbenden en moeten de sociale partners en maatschappelijke organisaties naar behoren worden vertegenwoordigd, overeenkomstig het partnerschapsbeginsel en goede praktijken.</w:t>
      </w:r>
    </w:p>
    <w:p w14:paraId="50D975B5" w14:textId="77777777" w:rsidR="0090606C" w:rsidRPr="00310E7A" w:rsidRDefault="0090606C">
      <w:pPr>
        <w:ind w:left="567" w:hanging="567"/>
      </w:pPr>
    </w:p>
    <w:p w14:paraId="41858203" w14:textId="77777777" w:rsidR="0090606C" w:rsidRPr="00310E7A" w:rsidRDefault="00601604">
      <w:pPr>
        <w:pStyle w:val="Heading2"/>
      </w:pPr>
      <w:r w:rsidRPr="00310E7A">
        <w:t xml:space="preserve">Om meer duidelijkheid te scheppen over de besluitvorming moeten de rollen en mechanismen voor samenwerking tussen de Commissie en de lidstaten, zowel bij de ontwikkeling als bij de </w:t>
      </w:r>
      <w:r w:rsidRPr="00310E7A">
        <w:lastRenderedPageBreak/>
        <w:t>uitvoering van het EFC, expliciet worden vastgelegd. Dat is belangrijk voor alle partijen, onder wie potentiële begunstigden. Gedelegeerde handelingen of uitvoeringshandelingen lenen zich goed voor het versnellen van de besluitvorming, maar het gebruik ervan moet wel strikt beperkt blijven tot het definiëren van concrete details of andere niet-politieke kwesties.</w:t>
      </w:r>
    </w:p>
    <w:p w14:paraId="39D97E17" w14:textId="77777777" w:rsidR="0090606C" w:rsidRPr="00310E7A" w:rsidRDefault="0090606C">
      <w:pPr>
        <w:ind w:left="567" w:hanging="567"/>
      </w:pPr>
    </w:p>
    <w:p w14:paraId="67C6F964" w14:textId="77777777" w:rsidR="0090606C" w:rsidRPr="00310E7A" w:rsidRDefault="00601604">
      <w:pPr>
        <w:pStyle w:val="Heading2"/>
      </w:pPr>
      <w:r w:rsidRPr="00310E7A">
        <w:t>Er is meer duidelijkheid nodig over de rol en het gebruik van het coördinatie-instrument voor het concurrentievermogen in het kader van het EFC. De sociale partners moeten ook bij het coördinatieproces worden betrokken, onder meer wanneer besluiten over publiek-private partnerschappen worden genomen. Bovendien moeten voor de verschillende comités en adviesraden duidelijke rollen en selectiemechanismen worden uitgewerkt.</w:t>
      </w:r>
    </w:p>
    <w:p w14:paraId="575A64A4" w14:textId="77777777" w:rsidR="0090606C" w:rsidRPr="00310E7A" w:rsidRDefault="0090606C">
      <w:pPr>
        <w:ind w:left="567" w:hanging="567"/>
      </w:pPr>
    </w:p>
    <w:p w14:paraId="41D3D653" w14:textId="77777777" w:rsidR="0090606C" w:rsidRPr="00310E7A" w:rsidRDefault="00601604">
      <w:pPr>
        <w:pStyle w:val="Heading2"/>
      </w:pPr>
      <w:r w:rsidRPr="00310E7A">
        <w:rPr>
          <w:spacing w:val="-4"/>
        </w:rPr>
        <w:t>Om de nieuwe flexibele en toekomstgerichte architectuur van het EFC-systeem optimaal te kunnen benutten is binnen de administratie een mentaliteitsverandering nodig. Dat is, naast een passende inbreng van de belanghebbenden, cruciaal voor de succesvolle tenuitvoerlegging van het EFC</w:t>
      </w:r>
      <w:r w:rsidRPr="00310E7A">
        <w:t>.</w:t>
      </w:r>
    </w:p>
    <w:p w14:paraId="76D1F375" w14:textId="77777777" w:rsidR="0090606C" w:rsidRPr="00310E7A" w:rsidRDefault="0090606C"/>
    <w:p w14:paraId="6F75D061" w14:textId="77777777" w:rsidR="0090606C" w:rsidRPr="00310E7A" w:rsidRDefault="00601604">
      <w:pPr>
        <w:pStyle w:val="Heading1"/>
        <w:keepNext/>
        <w:rPr>
          <w:b/>
          <w:bCs/>
        </w:rPr>
      </w:pPr>
      <w:r w:rsidRPr="00310E7A">
        <w:rPr>
          <w:b/>
        </w:rPr>
        <w:t>VOORGESTELDE WIJZIGINGEN OP HET WETGEVINGSVOORSTEL VAN DE EUROPESE COMMISSIE</w:t>
      </w:r>
    </w:p>
    <w:p w14:paraId="15C80344" w14:textId="77777777" w:rsidR="0090606C" w:rsidRPr="00310E7A" w:rsidRDefault="0090606C">
      <w:pPr>
        <w:keepNext/>
        <w:keepLines/>
      </w:pPr>
    </w:p>
    <w:p w14:paraId="3531FC14" w14:textId="77777777" w:rsidR="0090606C" w:rsidRPr="00310E7A" w:rsidRDefault="00601604">
      <w:pPr>
        <w:pStyle w:val="Heading2"/>
        <w:keepNext/>
        <w:numPr>
          <w:ilvl w:val="0"/>
          <w:numId w:val="0"/>
        </w:numPr>
      </w:pPr>
      <w:r w:rsidRPr="00310E7A">
        <w:rPr>
          <w:b/>
        </w:rPr>
        <w:t>Wijzigingsvoorstel 1</w:t>
      </w:r>
    </w:p>
    <w:p w14:paraId="59A063D4" w14:textId="77777777" w:rsidR="0090606C" w:rsidRPr="00310E7A" w:rsidRDefault="00601604">
      <w:pPr>
        <w:pStyle w:val="Heading2"/>
        <w:keepNext/>
        <w:numPr>
          <w:ilvl w:val="0"/>
          <w:numId w:val="0"/>
        </w:numPr>
        <w:rPr>
          <w:b/>
          <w:bCs/>
        </w:rPr>
      </w:pPr>
      <w:r w:rsidRPr="00310E7A">
        <w:t>houdt verband met aanbeveling 1.1</w:t>
      </w:r>
    </w:p>
    <w:p w14:paraId="7922B0AD" w14:textId="77777777" w:rsidR="0090606C" w:rsidRPr="00310E7A" w:rsidRDefault="00601604">
      <w:pPr>
        <w:keepNext/>
        <w:keepLines/>
        <w:jc w:val="left"/>
      </w:pPr>
      <w:r w:rsidRPr="00310E7A">
        <w:t>Op alle relevante plaatsen in het voorstel, te beginnen met de titel:</w:t>
      </w:r>
    </w:p>
    <w:p w14:paraId="42E0D5EF" w14:textId="77777777" w:rsidR="0090606C" w:rsidRPr="00310E7A" w:rsidRDefault="0090606C" w:rsidP="00FA5329">
      <w:pPr>
        <w:keepNext/>
        <w:keepLines/>
        <w:spacing w:line="240" w:lineRule="auto"/>
        <w:jc w:val="left"/>
      </w:pPr>
    </w:p>
    <w:tbl>
      <w:tblPr>
        <w:tblW w:w="5000" w:type="pct"/>
        <w:jc w:val="center"/>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4551"/>
        <w:gridCol w:w="4636"/>
      </w:tblGrid>
      <w:tr w:rsidR="0090606C" w:rsidRPr="00310E7A" w14:paraId="65A8F197" w14:textId="77777777" w:rsidTr="00310E7A">
        <w:trPr>
          <w:trHeight w:val="300"/>
          <w:jc w:val="center"/>
        </w:trPr>
        <w:tc>
          <w:tcPr>
            <w:tcW w:w="4551" w:type="dxa"/>
            <w:tcBorders>
              <w:top w:val="single" w:sz="2" w:space="0" w:color="auto"/>
              <w:left w:val="single" w:sz="2" w:space="0" w:color="auto"/>
              <w:bottom w:val="single" w:sz="2" w:space="0" w:color="auto"/>
              <w:right w:val="single" w:sz="2" w:space="0" w:color="auto"/>
            </w:tcBorders>
            <w:hideMark/>
          </w:tcPr>
          <w:p w14:paraId="467BF9AE" w14:textId="77777777" w:rsidR="0090606C" w:rsidRPr="00310E7A" w:rsidRDefault="00601604">
            <w:pPr>
              <w:jc w:val="center"/>
              <w:rPr>
                <w:strike/>
                <w:spacing w:val="-2"/>
              </w:rPr>
            </w:pPr>
            <w:r w:rsidRPr="00310E7A">
              <w:rPr>
                <w:b/>
                <w:spacing w:val="-2"/>
              </w:rPr>
              <w:t>Door de Europese Commissie voorgestelde tekst</w:t>
            </w:r>
          </w:p>
        </w:tc>
        <w:tc>
          <w:tcPr>
            <w:tcW w:w="4636" w:type="dxa"/>
            <w:tcBorders>
              <w:top w:val="single" w:sz="2" w:space="0" w:color="auto"/>
              <w:left w:val="single" w:sz="2" w:space="0" w:color="auto"/>
              <w:bottom w:val="single" w:sz="2" w:space="0" w:color="auto"/>
              <w:right w:val="single" w:sz="2" w:space="0" w:color="auto"/>
            </w:tcBorders>
            <w:hideMark/>
          </w:tcPr>
          <w:p w14:paraId="1D266978" w14:textId="77777777" w:rsidR="0090606C" w:rsidRPr="00310E7A" w:rsidRDefault="00601604">
            <w:pPr>
              <w:jc w:val="center"/>
              <w:rPr>
                <w:spacing w:val="-2"/>
              </w:rPr>
            </w:pPr>
            <w:r w:rsidRPr="00310E7A">
              <w:rPr>
                <w:b/>
                <w:spacing w:val="-2"/>
              </w:rPr>
              <w:t>Wijzigingsvoorstel van het EESC</w:t>
            </w:r>
          </w:p>
        </w:tc>
      </w:tr>
      <w:tr w:rsidR="0090606C" w:rsidRPr="00310E7A" w14:paraId="6E70DFD7" w14:textId="77777777" w:rsidTr="00310E7A">
        <w:trPr>
          <w:trHeight w:val="300"/>
          <w:jc w:val="center"/>
        </w:trPr>
        <w:tc>
          <w:tcPr>
            <w:tcW w:w="4551" w:type="dxa"/>
            <w:tcBorders>
              <w:top w:val="single" w:sz="2" w:space="0" w:color="auto"/>
              <w:left w:val="single" w:sz="6" w:space="0" w:color="auto"/>
              <w:bottom w:val="single" w:sz="6" w:space="0" w:color="auto"/>
              <w:right w:val="single" w:sz="6" w:space="0" w:color="auto"/>
            </w:tcBorders>
            <w:hideMark/>
          </w:tcPr>
          <w:p w14:paraId="1D491542" w14:textId="77777777" w:rsidR="0090606C" w:rsidRPr="00310E7A" w:rsidRDefault="00601604">
            <w:pPr>
              <w:ind w:left="30" w:right="30"/>
            </w:pPr>
            <w:r w:rsidRPr="00310E7A">
              <w:t>Europees Fonds voor concurrentievermogen (EFC)</w:t>
            </w:r>
          </w:p>
        </w:tc>
        <w:tc>
          <w:tcPr>
            <w:tcW w:w="4636" w:type="dxa"/>
            <w:tcBorders>
              <w:top w:val="single" w:sz="2" w:space="0" w:color="auto"/>
              <w:left w:val="single" w:sz="6" w:space="0" w:color="auto"/>
              <w:bottom w:val="single" w:sz="6" w:space="0" w:color="auto"/>
              <w:right w:val="single" w:sz="6" w:space="0" w:color="auto"/>
            </w:tcBorders>
            <w:hideMark/>
          </w:tcPr>
          <w:p w14:paraId="17C151EE" w14:textId="77777777" w:rsidR="0090606C" w:rsidRPr="00310E7A" w:rsidRDefault="00601604">
            <w:pPr>
              <w:ind w:left="30" w:right="30"/>
            </w:pPr>
            <w:r w:rsidRPr="00310E7A">
              <w:t xml:space="preserve">Europees Fonds voor concurrentievermogen </w:t>
            </w:r>
            <w:r w:rsidRPr="00310E7A">
              <w:rPr>
                <w:b/>
                <w:i/>
              </w:rPr>
              <w:t>en veiligheid</w:t>
            </w:r>
            <w:r w:rsidRPr="00310E7A">
              <w:t xml:space="preserve"> (EFC</w:t>
            </w:r>
            <w:r w:rsidRPr="00310E7A">
              <w:rPr>
                <w:b/>
                <w:i/>
              </w:rPr>
              <w:t>V</w:t>
            </w:r>
            <w:r w:rsidRPr="00310E7A">
              <w:t>)</w:t>
            </w:r>
          </w:p>
        </w:tc>
      </w:tr>
    </w:tbl>
    <w:p w14:paraId="7B4826C6" w14:textId="77777777" w:rsidR="0090606C" w:rsidRPr="00310E7A" w:rsidRDefault="0090606C">
      <w:pPr>
        <w:jc w:val="center"/>
      </w:pPr>
    </w:p>
    <w:tbl>
      <w:tblPr>
        <w:tblW w:w="0" w:type="auto"/>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9057"/>
      </w:tblGrid>
      <w:tr w:rsidR="0090606C" w:rsidRPr="00310E7A" w14:paraId="38EAFACE" w14:textId="77777777" w:rsidTr="00FA5329">
        <w:trPr>
          <w:trHeight w:val="300"/>
        </w:trPr>
        <w:tc>
          <w:tcPr>
            <w:tcW w:w="9057" w:type="dxa"/>
            <w:tcBorders>
              <w:top w:val="single" w:sz="2" w:space="0" w:color="auto"/>
              <w:left w:val="single" w:sz="2" w:space="0" w:color="auto"/>
              <w:bottom w:val="single" w:sz="2" w:space="0" w:color="auto"/>
              <w:right w:val="single" w:sz="2" w:space="0" w:color="auto"/>
            </w:tcBorders>
            <w:hideMark/>
          </w:tcPr>
          <w:p w14:paraId="1A047AE2" w14:textId="77777777" w:rsidR="0090606C" w:rsidRPr="00310E7A" w:rsidRDefault="00601604">
            <w:pPr>
              <w:keepNext/>
              <w:keepLines/>
              <w:jc w:val="center"/>
            </w:pPr>
            <w:r w:rsidRPr="00310E7A">
              <w:rPr>
                <w:b/>
              </w:rPr>
              <w:t>Motivering</w:t>
            </w:r>
          </w:p>
        </w:tc>
      </w:tr>
      <w:tr w:rsidR="0090606C" w:rsidRPr="00310E7A" w14:paraId="28F5BA2F" w14:textId="77777777" w:rsidTr="00FA5329">
        <w:trPr>
          <w:trHeight w:val="300"/>
        </w:trPr>
        <w:tc>
          <w:tcPr>
            <w:tcW w:w="9057" w:type="dxa"/>
            <w:tcBorders>
              <w:top w:val="single" w:sz="2" w:space="0" w:color="auto"/>
              <w:left w:val="single" w:sz="6" w:space="0" w:color="auto"/>
              <w:bottom w:val="single" w:sz="6" w:space="0" w:color="auto"/>
              <w:right w:val="single" w:sz="6" w:space="0" w:color="auto"/>
            </w:tcBorders>
            <w:hideMark/>
          </w:tcPr>
          <w:p w14:paraId="29A48E59" w14:textId="77777777" w:rsidR="0090606C" w:rsidRPr="00310E7A" w:rsidRDefault="00601604">
            <w:pPr>
              <w:keepNext/>
              <w:keepLines/>
              <w:ind w:left="30" w:right="30"/>
            </w:pPr>
            <w:r w:rsidRPr="00310E7A">
              <w:t>Zie de paragrafen 1.1 en 2.5.</w:t>
            </w:r>
          </w:p>
        </w:tc>
      </w:tr>
    </w:tbl>
    <w:p w14:paraId="75F46C58" w14:textId="77777777" w:rsidR="0090606C" w:rsidRPr="00310E7A" w:rsidRDefault="0090606C" w:rsidP="00FA5329">
      <w:pPr>
        <w:pStyle w:val="Heading2"/>
        <w:numPr>
          <w:ilvl w:val="0"/>
          <w:numId w:val="0"/>
        </w:numPr>
      </w:pPr>
    </w:p>
    <w:p w14:paraId="3CED72EA" w14:textId="77777777" w:rsidR="0090606C" w:rsidRPr="00310E7A" w:rsidRDefault="00601604">
      <w:pPr>
        <w:pStyle w:val="Heading2"/>
        <w:keepNext/>
        <w:numPr>
          <w:ilvl w:val="0"/>
          <w:numId w:val="0"/>
        </w:numPr>
      </w:pPr>
      <w:r w:rsidRPr="00310E7A">
        <w:rPr>
          <w:b/>
        </w:rPr>
        <w:t>Wijzigingsvoorstel 2</w:t>
      </w:r>
      <w:r w:rsidRPr="00310E7A">
        <w:t xml:space="preserve"> </w:t>
      </w:r>
    </w:p>
    <w:p w14:paraId="7F9DD544" w14:textId="77777777" w:rsidR="0090606C" w:rsidRPr="00310E7A" w:rsidRDefault="00601604">
      <w:pPr>
        <w:keepNext/>
        <w:keepLines/>
        <w:jc w:val="left"/>
      </w:pPr>
      <w:r w:rsidRPr="00310E7A">
        <w:t>houdt verband met aanbeveling 1.2</w:t>
      </w:r>
    </w:p>
    <w:p w14:paraId="7C5E5A17" w14:textId="36519DA3" w:rsidR="0090606C" w:rsidRPr="00310E7A" w:rsidRDefault="00601604">
      <w:pPr>
        <w:keepNext/>
        <w:keepLines/>
        <w:jc w:val="left"/>
      </w:pPr>
      <w:r w:rsidRPr="00310E7A">
        <w:t>Na lid 2 een nieuw lid toevoegen aan artikel 4:</w:t>
      </w:r>
    </w:p>
    <w:p w14:paraId="4AB31173" w14:textId="77777777" w:rsidR="0090606C" w:rsidRPr="00310E7A" w:rsidRDefault="0090606C" w:rsidP="00FA5329">
      <w:pPr>
        <w:keepNext/>
        <w:keepLines/>
        <w:spacing w:line="240" w:lineRule="auto"/>
        <w:jc w:val="left"/>
      </w:pPr>
    </w:p>
    <w:tbl>
      <w:tblPr>
        <w:tblW w:w="5000" w:type="pct"/>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4594"/>
        <w:gridCol w:w="4593"/>
      </w:tblGrid>
      <w:tr w:rsidR="0090606C" w:rsidRPr="00310E7A" w14:paraId="4D15C6B0" w14:textId="77777777" w:rsidTr="00FA5329">
        <w:trPr>
          <w:trHeight w:val="300"/>
        </w:trPr>
        <w:tc>
          <w:tcPr>
            <w:tcW w:w="4529" w:type="dxa"/>
            <w:tcBorders>
              <w:top w:val="single" w:sz="2" w:space="0" w:color="auto"/>
              <w:left w:val="single" w:sz="2" w:space="0" w:color="auto"/>
              <w:bottom w:val="single" w:sz="2" w:space="0" w:color="auto"/>
              <w:right w:val="single" w:sz="2" w:space="0" w:color="auto"/>
            </w:tcBorders>
            <w:hideMark/>
          </w:tcPr>
          <w:p w14:paraId="52B15499" w14:textId="77777777" w:rsidR="0090606C" w:rsidRPr="00310E7A" w:rsidRDefault="00601604">
            <w:pPr>
              <w:jc w:val="center"/>
              <w:rPr>
                <w:strike/>
                <w:spacing w:val="-2"/>
              </w:rPr>
            </w:pPr>
            <w:r w:rsidRPr="00310E7A">
              <w:rPr>
                <w:b/>
                <w:spacing w:val="-2"/>
              </w:rPr>
              <w:t>Door de Europese Commissie voorgestelde tekst</w:t>
            </w:r>
          </w:p>
        </w:tc>
        <w:tc>
          <w:tcPr>
            <w:tcW w:w="4528" w:type="dxa"/>
            <w:tcBorders>
              <w:top w:val="single" w:sz="2" w:space="0" w:color="auto"/>
              <w:left w:val="single" w:sz="2" w:space="0" w:color="auto"/>
              <w:bottom w:val="single" w:sz="2" w:space="0" w:color="auto"/>
              <w:right w:val="single" w:sz="2" w:space="0" w:color="auto"/>
            </w:tcBorders>
            <w:hideMark/>
          </w:tcPr>
          <w:p w14:paraId="78075A07" w14:textId="77777777" w:rsidR="0090606C" w:rsidRPr="00310E7A" w:rsidRDefault="00601604">
            <w:pPr>
              <w:jc w:val="center"/>
              <w:rPr>
                <w:spacing w:val="-2"/>
              </w:rPr>
            </w:pPr>
            <w:r w:rsidRPr="00310E7A">
              <w:rPr>
                <w:b/>
                <w:spacing w:val="-2"/>
              </w:rPr>
              <w:t>Wijzigingsvoorstel van het EESC</w:t>
            </w:r>
          </w:p>
        </w:tc>
      </w:tr>
      <w:tr w:rsidR="0090606C" w:rsidRPr="00310E7A" w14:paraId="4BEBCCB7" w14:textId="77777777" w:rsidTr="00FA5329">
        <w:trPr>
          <w:trHeight w:val="300"/>
        </w:trPr>
        <w:tc>
          <w:tcPr>
            <w:tcW w:w="4529" w:type="dxa"/>
            <w:tcBorders>
              <w:top w:val="single" w:sz="2" w:space="0" w:color="auto"/>
              <w:left w:val="single" w:sz="6" w:space="0" w:color="auto"/>
              <w:bottom w:val="single" w:sz="6" w:space="0" w:color="auto"/>
              <w:right w:val="single" w:sz="6" w:space="0" w:color="auto"/>
            </w:tcBorders>
            <w:hideMark/>
          </w:tcPr>
          <w:p w14:paraId="5774296D" w14:textId="77777777" w:rsidR="0090606C" w:rsidRPr="00310E7A" w:rsidRDefault="0090606C">
            <w:pPr>
              <w:ind w:left="30" w:right="30"/>
            </w:pPr>
          </w:p>
        </w:tc>
        <w:tc>
          <w:tcPr>
            <w:tcW w:w="4528" w:type="dxa"/>
            <w:tcBorders>
              <w:top w:val="single" w:sz="2" w:space="0" w:color="auto"/>
              <w:left w:val="single" w:sz="6" w:space="0" w:color="auto"/>
              <w:bottom w:val="single" w:sz="6" w:space="0" w:color="auto"/>
              <w:right w:val="single" w:sz="6" w:space="0" w:color="auto"/>
            </w:tcBorders>
            <w:hideMark/>
          </w:tcPr>
          <w:p w14:paraId="1E660C1F" w14:textId="07BB8F20" w:rsidR="0090606C" w:rsidRPr="00310E7A" w:rsidRDefault="00601604">
            <w:pPr>
              <w:pStyle w:val="Heading1"/>
              <w:numPr>
                <w:ilvl w:val="0"/>
                <w:numId w:val="0"/>
              </w:numPr>
              <w:rPr>
                <w:b/>
                <w:bCs/>
                <w:i/>
                <w:iCs/>
              </w:rPr>
            </w:pPr>
            <w:r w:rsidRPr="00310E7A">
              <w:rPr>
                <w:b/>
                <w:i/>
              </w:rPr>
              <w:t>3. Bij de indicatieve verdeling van de EFC-middelen wordt gekeken naar de behoeften van initiatieven die meerdere terreinen bestrijken en naar andere dwarsverbanden tussen verschillende terreinen, alsook naar snel veranderende situaties.</w:t>
            </w:r>
          </w:p>
        </w:tc>
      </w:tr>
    </w:tbl>
    <w:p w14:paraId="30195EF3" w14:textId="77777777" w:rsidR="0090606C" w:rsidRPr="00310E7A" w:rsidRDefault="0090606C">
      <w:pPr>
        <w:jc w:val="center"/>
      </w:pPr>
    </w:p>
    <w:tbl>
      <w:tblPr>
        <w:tblW w:w="0" w:type="auto"/>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9057"/>
      </w:tblGrid>
      <w:tr w:rsidR="0090606C" w:rsidRPr="00310E7A" w14:paraId="6A26AC2D" w14:textId="77777777" w:rsidTr="00FA5329">
        <w:trPr>
          <w:trHeight w:val="300"/>
        </w:trPr>
        <w:tc>
          <w:tcPr>
            <w:tcW w:w="9057" w:type="dxa"/>
            <w:tcBorders>
              <w:top w:val="single" w:sz="2" w:space="0" w:color="auto"/>
              <w:left w:val="single" w:sz="2" w:space="0" w:color="auto"/>
              <w:bottom w:val="single" w:sz="2" w:space="0" w:color="auto"/>
              <w:right w:val="single" w:sz="2" w:space="0" w:color="auto"/>
            </w:tcBorders>
            <w:hideMark/>
          </w:tcPr>
          <w:p w14:paraId="585C5B48" w14:textId="77777777" w:rsidR="0090606C" w:rsidRPr="00310E7A" w:rsidRDefault="00601604">
            <w:pPr>
              <w:keepNext/>
              <w:keepLines/>
              <w:jc w:val="center"/>
            </w:pPr>
            <w:r w:rsidRPr="00310E7A">
              <w:rPr>
                <w:b/>
              </w:rPr>
              <w:t>Motivering</w:t>
            </w:r>
          </w:p>
        </w:tc>
      </w:tr>
      <w:tr w:rsidR="0090606C" w:rsidRPr="00310E7A" w14:paraId="1496B60B" w14:textId="77777777" w:rsidTr="00FA5329">
        <w:trPr>
          <w:trHeight w:val="300"/>
        </w:trPr>
        <w:tc>
          <w:tcPr>
            <w:tcW w:w="9057" w:type="dxa"/>
            <w:tcBorders>
              <w:top w:val="single" w:sz="2" w:space="0" w:color="auto"/>
              <w:left w:val="single" w:sz="6" w:space="0" w:color="auto"/>
              <w:bottom w:val="single" w:sz="6" w:space="0" w:color="auto"/>
              <w:right w:val="single" w:sz="6" w:space="0" w:color="auto"/>
            </w:tcBorders>
            <w:hideMark/>
          </w:tcPr>
          <w:p w14:paraId="68A81E13" w14:textId="77777777" w:rsidR="0090606C" w:rsidRPr="00310E7A" w:rsidRDefault="00601604">
            <w:pPr>
              <w:keepNext/>
              <w:keepLines/>
              <w:ind w:left="30" w:right="30"/>
            </w:pPr>
            <w:r w:rsidRPr="00310E7A">
              <w:t>Zie paragraaf 2.8.</w:t>
            </w:r>
          </w:p>
        </w:tc>
      </w:tr>
    </w:tbl>
    <w:p w14:paraId="74D27020" w14:textId="77777777" w:rsidR="0090606C" w:rsidRPr="00310E7A" w:rsidRDefault="0090606C">
      <w:pPr>
        <w:jc w:val="left"/>
      </w:pPr>
    </w:p>
    <w:p w14:paraId="48247B4D" w14:textId="77777777" w:rsidR="0090606C" w:rsidRPr="00310E7A" w:rsidRDefault="00601604">
      <w:pPr>
        <w:pStyle w:val="Heading2"/>
        <w:keepNext/>
        <w:numPr>
          <w:ilvl w:val="0"/>
          <w:numId w:val="0"/>
        </w:numPr>
        <w:rPr>
          <w:b/>
          <w:bCs/>
        </w:rPr>
      </w:pPr>
      <w:r w:rsidRPr="00310E7A">
        <w:rPr>
          <w:b/>
        </w:rPr>
        <w:lastRenderedPageBreak/>
        <w:t>Wijzigingsvoorstel 3</w:t>
      </w:r>
    </w:p>
    <w:p w14:paraId="3A9B2698" w14:textId="77777777" w:rsidR="0090606C" w:rsidRPr="00310E7A" w:rsidRDefault="00601604">
      <w:pPr>
        <w:keepNext/>
        <w:keepLines/>
        <w:jc w:val="left"/>
      </w:pPr>
      <w:r w:rsidRPr="00310E7A">
        <w:t>houdt verband met aanbeveling 1.3</w:t>
      </w:r>
    </w:p>
    <w:p w14:paraId="6D246517" w14:textId="08498FF9" w:rsidR="0090606C" w:rsidRPr="00310E7A" w:rsidRDefault="00601604">
      <w:pPr>
        <w:keepNext/>
        <w:keepLines/>
        <w:jc w:val="left"/>
      </w:pPr>
      <w:r w:rsidRPr="00310E7A">
        <w:t>Nieuw artikel, na het huidige artikel 7:</w:t>
      </w:r>
    </w:p>
    <w:p w14:paraId="1EF155B4" w14:textId="77777777" w:rsidR="0090606C" w:rsidRPr="00310E7A" w:rsidRDefault="0090606C" w:rsidP="00FA5329">
      <w:pPr>
        <w:keepNext/>
        <w:keepLines/>
        <w:spacing w:line="240" w:lineRule="auto"/>
        <w:jc w:val="left"/>
      </w:pPr>
    </w:p>
    <w:tbl>
      <w:tblPr>
        <w:tblW w:w="5000" w:type="pct"/>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4594"/>
        <w:gridCol w:w="4593"/>
      </w:tblGrid>
      <w:tr w:rsidR="0090606C" w:rsidRPr="00310E7A" w14:paraId="756153CB" w14:textId="77777777" w:rsidTr="00FA5329">
        <w:trPr>
          <w:trHeight w:val="300"/>
        </w:trPr>
        <w:tc>
          <w:tcPr>
            <w:tcW w:w="4529" w:type="dxa"/>
            <w:tcBorders>
              <w:top w:val="single" w:sz="2" w:space="0" w:color="auto"/>
              <w:left w:val="single" w:sz="2" w:space="0" w:color="auto"/>
              <w:bottom w:val="single" w:sz="2" w:space="0" w:color="auto"/>
              <w:right w:val="single" w:sz="2" w:space="0" w:color="auto"/>
            </w:tcBorders>
            <w:hideMark/>
          </w:tcPr>
          <w:p w14:paraId="28471553" w14:textId="77777777" w:rsidR="0090606C" w:rsidRPr="00310E7A" w:rsidRDefault="00601604">
            <w:pPr>
              <w:jc w:val="center"/>
              <w:rPr>
                <w:strike/>
                <w:spacing w:val="-2"/>
              </w:rPr>
            </w:pPr>
            <w:r w:rsidRPr="00310E7A">
              <w:rPr>
                <w:b/>
                <w:spacing w:val="-2"/>
              </w:rPr>
              <w:t>Door de Europese Commissie voorgestelde tekst</w:t>
            </w:r>
          </w:p>
        </w:tc>
        <w:tc>
          <w:tcPr>
            <w:tcW w:w="4528" w:type="dxa"/>
            <w:tcBorders>
              <w:top w:val="single" w:sz="2" w:space="0" w:color="auto"/>
              <w:left w:val="single" w:sz="2" w:space="0" w:color="auto"/>
              <w:bottom w:val="single" w:sz="2" w:space="0" w:color="auto"/>
              <w:right w:val="single" w:sz="2" w:space="0" w:color="auto"/>
            </w:tcBorders>
            <w:hideMark/>
          </w:tcPr>
          <w:p w14:paraId="4A09CF45" w14:textId="77777777" w:rsidR="0090606C" w:rsidRPr="00310E7A" w:rsidRDefault="00601604">
            <w:pPr>
              <w:jc w:val="center"/>
              <w:rPr>
                <w:spacing w:val="-2"/>
              </w:rPr>
            </w:pPr>
            <w:r w:rsidRPr="00310E7A">
              <w:rPr>
                <w:b/>
                <w:spacing w:val="-2"/>
              </w:rPr>
              <w:t>Wijzigingsvoorstel van het EESC</w:t>
            </w:r>
          </w:p>
        </w:tc>
      </w:tr>
      <w:tr w:rsidR="0090606C" w:rsidRPr="00310E7A" w14:paraId="12FDF21B" w14:textId="77777777" w:rsidTr="00FA5329">
        <w:trPr>
          <w:trHeight w:val="300"/>
        </w:trPr>
        <w:tc>
          <w:tcPr>
            <w:tcW w:w="4529" w:type="dxa"/>
            <w:tcBorders>
              <w:top w:val="single" w:sz="2" w:space="0" w:color="auto"/>
              <w:left w:val="single" w:sz="6" w:space="0" w:color="auto"/>
              <w:bottom w:val="single" w:sz="6" w:space="0" w:color="auto"/>
              <w:right w:val="single" w:sz="6" w:space="0" w:color="auto"/>
            </w:tcBorders>
            <w:hideMark/>
          </w:tcPr>
          <w:p w14:paraId="31D888C2" w14:textId="77777777" w:rsidR="0090606C" w:rsidRPr="00310E7A" w:rsidRDefault="0090606C">
            <w:pPr>
              <w:ind w:left="30" w:right="30"/>
            </w:pPr>
          </w:p>
        </w:tc>
        <w:tc>
          <w:tcPr>
            <w:tcW w:w="4528" w:type="dxa"/>
            <w:tcBorders>
              <w:top w:val="single" w:sz="2" w:space="0" w:color="auto"/>
              <w:left w:val="single" w:sz="6" w:space="0" w:color="auto"/>
              <w:bottom w:val="single" w:sz="6" w:space="0" w:color="auto"/>
              <w:right w:val="single" w:sz="6" w:space="0" w:color="auto"/>
            </w:tcBorders>
            <w:hideMark/>
          </w:tcPr>
          <w:p w14:paraId="5B03579C" w14:textId="77777777" w:rsidR="0090606C" w:rsidRPr="00310E7A" w:rsidRDefault="00601604">
            <w:pPr>
              <w:keepNext/>
              <w:keepLines/>
              <w:jc w:val="left"/>
              <w:rPr>
                <w:b/>
                <w:bCs/>
                <w:i/>
                <w:iCs/>
              </w:rPr>
            </w:pPr>
            <w:r w:rsidRPr="00310E7A">
              <w:rPr>
                <w:b/>
                <w:i/>
              </w:rPr>
              <w:t xml:space="preserve">Artikel 8 </w:t>
            </w:r>
          </w:p>
          <w:p w14:paraId="2A44F369" w14:textId="77777777" w:rsidR="0090606C" w:rsidRPr="00310E7A" w:rsidRDefault="00601604">
            <w:pPr>
              <w:keepNext/>
              <w:keepLines/>
              <w:jc w:val="left"/>
              <w:rPr>
                <w:b/>
                <w:bCs/>
                <w:i/>
                <w:iCs/>
              </w:rPr>
            </w:pPr>
            <w:r w:rsidRPr="00310E7A">
              <w:rPr>
                <w:b/>
                <w:i/>
              </w:rPr>
              <w:t>Algemene toekenningscriteria</w:t>
            </w:r>
          </w:p>
          <w:p w14:paraId="323AC0A9" w14:textId="77777777" w:rsidR="0090606C" w:rsidRPr="00310E7A" w:rsidRDefault="00601604">
            <w:pPr>
              <w:ind w:left="30" w:right="30"/>
              <w:rPr>
                <w:b/>
                <w:bCs/>
                <w:i/>
                <w:iCs/>
              </w:rPr>
            </w:pPr>
            <w:r w:rsidRPr="00310E7A">
              <w:rPr>
                <w:b/>
                <w:i/>
              </w:rPr>
              <w:t>Ter ondersteuning van de algemene doelstellingen van het EFC (artikel 3, lid 1) gelden de volgende criteria, die verband houden met het algemene concurrentievermogen van de EU, op alle terreinen als de voornaamste: 1) uitmuntendheid, 2) toekomstgerichtheid, 3) economisch potentieel. De algemene criteria gaan vergezeld van specifieke criteria voor elk van de terreinen, overeenkomstig de specifieke doelstellingen voor elk van de terreinen (artikel 3, lid 2).</w:t>
            </w:r>
          </w:p>
        </w:tc>
      </w:tr>
    </w:tbl>
    <w:p w14:paraId="333DC010" w14:textId="77777777" w:rsidR="0090606C" w:rsidRPr="00310E7A" w:rsidRDefault="0090606C" w:rsidP="00FA5329">
      <w:pPr>
        <w:spacing w:line="240" w:lineRule="auto"/>
        <w:jc w:val="center"/>
      </w:pPr>
    </w:p>
    <w:tbl>
      <w:tblPr>
        <w:tblW w:w="0" w:type="auto"/>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9057"/>
      </w:tblGrid>
      <w:tr w:rsidR="0090606C" w:rsidRPr="00310E7A" w14:paraId="454E1AF4" w14:textId="77777777" w:rsidTr="00FA5329">
        <w:trPr>
          <w:trHeight w:val="300"/>
        </w:trPr>
        <w:tc>
          <w:tcPr>
            <w:tcW w:w="9057" w:type="dxa"/>
            <w:tcBorders>
              <w:top w:val="single" w:sz="2" w:space="0" w:color="auto"/>
              <w:left w:val="single" w:sz="2" w:space="0" w:color="auto"/>
              <w:bottom w:val="single" w:sz="2" w:space="0" w:color="auto"/>
              <w:right w:val="single" w:sz="2" w:space="0" w:color="auto"/>
            </w:tcBorders>
            <w:hideMark/>
          </w:tcPr>
          <w:p w14:paraId="62FDFFE0" w14:textId="77777777" w:rsidR="0090606C" w:rsidRPr="00310E7A" w:rsidRDefault="00601604">
            <w:pPr>
              <w:keepNext/>
              <w:keepLines/>
              <w:jc w:val="center"/>
              <w:divId w:val="1334838238"/>
            </w:pPr>
            <w:r w:rsidRPr="00310E7A">
              <w:rPr>
                <w:b/>
              </w:rPr>
              <w:t>Motivering</w:t>
            </w:r>
          </w:p>
        </w:tc>
      </w:tr>
      <w:tr w:rsidR="0090606C" w:rsidRPr="00310E7A" w14:paraId="4967A278" w14:textId="77777777" w:rsidTr="00FA5329">
        <w:trPr>
          <w:trHeight w:val="300"/>
        </w:trPr>
        <w:tc>
          <w:tcPr>
            <w:tcW w:w="9057" w:type="dxa"/>
            <w:tcBorders>
              <w:top w:val="single" w:sz="2" w:space="0" w:color="auto"/>
              <w:left w:val="single" w:sz="6" w:space="0" w:color="auto"/>
              <w:bottom w:val="single" w:sz="6" w:space="0" w:color="auto"/>
              <w:right w:val="single" w:sz="6" w:space="0" w:color="auto"/>
            </w:tcBorders>
            <w:hideMark/>
          </w:tcPr>
          <w:p w14:paraId="606CCFAA" w14:textId="77777777" w:rsidR="0090606C" w:rsidRPr="00310E7A" w:rsidRDefault="00601604">
            <w:pPr>
              <w:keepNext/>
              <w:keepLines/>
              <w:ind w:left="30" w:right="30"/>
            </w:pPr>
            <w:r w:rsidRPr="00310E7A">
              <w:t>Zie de paragrafen 2.1 en 2.9.</w:t>
            </w:r>
          </w:p>
        </w:tc>
      </w:tr>
    </w:tbl>
    <w:p w14:paraId="27D0BD25" w14:textId="77777777" w:rsidR="0090606C" w:rsidRPr="00310E7A" w:rsidRDefault="0090606C">
      <w:pPr>
        <w:jc w:val="left"/>
      </w:pPr>
    </w:p>
    <w:p w14:paraId="0DF50F55" w14:textId="77777777" w:rsidR="0090606C" w:rsidRPr="00310E7A" w:rsidRDefault="00601604">
      <w:pPr>
        <w:pStyle w:val="Heading2"/>
        <w:keepNext/>
        <w:numPr>
          <w:ilvl w:val="0"/>
          <w:numId w:val="0"/>
        </w:numPr>
        <w:rPr>
          <w:b/>
          <w:bCs/>
        </w:rPr>
      </w:pPr>
      <w:r w:rsidRPr="00310E7A">
        <w:rPr>
          <w:b/>
        </w:rPr>
        <w:t>Wijzigingsvoorstel 4</w:t>
      </w:r>
    </w:p>
    <w:p w14:paraId="4047D935" w14:textId="77777777" w:rsidR="0090606C" w:rsidRPr="00310E7A" w:rsidRDefault="00601604">
      <w:pPr>
        <w:keepNext/>
        <w:keepLines/>
        <w:jc w:val="left"/>
      </w:pPr>
      <w:r w:rsidRPr="00310E7A">
        <w:t>in verband met aanbeveling 1.4</w:t>
      </w:r>
    </w:p>
    <w:p w14:paraId="0D59F005" w14:textId="0924E7F3" w:rsidR="0090606C" w:rsidRPr="00310E7A" w:rsidRDefault="00601604">
      <w:pPr>
        <w:keepNext/>
        <w:keepLines/>
        <w:jc w:val="left"/>
      </w:pPr>
      <w:r w:rsidRPr="00310E7A">
        <w:t>Aanvullend artikel, na het huidige artikel 8 (dat door wijzigingsvoorstel 3 artikel 9 zou worden):</w:t>
      </w:r>
    </w:p>
    <w:p w14:paraId="4E59B5E0" w14:textId="77777777" w:rsidR="0090606C" w:rsidRPr="00310E7A" w:rsidRDefault="0090606C" w:rsidP="00FA5329">
      <w:pPr>
        <w:keepNext/>
        <w:keepLines/>
        <w:spacing w:line="240" w:lineRule="auto"/>
        <w:jc w:val="left"/>
      </w:pPr>
    </w:p>
    <w:tbl>
      <w:tblPr>
        <w:tblW w:w="0" w:type="auto"/>
        <w:tblBorders>
          <w:top w:val="outset" w:sz="6" w:space="0" w:color="auto"/>
          <w:left w:val="outset" w:sz="6" w:space="0" w:color="auto"/>
          <w:bottom w:val="outset" w:sz="6" w:space="0" w:color="auto"/>
          <w:right w:val="outset" w:sz="6" w:space="0" w:color="auto"/>
        </w:tblBorders>
        <w:tblLayout w:type="fixed"/>
        <w:tblCellMar>
          <w:left w:w="57" w:type="dxa"/>
          <w:right w:w="57" w:type="dxa"/>
        </w:tblCellMar>
        <w:tblLook w:val="04A0" w:firstRow="1" w:lastRow="0" w:firstColumn="1" w:lastColumn="0" w:noHBand="0" w:noVBand="1"/>
      </w:tblPr>
      <w:tblGrid>
        <w:gridCol w:w="4529"/>
        <w:gridCol w:w="4528"/>
      </w:tblGrid>
      <w:tr w:rsidR="0090606C" w:rsidRPr="00310E7A" w14:paraId="323EB65A" w14:textId="77777777" w:rsidTr="00FA5329">
        <w:trPr>
          <w:trHeight w:val="300"/>
        </w:trPr>
        <w:tc>
          <w:tcPr>
            <w:tcW w:w="4529" w:type="dxa"/>
            <w:tcBorders>
              <w:top w:val="single" w:sz="2" w:space="0" w:color="auto"/>
              <w:left w:val="single" w:sz="2" w:space="0" w:color="auto"/>
              <w:bottom w:val="single" w:sz="2" w:space="0" w:color="auto"/>
              <w:right w:val="single" w:sz="2" w:space="0" w:color="auto"/>
            </w:tcBorders>
            <w:hideMark/>
          </w:tcPr>
          <w:p w14:paraId="62A325D8" w14:textId="77777777" w:rsidR="0090606C" w:rsidRPr="00310E7A" w:rsidRDefault="00601604" w:rsidP="00FA5329">
            <w:pPr>
              <w:outlineLvl w:val="1"/>
              <w:rPr>
                <w:strike/>
                <w:spacing w:val="-2"/>
              </w:rPr>
            </w:pPr>
            <w:r w:rsidRPr="00310E7A">
              <w:rPr>
                <w:b/>
                <w:spacing w:val="-2"/>
              </w:rPr>
              <w:t>Door de Europese Commissie voorgestelde tekst</w:t>
            </w:r>
          </w:p>
        </w:tc>
        <w:tc>
          <w:tcPr>
            <w:tcW w:w="4528" w:type="dxa"/>
            <w:tcBorders>
              <w:top w:val="single" w:sz="2" w:space="0" w:color="auto"/>
              <w:left w:val="single" w:sz="2" w:space="0" w:color="auto"/>
              <w:bottom w:val="single" w:sz="2" w:space="0" w:color="auto"/>
              <w:right w:val="single" w:sz="2" w:space="0" w:color="auto"/>
            </w:tcBorders>
            <w:hideMark/>
          </w:tcPr>
          <w:p w14:paraId="27EFB6A6" w14:textId="77777777" w:rsidR="0090606C" w:rsidRPr="00310E7A" w:rsidRDefault="00601604">
            <w:pPr>
              <w:jc w:val="center"/>
              <w:rPr>
                <w:spacing w:val="-2"/>
              </w:rPr>
            </w:pPr>
            <w:r w:rsidRPr="00310E7A">
              <w:rPr>
                <w:b/>
                <w:spacing w:val="-2"/>
              </w:rPr>
              <w:t>Wijzigingsvoorstel van het EESC</w:t>
            </w:r>
          </w:p>
        </w:tc>
      </w:tr>
      <w:tr w:rsidR="0090606C" w:rsidRPr="00310E7A" w14:paraId="153EAE34" w14:textId="77777777" w:rsidTr="00FA5329">
        <w:trPr>
          <w:trHeight w:val="300"/>
        </w:trPr>
        <w:tc>
          <w:tcPr>
            <w:tcW w:w="4529" w:type="dxa"/>
            <w:tcBorders>
              <w:top w:val="single" w:sz="2" w:space="0" w:color="auto"/>
              <w:left w:val="single" w:sz="6" w:space="0" w:color="auto"/>
              <w:bottom w:val="single" w:sz="6" w:space="0" w:color="auto"/>
              <w:right w:val="single" w:sz="6" w:space="0" w:color="auto"/>
            </w:tcBorders>
            <w:hideMark/>
          </w:tcPr>
          <w:p w14:paraId="2AE66F71" w14:textId="77777777" w:rsidR="0090606C" w:rsidRPr="00310E7A" w:rsidRDefault="0090606C" w:rsidP="00FA5329">
            <w:pPr>
              <w:ind w:left="57" w:right="57"/>
            </w:pPr>
          </w:p>
        </w:tc>
        <w:tc>
          <w:tcPr>
            <w:tcW w:w="4528" w:type="dxa"/>
            <w:tcBorders>
              <w:top w:val="single" w:sz="2" w:space="0" w:color="auto"/>
              <w:left w:val="single" w:sz="6" w:space="0" w:color="auto"/>
              <w:bottom w:val="single" w:sz="6" w:space="0" w:color="auto"/>
              <w:right w:val="single" w:sz="6" w:space="0" w:color="auto"/>
            </w:tcBorders>
            <w:hideMark/>
          </w:tcPr>
          <w:p w14:paraId="654E063C" w14:textId="77777777" w:rsidR="0090606C" w:rsidRPr="00310E7A" w:rsidRDefault="00601604" w:rsidP="00FA5329">
            <w:pPr>
              <w:ind w:left="57" w:right="57"/>
              <w:rPr>
                <w:b/>
                <w:bCs/>
                <w:i/>
                <w:iCs/>
              </w:rPr>
            </w:pPr>
            <w:r w:rsidRPr="00310E7A">
              <w:rPr>
                <w:b/>
                <w:i/>
              </w:rPr>
              <w:t>Artikel 10</w:t>
            </w:r>
          </w:p>
          <w:p w14:paraId="7D5210DF" w14:textId="77777777" w:rsidR="0090606C" w:rsidRPr="00310E7A" w:rsidRDefault="00601604" w:rsidP="00FA5329">
            <w:pPr>
              <w:ind w:left="57" w:right="57"/>
              <w:jc w:val="left"/>
              <w:rPr>
                <w:b/>
                <w:bCs/>
                <w:i/>
                <w:iCs/>
              </w:rPr>
            </w:pPr>
            <w:r w:rsidRPr="00310E7A">
              <w:rPr>
                <w:b/>
                <w:i/>
              </w:rPr>
              <w:t>Gelijk speelveld</w:t>
            </w:r>
          </w:p>
          <w:p w14:paraId="505E3C7D" w14:textId="77777777" w:rsidR="0090606C" w:rsidRPr="00310E7A" w:rsidRDefault="0090606C" w:rsidP="00012722">
            <w:pPr>
              <w:spacing w:line="240" w:lineRule="auto"/>
              <w:ind w:left="57" w:right="57"/>
              <w:jc w:val="left"/>
            </w:pPr>
          </w:p>
          <w:p w14:paraId="4A435C74" w14:textId="77777777" w:rsidR="0090606C" w:rsidRPr="00310E7A" w:rsidRDefault="00601604" w:rsidP="00FA5329">
            <w:pPr>
              <w:ind w:left="57" w:right="57"/>
              <w:jc w:val="left"/>
            </w:pPr>
            <w:r w:rsidRPr="00310E7A">
              <w:rPr>
                <w:b/>
                <w:i/>
              </w:rPr>
              <w:t>Besluiten over financiering voor specifieke gerichte doeleinden (artikelen 16 tot en met 20) moeten gebaseerd zijn op het principiële streven naar een gelijk speelveld in de hele EU voor economische actoren.</w:t>
            </w:r>
          </w:p>
        </w:tc>
      </w:tr>
    </w:tbl>
    <w:p w14:paraId="20ADAF20" w14:textId="77777777" w:rsidR="0090606C" w:rsidRPr="00310E7A" w:rsidRDefault="0090606C">
      <w:pPr>
        <w:jc w:val="center"/>
      </w:pPr>
    </w:p>
    <w:tbl>
      <w:tblPr>
        <w:tblW w:w="0" w:type="auto"/>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9057"/>
      </w:tblGrid>
      <w:tr w:rsidR="0090606C" w:rsidRPr="00310E7A" w14:paraId="7D419C54" w14:textId="77777777">
        <w:trPr>
          <w:trHeight w:val="300"/>
        </w:trPr>
        <w:tc>
          <w:tcPr>
            <w:tcW w:w="9057" w:type="dxa"/>
            <w:tcBorders>
              <w:top w:val="single" w:sz="2" w:space="0" w:color="auto"/>
              <w:left w:val="single" w:sz="2" w:space="0" w:color="auto"/>
              <w:bottom w:val="single" w:sz="2" w:space="0" w:color="auto"/>
              <w:right w:val="single" w:sz="2" w:space="0" w:color="auto"/>
            </w:tcBorders>
            <w:hideMark/>
          </w:tcPr>
          <w:p w14:paraId="422414E0" w14:textId="77777777" w:rsidR="0090606C" w:rsidRPr="00310E7A" w:rsidRDefault="00601604">
            <w:pPr>
              <w:keepNext/>
              <w:keepLines/>
              <w:jc w:val="center"/>
              <w:divId w:val="1152411509"/>
            </w:pPr>
            <w:r w:rsidRPr="00310E7A">
              <w:rPr>
                <w:b/>
              </w:rPr>
              <w:t>Motivering</w:t>
            </w:r>
          </w:p>
        </w:tc>
      </w:tr>
      <w:tr w:rsidR="0090606C" w:rsidRPr="00310E7A" w14:paraId="6C7B7DC2" w14:textId="77777777">
        <w:trPr>
          <w:trHeight w:val="300"/>
        </w:trPr>
        <w:tc>
          <w:tcPr>
            <w:tcW w:w="9057" w:type="dxa"/>
            <w:tcBorders>
              <w:top w:val="single" w:sz="2" w:space="0" w:color="auto"/>
              <w:left w:val="single" w:sz="6" w:space="0" w:color="auto"/>
              <w:bottom w:val="single" w:sz="6" w:space="0" w:color="auto"/>
              <w:right w:val="single" w:sz="6" w:space="0" w:color="auto"/>
            </w:tcBorders>
            <w:hideMark/>
          </w:tcPr>
          <w:p w14:paraId="5917433E" w14:textId="77777777" w:rsidR="0090606C" w:rsidRPr="00310E7A" w:rsidRDefault="00601604">
            <w:pPr>
              <w:keepNext/>
              <w:keepLines/>
              <w:ind w:left="30" w:right="30"/>
            </w:pPr>
            <w:r w:rsidRPr="00310E7A">
              <w:t>Zie paragrafen 2.11, 2.17 en 2.26.</w:t>
            </w:r>
          </w:p>
        </w:tc>
      </w:tr>
    </w:tbl>
    <w:p w14:paraId="58946C51" w14:textId="27E36A57" w:rsidR="0090606C" w:rsidRPr="00310E7A" w:rsidRDefault="0090606C">
      <w:pPr>
        <w:pStyle w:val="Header"/>
      </w:pPr>
    </w:p>
    <w:p w14:paraId="5A734E24" w14:textId="1489A04F" w:rsidR="00CD1734" w:rsidRPr="00310E7A" w:rsidRDefault="00CD1734">
      <w:pPr>
        <w:pStyle w:val="Header"/>
      </w:pPr>
    </w:p>
    <w:p w14:paraId="34EFD7C4" w14:textId="183B82D7" w:rsidR="00CD1734" w:rsidRPr="00310E7A" w:rsidRDefault="00CD1734" w:rsidP="00CD1734">
      <w:r w:rsidRPr="00310E7A">
        <w:t>Brussel, 14 november 2025.</w:t>
      </w:r>
    </w:p>
    <w:p w14:paraId="70355B15" w14:textId="77777777" w:rsidR="00CD1734" w:rsidRPr="00310E7A" w:rsidRDefault="00CD1734" w:rsidP="00012722">
      <w:pPr>
        <w:spacing w:line="240" w:lineRule="auto"/>
      </w:pPr>
    </w:p>
    <w:p w14:paraId="49F42F83" w14:textId="77777777" w:rsidR="00CD1734" w:rsidRPr="00310E7A" w:rsidRDefault="00CD1734" w:rsidP="00CD1734"/>
    <w:p w14:paraId="37CF8A3C" w14:textId="77777777" w:rsidR="00CD1734" w:rsidRPr="00310E7A" w:rsidRDefault="00CD1734" w:rsidP="00CD1734">
      <w:pPr>
        <w:spacing w:line="286" w:lineRule="auto"/>
        <w:jc w:val="left"/>
        <w:rPr>
          <w:i/>
        </w:rPr>
      </w:pPr>
      <w:r w:rsidRPr="00310E7A">
        <w:rPr>
          <w:i/>
        </w:rPr>
        <w:t>De voorzitter van de afdeling Interne Markt, Productie en Consumptie</w:t>
      </w:r>
    </w:p>
    <w:p w14:paraId="7ED7B962" w14:textId="5AF8BB03" w:rsidR="00CD1734" w:rsidRPr="00310E7A" w:rsidRDefault="00CD1734" w:rsidP="00CD1734">
      <w:pPr>
        <w:pStyle w:val="Header"/>
      </w:pPr>
      <w:r w:rsidRPr="00310E7A">
        <w:t>Émilie PROUZET</w:t>
      </w:r>
    </w:p>
    <w:p w14:paraId="510C4E8B" w14:textId="77777777" w:rsidR="0090606C" w:rsidRPr="00310E7A" w:rsidRDefault="00601604">
      <w:pPr>
        <w:jc w:val="center"/>
      </w:pPr>
      <w:r w:rsidRPr="00310E7A">
        <w:t>_____________</w:t>
      </w:r>
    </w:p>
    <w:sectPr w:rsidR="0090606C" w:rsidRPr="00310E7A" w:rsidSect="00432D8E">
      <w:headerReference w:type="even" r:id="rId25"/>
      <w:headerReference w:type="default" r:id="rId26"/>
      <w:footerReference w:type="even" r:id="rId27"/>
      <w:footerReference w:type="default" r:id="rId28"/>
      <w:headerReference w:type="first" r:id="rId29"/>
      <w:footerReference w:type="first" r:id="rId30"/>
      <w:pgSz w:w="11907" w:h="16839" w:code="9"/>
      <w:pgMar w:top="1417" w:right="1417" w:bottom="1417" w:left="1417"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843987" w14:textId="77777777" w:rsidR="0090606C" w:rsidRDefault="00601604">
      <w:r>
        <w:separator/>
      </w:r>
    </w:p>
  </w:endnote>
  <w:endnote w:type="continuationSeparator" w:id="0">
    <w:p w14:paraId="1671EDD9" w14:textId="77777777" w:rsidR="0090606C" w:rsidRDefault="006016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F8D2A9" w14:textId="77777777" w:rsidR="00432D8E" w:rsidRPr="00432D8E" w:rsidRDefault="00432D8E" w:rsidP="00432D8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581D4F" w14:textId="7411553A" w:rsidR="0090606C" w:rsidRPr="00432D8E" w:rsidRDefault="00432D8E" w:rsidP="00432D8E">
    <w:pPr>
      <w:pStyle w:val="Footer"/>
    </w:pPr>
    <w:r>
      <w:t xml:space="preserve">INT/1101 – EESC-2025-02576-00-01-AS-TRA (EN) </w:t>
    </w:r>
    <w:r>
      <w:fldChar w:fldCharType="begin"/>
    </w:r>
    <w:r>
      <w:instrText xml:space="preserve"> PAGE  \* Arabic  \* MERGEFORMAT </w:instrText>
    </w:r>
    <w:r>
      <w:fldChar w:fldCharType="separate"/>
    </w:r>
    <w:r w:rsidR="00374119">
      <w:t>1</w:t>
    </w:r>
    <w:r>
      <w:fldChar w:fldCharType="end"/>
    </w:r>
    <w:r>
      <w:t>/</w:t>
    </w:r>
    <w:r w:rsidR="00C1310C">
      <w:fldChar w:fldCharType="begin"/>
    </w:r>
    <w:r w:rsidR="00C1310C">
      <w:instrText xml:space="preserve"> NUMPAGES </w:instrText>
    </w:r>
    <w:r w:rsidR="00C1310C">
      <w:fldChar w:fldCharType="separate"/>
    </w:r>
    <w:r w:rsidR="00374119">
      <w:t>1</w:t>
    </w:r>
    <w:r w:rsidR="00C1310C">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08D0F3" w14:textId="77777777" w:rsidR="00432D8E" w:rsidRPr="00432D8E" w:rsidRDefault="00432D8E" w:rsidP="00432D8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9EFBA" w14:textId="77777777" w:rsidR="0090606C" w:rsidRPr="00432D8E" w:rsidRDefault="0090606C" w:rsidP="00432D8E">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32F3A5" w14:textId="0C16FB65" w:rsidR="0090606C" w:rsidRPr="00432D8E" w:rsidRDefault="00432D8E" w:rsidP="00432D8E">
    <w:pPr>
      <w:pStyle w:val="Footer"/>
    </w:pPr>
    <w:r>
      <w:t xml:space="preserve">INT/1101 – EESC-2025-02576-00-01-AS-TRA (EN) </w:t>
    </w:r>
    <w:r>
      <w:fldChar w:fldCharType="begin"/>
    </w:r>
    <w:r>
      <w:instrText xml:space="preserve"> PAGE  \* Arabic  \* MERGEFORMAT </w:instrText>
    </w:r>
    <w:r>
      <w:fldChar w:fldCharType="separate"/>
    </w:r>
    <w:r>
      <w:t>2</w:t>
    </w:r>
    <w:r>
      <w:fldChar w:fldCharType="end"/>
    </w:r>
    <w:r>
      <w:t>/</w:t>
    </w:r>
    <w:r w:rsidR="00C1310C">
      <w:fldChar w:fldCharType="begin"/>
    </w:r>
    <w:r w:rsidR="00C1310C">
      <w:instrText xml:space="preserve"> NUMPAGES </w:instrText>
    </w:r>
    <w:r w:rsidR="00C1310C">
      <w:fldChar w:fldCharType="separate"/>
    </w:r>
    <w:r>
      <w:t>12</w:t>
    </w:r>
    <w:r w:rsidR="00C1310C">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D33167" w14:textId="77777777" w:rsidR="0090606C" w:rsidRPr="00432D8E" w:rsidRDefault="0090606C" w:rsidP="00432D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EB2CA5" w14:textId="77777777" w:rsidR="0090606C" w:rsidRDefault="00601604">
      <w:r>
        <w:separator/>
      </w:r>
    </w:p>
  </w:footnote>
  <w:footnote w:type="continuationSeparator" w:id="0">
    <w:p w14:paraId="627C898A" w14:textId="77777777" w:rsidR="0090606C" w:rsidRDefault="00601604">
      <w:r>
        <w:continuationSeparator/>
      </w:r>
    </w:p>
  </w:footnote>
  <w:footnote w:id="1">
    <w:p w14:paraId="5D8D318F" w14:textId="1B31731C" w:rsidR="006F7338" w:rsidRPr="00FA5329" w:rsidRDefault="006F7338">
      <w:pPr>
        <w:pStyle w:val="FootnoteText"/>
      </w:pPr>
      <w:r>
        <w:rPr>
          <w:rStyle w:val="FootnoteReference"/>
        </w:rPr>
        <w:footnoteRef/>
      </w:r>
      <w:r>
        <w:tab/>
        <w:t>Beginsel 12 van de Blue Deal-verklaring van het EESC (oktober 2023).</w:t>
      </w:r>
    </w:p>
  </w:footnote>
  <w:footnote w:id="2">
    <w:p w14:paraId="3F42C207" w14:textId="45E837EF" w:rsidR="0090606C" w:rsidRDefault="00601604">
      <w:pPr>
        <w:pStyle w:val="FootnoteText"/>
      </w:pPr>
      <w:r>
        <w:rPr>
          <w:rStyle w:val="FootnoteReference"/>
        </w:rPr>
        <w:footnoteRef/>
      </w:r>
      <w:r>
        <w:tab/>
      </w:r>
      <w:hyperlink r:id="rId1" w:history="1">
        <w:r>
          <w:rPr>
            <w:rStyle w:val="Hyperlink"/>
          </w:rPr>
          <w:t>PB C 486, 21.12.2022, blz.1</w:t>
        </w:r>
      </w:hyperlink>
      <w:r>
        <w:t xml:space="preserve">, par. 1.1, par. 2.12; </w:t>
      </w:r>
      <w:hyperlink r:id="rId2" w:history="1">
        <w:r>
          <w:rPr>
            <w:rStyle w:val="Hyperlink"/>
          </w:rPr>
          <w:t>PB C 194, 12.5.2022, blz. 7</w:t>
        </w:r>
      </w:hyperlink>
      <w:r>
        <w:t xml:space="preserve">, par. 4.5; </w:t>
      </w:r>
      <w:hyperlink r:id="rId3" w:history="1">
        <w:r>
          <w:rPr>
            <w:rStyle w:val="Hyperlink"/>
          </w:rPr>
          <w:t>PB C 429, 11.12.2020, blz. 210</w:t>
        </w:r>
      </w:hyperlink>
      <w:r>
        <w:t>, par. 2.2; PB C, C/2025/3189, 2.7.2025, ELI: </w:t>
      </w:r>
      <w:hyperlink r:id="rId4" w:tgtFrame="_blank" w:tooltip="Biedt toegang tot dit document via de ELI-url ervan." w:history="1">
        <w:r>
          <w:rPr>
            <w:rStyle w:val="Hyperlink"/>
          </w:rPr>
          <w:t>http://data.europa.eu/eli/C/2025/3189/oj</w:t>
        </w:r>
      </w:hyperlink>
      <w:r>
        <w:t>; PB C, C/2025/4212, 20.8.2025, ELI: </w:t>
      </w:r>
      <w:hyperlink r:id="rId5" w:tgtFrame="_blank" w:tooltip="Biedt toegang tot dit document via de ELI-url ervan." w:history="1">
        <w:r>
          <w:rPr>
            <w:rStyle w:val="Hyperlink"/>
          </w:rPr>
          <w:t>http://data.europa.eu/eli/C/2025/4212/oj</w:t>
        </w:r>
      </w:hyperlink>
      <w:r>
        <w:t>, par. 3.2.1.</w:t>
      </w:r>
    </w:p>
  </w:footnote>
  <w:footnote w:id="3">
    <w:p w14:paraId="7F1A5F2E" w14:textId="0693CF06" w:rsidR="0090606C" w:rsidRDefault="00601604">
      <w:pPr>
        <w:pStyle w:val="FootnoteText"/>
        <w:rPr>
          <w:szCs w:val="16"/>
          <w:highlight w:val="yellow"/>
        </w:rPr>
      </w:pPr>
      <w:r>
        <w:rPr>
          <w:rStyle w:val="FootnoteReference"/>
        </w:rPr>
        <w:footnoteRef/>
      </w:r>
      <w:r>
        <w:tab/>
      </w:r>
      <w:hyperlink r:id="rId6" w:history="1">
        <w:r>
          <w:rPr>
            <w:rStyle w:val="Hyperlink"/>
          </w:rPr>
          <w:t>INT/1094 ‘Strategie voor de eengemaakte markt’</w:t>
        </w:r>
      </w:hyperlink>
      <w:r>
        <w:t xml:space="preserve"> (in voorbereiding); </w:t>
      </w:r>
      <w:hyperlink r:id="rId7" w:history="1">
        <w:r>
          <w:rPr>
            <w:rStyle w:val="Hyperlink"/>
          </w:rPr>
          <w:t>EESC-advies ‘Betere handhaving van de regels voor de eengemaakte markt: herziening van het huidige instrumentarium en kader</w:t>
        </w:r>
      </w:hyperlink>
      <w:r>
        <w:t>’ (nog niet bekendgemaakt in het Publicatieblad); PB C, C/2025/2004, 30.4.2025, ELI: </w:t>
      </w:r>
      <w:hyperlink r:id="rId8" w:tgtFrame="_blank" w:tooltip="Biedt toegang tot dit document via de ELI-url ervan." w:history="1">
        <w:r>
          <w:rPr>
            <w:rStyle w:val="Hyperlink"/>
          </w:rPr>
          <w:t>http://data.europa.eu/eli/C/2025/2004/oj</w:t>
        </w:r>
      </w:hyperlink>
      <w:r>
        <w:t>.</w:t>
      </w:r>
    </w:p>
  </w:footnote>
  <w:footnote w:id="4">
    <w:p w14:paraId="31C26358" w14:textId="77777777" w:rsidR="0090606C" w:rsidRDefault="00601604">
      <w:pPr>
        <w:pStyle w:val="FootnoteText"/>
        <w:spacing w:after="0"/>
      </w:pPr>
      <w:r>
        <w:rPr>
          <w:rStyle w:val="FootnoteReference"/>
          <w:szCs w:val="24"/>
        </w:rPr>
        <w:footnoteRef/>
      </w:r>
      <w:r>
        <w:tab/>
        <w:t>Bijvoorbeeld om te betalen voor toezeggingen om LNG en chips uit de VS te kopen.</w:t>
      </w:r>
    </w:p>
  </w:footnote>
  <w:footnote w:id="5">
    <w:p w14:paraId="0969F5B9" w14:textId="26105276" w:rsidR="0090606C" w:rsidRDefault="00601604">
      <w:pPr>
        <w:pStyle w:val="FootnoteText"/>
        <w:spacing w:after="0"/>
      </w:pPr>
      <w:r>
        <w:rPr>
          <w:rStyle w:val="FootnoteReference"/>
        </w:rPr>
        <w:footnoteRef/>
      </w:r>
      <w:r>
        <w:tab/>
      </w:r>
      <w:hyperlink r:id="rId9" w:history="1">
        <w:r>
          <w:rPr>
            <w:rStyle w:val="Hyperlink"/>
          </w:rPr>
          <w:t>https://commission.europa.eu/topics/budget/eu-budget-2028-2034-explained_nl</w:t>
        </w:r>
      </w:hyperlink>
      <w:r>
        <w:t xml:space="preserve">, </w:t>
      </w:r>
      <w:hyperlink r:id="rId10" w:history="1">
        <w:r>
          <w:rPr>
            <w:rStyle w:val="Hyperlink"/>
          </w:rPr>
          <w:t>https://commission.europa.eu/publications/multiannual-financial-framework_nl.</w:t>
        </w:r>
      </w:hyperlink>
      <w:r>
        <w:t xml:space="preserve"> </w:t>
      </w:r>
    </w:p>
  </w:footnote>
  <w:footnote w:id="6">
    <w:p w14:paraId="02415A5F" w14:textId="61A1FF63" w:rsidR="00D568A2" w:rsidRPr="00FA5329" w:rsidRDefault="00D568A2">
      <w:pPr>
        <w:pStyle w:val="FootnoteText"/>
        <w:rPr>
          <w:iCs/>
        </w:rPr>
      </w:pPr>
      <w:r>
        <w:rPr>
          <w:rStyle w:val="FootnoteReference"/>
        </w:rPr>
        <w:footnoteRef/>
      </w:r>
      <w:r>
        <w:tab/>
        <w:t>Acties 14 en 15 van de Blue Deal-verklaring van het EESC (oktober 2023).</w:t>
      </w:r>
    </w:p>
  </w:footnote>
  <w:footnote w:id="7">
    <w:p w14:paraId="41046A03" w14:textId="77777777" w:rsidR="0090606C" w:rsidRDefault="00601604">
      <w:pPr>
        <w:pStyle w:val="FootnoteText"/>
      </w:pPr>
      <w:r>
        <w:rPr>
          <w:rStyle w:val="FootnoteReference"/>
        </w:rPr>
        <w:footnoteRef/>
      </w:r>
      <w:r>
        <w:tab/>
        <w:t>COM(2025) 555 final – 2025/0555 (COD), overwegingen (70), (73) and (77).</w:t>
      </w:r>
    </w:p>
  </w:footnote>
  <w:footnote w:id="8">
    <w:p w14:paraId="6163CA95" w14:textId="77777777" w:rsidR="0090606C" w:rsidRDefault="00601604">
      <w:pPr>
        <w:pStyle w:val="FootnoteText"/>
      </w:pPr>
      <w:r>
        <w:rPr>
          <w:rStyle w:val="FootnoteReference"/>
        </w:rPr>
        <w:footnoteRef/>
      </w:r>
      <w:r>
        <w:tab/>
        <w:t xml:space="preserve">PB C, C/2024/6874, 28.11.2024, ELI: </w:t>
      </w:r>
      <w:hyperlink r:id="rId11" w:tgtFrame="_blank" w:tooltip="Biedt toegang tot dit document via de ELI-url ervan." w:history="1">
        <w:r>
          <w:rPr>
            <w:rStyle w:val="Hyperlink"/>
          </w:rPr>
          <w:t>http://data.europa.eu/eli/C/2024/6874/pb</w:t>
        </w:r>
      </w:hyperlink>
      <w:r>
        <w:t xml:space="preserve">; </w:t>
      </w:r>
      <w:hyperlink r:id="rId12" w:tgtFrame="_blank" w:tooltip="(opent in een nieuw venster)" w:history="1">
        <w:r>
          <w:rPr>
            <w:rStyle w:val="Hyperlink"/>
          </w:rPr>
          <w:t>PB C 62, 15.2.2019, blz. 33</w:t>
        </w:r>
      </w:hyperlink>
      <w:r>
        <w:t xml:space="preserve"> en </w:t>
      </w:r>
      <w:hyperlink r:id="rId13" w:tgtFrame="_blank" w:tooltip="(opent in een nieuw venster)" w:history="1">
        <w:r>
          <w:rPr>
            <w:rStyle w:val="Hyperlink"/>
          </w:rPr>
          <w:t>PB C 34, 2.2.2017, blz. 66</w:t>
        </w:r>
      </w:hyperlink>
      <w:r>
        <w:t>.</w:t>
      </w:r>
    </w:p>
  </w:footnote>
  <w:footnote w:id="9">
    <w:p w14:paraId="316642A0" w14:textId="77777777" w:rsidR="00A27CE3" w:rsidRPr="0093057B" w:rsidRDefault="00A27CE3" w:rsidP="00A27CE3">
      <w:pPr>
        <w:pStyle w:val="FootnoteText"/>
      </w:pPr>
      <w:r>
        <w:rPr>
          <w:rStyle w:val="FootnoteReference"/>
        </w:rPr>
        <w:footnoteRef/>
      </w:r>
      <w:r>
        <w:tab/>
        <w:t>Beginsel 12 van de Blue Deal-verklaring van het EESC (oktober 2023) en het initiatief voor waterweerbaarheid (september 2025).</w:t>
      </w:r>
    </w:p>
  </w:footnote>
  <w:footnote w:id="10">
    <w:p w14:paraId="4C5F99A2" w14:textId="3A53E4C3" w:rsidR="0090606C" w:rsidRDefault="00601604">
      <w:pPr>
        <w:pStyle w:val="FootnoteText"/>
      </w:pPr>
      <w:r>
        <w:rPr>
          <w:rStyle w:val="FootnoteReference"/>
        </w:rPr>
        <w:footnoteRef/>
      </w:r>
      <w:r>
        <w:tab/>
      </w:r>
      <w:hyperlink r:id="rId14" w:history="1">
        <w:r>
          <w:rPr>
            <w:rStyle w:val="Hyperlink"/>
          </w:rPr>
          <w:t>COM(2025) 555 final – 2025/0555 (COD), overweging (4)</w:t>
        </w:r>
      </w:hyperlink>
      <w:r>
        <w:t>.</w:t>
      </w:r>
    </w:p>
  </w:footnote>
  <w:footnote w:id="11">
    <w:p w14:paraId="0A95BE16" w14:textId="533085B0" w:rsidR="0090606C" w:rsidRDefault="00601604">
      <w:pPr>
        <w:pStyle w:val="FootnoteText"/>
      </w:pPr>
      <w:r>
        <w:rPr>
          <w:rStyle w:val="FootnoteReference"/>
        </w:rPr>
        <w:footnoteRef/>
      </w:r>
      <w:r>
        <w:tab/>
      </w:r>
      <w:hyperlink r:id="rId15" w:history="1">
        <w:r>
          <w:rPr>
            <w:rStyle w:val="Hyperlink"/>
          </w:rPr>
          <w:t>COM(2025) 555 final – 2025/0555 (COD), overweging (5)</w:t>
        </w:r>
      </w:hyperlink>
      <w:r>
        <w:t>.</w:t>
      </w:r>
    </w:p>
  </w:footnote>
  <w:footnote w:id="12">
    <w:p w14:paraId="2DAA0A7D" w14:textId="5DBE7621" w:rsidR="0090606C" w:rsidRDefault="00601604">
      <w:pPr>
        <w:pStyle w:val="FootnoteText"/>
      </w:pPr>
      <w:r>
        <w:rPr>
          <w:rStyle w:val="FootnoteReference"/>
        </w:rPr>
        <w:footnoteRef/>
      </w:r>
      <w:r>
        <w:tab/>
      </w:r>
      <w:hyperlink r:id="rId16" w:history="1">
        <w:r>
          <w:rPr>
            <w:rStyle w:val="Hyperlink"/>
          </w:rPr>
          <w:t>COM(2025) 555 final – 2025/0555 (COD), overwegingen (78) en (82)</w:t>
        </w:r>
      </w:hyperlink>
      <w:r>
        <w:t>.</w:t>
      </w:r>
    </w:p>
  </w:footnote>
  <w:footnote w:id="13">
    <w:p w14:paraId="6F613599" w14:textId="3898FC9A" w:rsidR="0090606C" w:rsidRDefault="00601604">
      <w:pPr>
        <w:pStyle w:val="FootnoteText"/>
      </w:pPr>
      <w:r>
        <w:rPr>
          <w:rStyle w:val="FootnoteReference"/>
        </w:rPr>
        <w:footnoteRef/>
      </w:r>
      <w:r>
        <w:tab/>
      </w:r>
      <w:hyperlink r:id="rId17" w:history="1">
        <w:r>
          <w:rPr>
            <w:rStyle w:val="Hyperlink"/>
          </w:rPr>
          <w:t>PB C 486, 21.12.2022, blz.1</w:t>
        </w:r>
      </w:hyperlink>
      <w:r>
        <w:t xml:space="preserve">, par. 1.1, par. 2.12; </w:t>
      </w:r>
      <w:hyperlink r:id="rId18" w:history="1">
        <w:r>
          <w:rPr>
            <w:rStyle w:val="Hyperlink"/>
          </w:rPr>
          <w:t>PB C 194, 12.5.2022, blz. 7</w:t>
        </w:r>
      </w:hyperlink>
      <w:r>
        <w:t xml:space="preserve">, par. 4.5; </w:t>
      </w:r>
      <w:hyperlink r:id="rId19" w:history="1">
        <w:r>
          <w:rPr>
            <w:rStyle w:val="Hyperlink"/>
          </w:rPr>
          <w:t>PB C 429, 11.12.2020, blz. 210</w:t>
        </w:r>
      </w:hyperlink>
      <w:r>
        <w:t>, par. 2.2; PB C, C/2025/4212, 20.8.2025, ELI: </w:t>
      </w:r>
      <w:hyperlink r:id="rId20" w:tgtFrame="_blank" w:tooltip="Biedt toegang tot dit document via de ELI-url ervan." w:history="1">
        <w:r>
          <w:rPr>
            <w:rStyle w:val="Hyperlink"/>
          </w:rPr>
          <w:t>http://data.europa.eu/eli/C/2025/4212/oj</w:t>
        </w:r>
      </w:hyperlink>
      <w:r>
        <w:t>, par. 3.2.1.</w:t>
      </w:r>
    </w:p>
  </w:footnote>
  <w:footnote w:id="14">
    <w:p w14:paraId="7F5226C3" w14:textId="7F76B438" w:rsidR="0090606C" w:rsidRDefault="00601604">
      <w:pPr>
        <w:pStyle w:val="FootnoteText"/>
      </w:pPr>
      <w:r>
        <w:rPr>
          <w:rStyle w:val="FootnoteReference"/>
        </w:rPr>
        <w:footnoteRef/>
      </w:r>
      <w:r>
        <w:tab/>
      </w:r>
      <w:hyperlink r:id="rId21" w:history="1">
        <w:r>
          <w:rPr>
            <w:rStyle w:val="Hyperlink"/>
          </w:rPr>
          <w:t>COM(2025) 555 final – 2025/0555 (COD), overweging (66)</w:t>
        </w:r>
      </w:hyperlink>
      <w:r>
        <w:t>.</w:t>
      </w:r>
    </w:p>
  </w:footnote>
  <w:footnote w:id="15">
    <w:p w14:paraId="0DA61488" w14:textId="4716B61C" w:rsidR="0090606C" w:rsidRDefault="00601604">
      <w:pPr>
        <w:pStyle w:val="FootnoteText"/>
      </w:pPr>
      <w:r>
        <w:rPr>
          <w:rStyle w:val="FootnoteReference"/>
        </w:rPr>
        <w:footnoteRef/>
      </w:r>
      <w:r>
        <w:tab/>
      </w:r>
      <w:hyperlink r:id="rId22" w:history="1">
        <w:r>
          <w:rPr>
            <w:rStyle w:val="Hyperlink"/>
          </w:rPr>
          <w:t>COM(2025) 555 final – 2025/0555 (COD), overweging (62)</w:t>
        </w:r>
      </w:hyperlink>
      <w:r>
        <w:t>.</w:t>
      </w:r>
    </w:p>
  </w:footnote>
  <w:footnote w:id="16">
    <w:p w14:paraId="376E6B77" w14:textId="4D5519FA" w:rsidR="0090606C" w:rsidRDefault="00601604">
      <w:pPr>
        <w:pStyle w:val="FootnoteText"/>
      </w:pPr>
      <w:r>
        <w:rPr>
          <w:rStyle w:val="FootnoteReference"/>
        </w:rPr>
        <w:footnoteRef/>
      </w:r>
      <w:r>
        <w:tab/>
      </w:r>
      <w:hyperlink r:id="rId23" w:history="1">
        <w:r>
          <w:rPr>
            <w:rStyle w:val="Hyperlink"/>
          </w:rPr>
          <w:t>COM(2025) 555 final – 2025/0555 (COD), overweging (63)</w:t>
        </w:r>
      </w:hyperlink>
      <w:r>
        <w:t>.</w:t>
      </w:r>
    </w:p>
  </w:footnote>
  <w:footnote w:id="17">
    <w:p w14:paraId="221D87B4" w14:textId="3D4DF7C1" w:rsidR="0090606C" w:rsidRDefault="00601604">
      <w:pPr>
        <w:pStyle w:val="FootnoteText"/>
      </w:pPr>
      <w:r>
        <w:rPr>
          <w:rStyle w:val="FootnoteReference"/>
        </w:rPr>
        <w:footnoteRef/>
      </w:r>
      <w:r>
        <w:tab/>
      </w:r>
      <w:hyperlink r:id="rId24" w:history="1">
        <w:r>
          <w:rPr>
            <w:rStyle w:val="Hyperlink"/>
          </w:rPr>
          <w:t>COM(2025) 555 final – 2025/0555 (COD), overweging (64)</w:t>
        </w:r>
      </w:hyperlink>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B0CED2" w14:textId="77777777" w:rsidR="00432D8E" w:rsidRPr="00432D8E" w:rsidRDefault="00432D8E" w:rsidP="00432D8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0EF063" w14:textId="2CDDF8EB" w:rsidR="00432D8E" w:rsidRPr="00432D8E" w:rsidRDefault="00432D8E" w:rsidP="00432D8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541E21" w14:textId="77777777" w:rsidR="00432D8E" w:rsidRPr="00432D8E" w:rsidRDefault="00432D8E" w:rsidP="00432D8E">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733E1F" w14:textId="77777777" w:rsidR="0090606C" w:rsidRPr="00432D8E" w:rsidRDefault="0090606C" w:rsidP="00432D8E">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A95887" w14:textId="3BF8C1C3" w:rsidR="0090606C" w:rsidRPr="00432D8E" w:rsidRDefault="0090606C" w:rsidP="00432D8E">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EB323D" w14:textId="77777777" w:rsidR="0090606C" w:rsidRPr="00432D8E" w:rsidRDefault="0090606C" w:rsidP="00432D8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991E7CCC"/>
    <w:lvl w:ilvl="0">
      <w:start w:val="1"/>
      <w:numFmt w:val="decimal"/>
      <w:pStyle w:val="Heading1"/>
      <w:lvlText w:val="%1."/>
      <w:legacy w:legacy="1" w:legacySpace="0" w:legacyIndent="0"/>
      <w:lvlJc w:val="left"/>
      <w:rPr>
        <w:b w:val="0"/>
        <w:bCs w:val="0"/>
      </w:rPr>
    </w:lvl>
    <w:lvl w:ilvl="1">
      <w:start w:val="1"/>
      <w:numFmt w:val="decimal"/>
      <w:pStyle w:val="Heading2"/>
      <w:lvlText w:val="%1.%2"/>
      <w:legacy w:legacy="1" w:legacySpace="144" w:legacyIndent="0"/>
      <w:lvlJc w:val="left"/>
      <w:rPr>
        <w:b w:val="0"/>
        <w:bCs w:val="0"/>
      </w:rPr>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15:restartNumberingAfterBreak="0">
    <w:nsid w:val="00C239EF"/>
    <w:multiLevelType w:val="multilevel"/>
    <w:tmpl w:val="9462F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A05380"/>
    <w:multiLevelType w:val="hybridMultilevel"/>
    <w:tmpl w:val="0578441C"/>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272B563D"/>
    <w:multiLevelType w:val="hybridMultilevel"/>
    <w:tmpl w:val="6ACCA8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AAC080C"/>
    <w:multiLevelType w:val="hybridMultilevel"/>
    <w:tmpl w:val="B652DA40"/>
    <w:lvl w:ilvl="0" w:tplc="080C0017">
      <w:start w:val="1"/>
      <w:numFmt w:val="lowerLetter"/>
      <w:lvlText w:val="%1)"/>
      <w:lvlJc w:val="left"/>
      <w:pPr>
        <w:ind w:left="360" w:hanging="360"/>
      </w:pPr>
    </w:lvl>
    <w:lvl w:ilvl="1" w:tplc="080C0019" w:tentative="1">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5" w15:restartNumberingAfterBreak="0">
    <w:nsid w:val="3BAE4401"/>
    <w:multiLevelType w:val="hybridMultilevel"/>
    <w:tmpl w:val="3A5065D0"/>
    <w:lvl w:ilvl="0" w:tplc="52620F36">
      <w:start w:val="1"/>
      <w:numFmt w:val="lowerLetter"/>
      <w:lvlText w:val="%1)"/>
      <w:lvlJc w:val="left"/>
      <w:pPr>
        <w:ind w:left="720" w:hanging="360"/>
      </w:pPr>
      <w:rPr>
        <w:b w:val="0"/>
        <w:bCs w:val="0"/>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3EEC2C05"/>
    <w:multiLevelType w:val="hybridMultilevel"/>
    <w:tmpl w:val="D52C7A1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8BE5558"/>
    <w:multiLevelType w:val="hybridMultilevel"/>
    <w:tmpl w:val="3E28E23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 w15:restartNumberingAfterBreak="0">
    <w:nsid w:val="4D447DCE"/>
    <w:multiLevelType w:val="hybridMultilevel"/>
    <w:tmpl w:val="00729754"/>
    <w:lvl w:ilvl="0" w:tplc="F64660EC">
      <w:start w:val="1"/>
      <w:numFmt w:val="upperRoman"/>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7981E46"/>
    <w:multiLevelType w:val="hybridMultilevel"/>
    <w:tmpl w:val="01BAA456"/>
    <w:lvl w:ilvl="0" w:tplc="F75C0ABC">
      <w:start w:val="1"/>
      <w:numFmt w:val="lowerLetter"/>
      <w:lvlText w:val="%1)"/>
      <w:lvlJc w:val="left"/>
      <w:pPr>
        <w:ind w:left="360" w:hanging="360"/>
      </w:pPr>
      <w:rPr>
        <w:color w:val="auto"/>
      </w:rPr>
    </w:lvl>
    <w:lvl w:ilvl="1" w:tplc="080C0019" w:tentative="1">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10" w15:restartNumberingAfterBreak="0">
    <w:nsid w:val="6A8F3A17"/>
    <w:multiLevelType w:val="hybridMultilevel"/>
    <w:tmpl w:val="6F9E66CC"/>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1" w15:restartNumberingAfterBreak="0">
    <w:nsid w:val="703B6A5A"/>
    <w:multiLevelType w:val="hybridMultilevel"/>
    <w:tmpl w:val="B9626BE4"/>
    <w:lvl w:ilvl="0" w:tplc="201C4710">
      <w:start w:val="4"/>
      <w:numFmt w:val="bullet"/>
      <w:lvlText w:val="-"/>
      <w:lvlJc w:val="left"/>
      <w:pPr>
        <w:ind w:left="480" w:hanging="360"/>
      </w:pPr>
      <w:rPr>
        <w:rFonts w:ascii="Times New Roman" w:eastAsia="Times New Roman" w:hAnsi="Times New Roman" w:cs="Times New Roman" w:hint="default"/>
      </w:rPr>
    </w:lvl>
    <w:lvl w:ilvl="1" w:tplc="04020003">
      <w:start w:val="1"/>
      <w:numFmt w:val="bullet"/>
      <w:lvlText w:val="o"/>
      <w:lvlJc w:val="left"/>
      <w:pPr>
        <w:ind w:left="1200" w:hanging="360"/>
      </w:pPr>
      <w:rPr>
        <w:rFonts w:ascii="Courier New" w:hAnsi="Courier New" w:cs="Courier New" w:hint="default"/>
      </w:rPr>
    </w:lvl>
    <w:lvl w:ilvl="2" w:tplc="04020005">
      <w:start w:val="1"/>
      <w:numFmt w:val="bullet"/>
      <w:lvlText w:val=""/>
      <w:lvlJc w:val="left"/>
      <w:pPr>
        <w:ind w:left="1920" w:hanging="360"/>
      </w:pPr>
      <w:rPr>
        <w:rFonts w:ascii="Wingdings" w:hAnsi="Wingdings" w:hint="default"/>
      </w:rPr>
    </w:lvl>
    <w:lvl w:ilvl="3" w:tplc="04020001">
      <w:start w:val="1"/>
      <w:numFmt w:val="bullet"/>
      <w:lvlText w:val=""/>
      <w:lvlJc w:val="left"/>
      <w:pPr>
        <w:ind w:left="2640" w:hanging="360"/>
      </w:pPr>
      <w:rPr>
        <w:rFonts w:ascii="Symbol" w:hAnsi="Symbol" w:hint="default"/>
      </w:rPr>
    </w:lvl>
    <w:lvl w:ilvl="4" w:tplc="04020003">
      <w:start w:val="1"/>
      <w:numFmt w:val="bullet"/>
      <w:lvlText w:val="o"/>
      <w:lvlJc w:val="left"/>
      <w:pPr>
        <w:ind w:left="3360" w:hanging="360"/>
      </w:pPr>
      <w:rPr>
        <w:rFonts w:ascii="Courier New" w:hAnsi="Courier New" w:cs="Courier New" w:hint="default"/>
      </w:rPr>
    </w:lvl>
    <w:lvl w:ilvl="5" w:tplc="04020005">
      <w:start w:val="1"/>
      <w:numFmt w:val="bullet"/>
      <w:lvlText w:val=""/>
      <w:lvlJc w:val="left"/>
      <w:pPr>
        <w:ind w:left="4080" w:hanging="360"/>
      </w:pPr>
      <w:rPr>
        <w:rFonts w:ascii="Wingdings" w:hAnsi="Wingdings" w:hint="default"/>
      </w:rPr>
    </w:lvl>
    <w:lvl w:ilvl="6" w:tplc="04020001">
      <w:start w:val="1"/>
      <w:numFmt w:val="bullet"/>
      <w:lvlText w:val=""/>
      <w:lvlJc w:val="left"/>
      <w:pPr>
        <w:ind w:left="4800" w:hanging="360"/>
      </w:pPr>
      <w:rPr>
        <w:rFonts w:ascii="Symbol" w:hAnsi="Symbol" w:hint="default"/>
      </w:rPr>
    </w:lvl>
    <w:lvl w:ilvl="7" w:tplc="04020003">
      <w:start w:val="1"/>
      <w:numFmt w:val="bullet"/>
      <w:lvlText w:val="o"/>
      <w:lvlJc w:val="left"/>
      <w:pPr>
        <w:ind w:left="5520" w:hanging="360"/>
      </w:pPr>
      <w:rPr>
        <w:rFonts w:ascii="Courier New" w:hAnsi="Courier New" w:cs="Courier New" w:hint="default"/>
      </w:rPr>
    </w:lvl>
    <w:lvl w:ilvl="8" w:tplc="04020005">
      <w:start w:val="1"/>
      <w:numFmt w:val="bullet"/>
      <w:lvlText w:val=""/>
      <w:lvlJc w:val="left"/>
      <w:pPr>
        <w:ind w:left="6240" w:hanging="360"/>
      </w:pPr>
      <w:rPr>
        <w:rFonts w:ascii="Wingdings" w:hAnsi="Wingdings" w:hint="default"/>
      </w:rPr>
    </w:lvl>
  </w:abstractNum>
  <w:abstractNum w:abstractNumId="12" w15:restartNumberingAfterBreak="0">
    <w:nsid w:val="740C5072"/>
    <w:multiLevelType w:val="hybridMultilevel"/>
    <w:tmpl w:val="F22ACF22"/>
    <w:lvl w:ilvl="0" w:tplc="040B0001">
      <w:start w:val="1"/>
      <w:numFmt w:val="bullet"/>
      <w:lvlText w:val=""/>
      <w:lvlJc w:val="left"/>
      <w:pPr>
        <w:ind w:left="1440" w:hanging="360"/>
      </w:pPr>
      <w:rPr>
        <w:rFonts w:ascii="Symbol" w:hAnsi="Symbol" w:hint="default"/>
      </w:rPr>
    </w:lvl>
    <w:lvl w:ilvl="1" w:tplc="040B0003" w:tentative="1">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13" w15:restartNumberingAfterBreak="0">
    <w:nsid w:val="78B47322"/>
    <w:multiLevelType w:val="hybridMultilevel"/>
    <w:tmpl w:val="3C3C1E20"/>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4" w15:restartNumberingAfterBreak="0">
    <w:nsid w:val="7E281574"/>
    <w:multiLevelType w:val="hybridMultilevel"/>
    <w:tmpl w:val="6F9E66CC"/>
    <w:lvl w:ilvl="0" w:tplc="080C0017">
      <w:start w:val="1"/>
      <w:numFmt w:val="lowerLetter"/>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8"/>
  </w:num>
  <w:num w:numId="2">
    <w:abstractNumId w:val="0"/>
  </w:num>
  <w:num w:numId="3">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num>
  <w:num w:numId="5">
    <w:abstractNumId w:val="3"/>
  </w:num>
  <w:num w:numId="6">
    <w:abstractNumId w:val="1"/>
  </w:num>
  <w:num w:numId="7">
    <w:abstractNumId w:val="5"/>
  </w:num>
  <w:num w:numId="8">
    <w:abstractNumId w:val="10"/>
  </w:num>
  <w:num w:numId="9">
    <w:abstractNumId w:val="14"/>
  </w:num>
  <w:num w:numId="10">
    <w:abstractNumId w:val="13"/>
  </w:num>
  <w:num w:numId="11">
    <w:abstractNumId w:val="2"/>
  </w:num>
  <w:num w:numId="12">
    <w:abstractNumId w:val="9"/>
  </w:num>
  <w:num w:numId="13">
    <w:abstractNumId w:val="4"/>
  </w:num>
  <w:num w:numId="14">
    <w:abstractNumId w:val="1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4"/>
    </w:lvlOverride>
    <w:lvlOverride w:ilvl="1">
      <w:startOverride w:val="2"/>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12"/>
  </w:num>
  <w:num w:numId="1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num>
  <w:num w:numId="21">
    <w:abstractNumId w:val="0"/>
    <w:lvlOverride w:ilvl="0">
      <w:startOverride w:val="3"/>
    </w:lvlOverride>
  </w:num>
  <w:num w:numId="22">
    <w:abstractNumId w:val="0"/>
    <w:lvlOverride w:ilvl="0">
      <w:startOverride w:val="3"/>
    </w:lvlOverride>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removePersonalInformation/>
  <w:embedSystemFonts/>
  <w:proofState w:spelling="clean" w:grammar="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doNotHyphenateCaps/>
  <w:drawingGridHorizontalSpacing w:val="110"/>
  <w:drawingGridVerticalSpacing w:val="299"/>
  <w:displayHorizontalDrawingGridEvery w:val="2"/>
  <w:displayVerticalDrawingGridEvery w:val="0"/>
  <w:noPunctuationKerning/>
  <w:characterSpacingControl w:val="doNotCompress"/>
  <w:doNotValidateAgainstSchema/>
  <w:doNotDemarcateInvalidXml/>
  <w:hdrShapeDefaults>
    <o:shapedefaults v:ext="edit" spidmax="696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F8F"/>
    <w:rsid w:val="000000C1"/>
    <w:rsid w:val="00000571"/>
    <w:rsid w:val="00000D0F"/>
    <w:rsid w:val="00001642"/>
    <w:rsid w:val="0000235E"/>
    <w:rsid w:val="00002741"/>
    <w:rsid w:val="00002B9F"/>
    <w:rsid w:val="00002FA7"/>
    <w:rsid w:val="00003646"/>
    <w:rsid w:val="00003A2F"/>
    <w:rsid w:val="00003F4C"/>
    <w:rsid w:val="00004050"/>
    <w:rsid w:val="00004188"/>
    <w:rsid w:val="00004856"/>
    <w:rsid w:val="00005AB9"/>
    <w:rsid w:val="00005EB9"/>
    <w:rsid w:val="00006217"/>
    <w:rsid w:val="00006912"/>
    <w:rsid w:val="00006BAD"/>
    <w:rsid w:val="00006E24"/>
    <w:rsid w:val="00007062"/>
    <w:rsid w:val="00007302"/>
    <w:rsid w:val="0000736E"/>
    <w:rsid w:val="00007560"/>
    <w:rsid w:val="000075E1"/>
    <w:rsid w:val="0000763E"/>
    <w:rsid w:val="00007A40"/>
    <w:rsid w:val="00011DA2"/>
    <w:rsid w:val="00012627"/>
    <w:rsid w:val="00012722"/>
    <w:rsid w:val="000128CD"/>
    <w:rsid w:val="00013F77"/>
    <w:rsid w:val="0001417B"/>
    <w:rsid w:val="0001472D"/>
    <w:rsid w:val="00015EA8"/>
    <w:rsid w:val="00016211"/>
    <w:rsid w:val="00016E22"/>
    <w:rsid w:val="00017391"/>
    <w:rsid w:val="00017B45"/>
    <w:rsid w:val="00020138"/>
    <w:rsid w:val="00020E6E"/>
    <w:rsid w:val="00022182"/>
    <w:rsid w:val="0002229F"/>
    <w:rsid w:val="000229C4"/>
    <w:rsid w:val="000229CD"/>
    <w:rsid w:val="00022A73"/>
    <w:rsid w:val="000242C4"/>
    <w:rsid w:val="00024685"/>
    <w:rsid w:val="00024D96"/>
    <w:rsid w:val="000255B3"/>
    <w:rsid w:val="00025D0E"/>
    <w:rsid w:val="00026608"/>
    <w:rsid w:val="000266E1"/>
    <w:rsid w:val="00026A08"/>
    <w:rsid w:val="00030973"/>
    <w:rsid w:val="00030E19"/>
    <w:rsid w:val="00030E72"/>
    <w:rsid w:val="00030F6C"/>
    <w:rsid w:val="000318A2"/>
    <w:rsid w:val="00031A4B"/>
    <w:rsid w:val="00031BFB"/>
    <w:rsid w:val="00032A1E"/>
    <w:rsid w:val="00032B76"/>
    <w:rsid w:val="000338E9"/>
    <w:rsid w:val="00033913"/>
    <w:rsid w:val="00033AFC"/>
    <w:rsid w:val="00033B4B"/>
    <w:rsid w:val="00033DB4"/>
    <w:rsid w:val="00033E5B"/>
    <w:rsid w:val="0003525D"/>
    <w:rsid w:val="000357A8"/>
    <w:rsid w:val="00035894"/>
    <w:rsid w:val="000377E7"/>
    <w:rsid w:val="00041305"/>
    <w:rsid w:val="000430A6"/>
    <w:rsid w:val="00044576"/>
    <w:rsid w:val="000446AF"/>
    <w:rsid w:val="00044923"/>
    <w:rsid w:val="000449C7"/>
    <w:rsid w:val="000458A4"/>
    <w:rsid w:val="00046BEA"/>
    <w:rsid w:val="00046E60"/>
    <w:rsid w:val="00046FAB"/>
    <w:rsid w:val="0005249C"/>
    <w:rsid w:val="00052551"/>
    <w:rsid w:val="000534A5"/>
    <w:rsid w:val="0005398E"/>
    <w:rsid w:val="0005435D"/>
    <w:rsid w:val="00054415"/>
    <w:rsid w:val="00054D94"/>
    <w:rsid w:val="00055094"/>
    <w:rsid w:val="000552FC"/>
    <w:rsid w:val="0005592F"/>
    <w:rsid w:val="00055A39"/>
    <w:rsid w:val="0005680D"/>
    <w:rsid w:val="00056DF4"/>
    <w:rsid w:val="00057433"/>
    <w:rsid w:val="0006012D"/>
    <w:rsid w:val="000608E4"/>
    <w:rsid w:val="00060B3D"/>
    <w:rsid w:val="00060EC5"/>
    <w:rsid w:val="00061FBF"/>
    <w:rsid w:val="000624E2"/>
    <w:rsid w:val="00062940"/>
    <w:rsid w:val="00062AD8"/>
    <w:rsid w:val="00062C52"/>
    <w:rsid w:val="00063389"/>
    <w:rsid w:val="00063763"/>
    <w:rsid w:val="0006385B"/>
    <w:rsid w:val="00063FB4"/>
    <w:rsid w:val="0006416A"/>
    <w:rsid w:val="000643AE"/>
    <w:rsid w:val="00064AA5"/>
    <w:rsid w:val="00065656"/>
    <w:rsid w:val="0006674E"/>
    <w:rsid w:val="000668AF"/>
    <w:rsid w:val="0006793E"/>
    <w:rsid w:val="00067A9B"/>
    <w:rsid w:val="00067C03"/>
    <w:rsid w:val="00072CC6"/>
    <w:rsid w:val="00072E0F"/>
    <w:rsid w:val="00073124"/>
    <w:rsid w:val="000735E5"/>
    <w:rsid w:val="0007392F"/>
    <w:rsid w:val="00074960"/>
    <w:rsid w:val="00075538"/>
    <w:rsid w:val="000769FB"/>
    <w:rsid w:val="00076F2D"/>
    <w:rsid w:val="00077E7C"/>
    <w:rsid w:val="00080042"/>
    <w:rsid w:val="00080F33"/>
    <w:rsid w:val="0008166C"/>
    <w:rsid w:val="00081D29"/>
    <w:rsid w:val="00082D59"/>
    <w:rsid w:val="00083005"/>
    <w:rsid w:val="0008339D"/>
    <w:rsid w:val="0008380C"/>
    <w:rsid w:val="00083CB5"/>
    <w:rsid w:val="00083CB8"/>
    <w:rsid w:val="000853C3"/>
    <w:rsid w:val="000854F1"/>
    <w:rsid w:val="000855B7"/>
    <w:rsid w:val="00085FA8"/>
    <w:rsid w:val="0008717F"/>
    <w:rsid w:val="000876F0"/>
    <w:rsid w:val="00087B39"/>
    <w:rsid w:val="00091DB5"/>
    <w:rsid w:val="00092A52"/>
    <w:rsid w:val="00092C9E"/>
    <w:rsid w:val="00093DCE"/>
    <w:rsid w:val="00093DE0"/>
    <w:rsid w:val="00094226"/>
    <w:rsid w:val="000943A9"/>
    <w:rsid w:val="0009484C"/>
    <w:rsid w:val="000948A2"/>
    <w:rsid w:val="00094ACC"/>
    <w:rsid w:val="00094BA2"/>
    <w:rsid w:val="00095279"/>
    <w:rsid w:val="00095701"/>
    <w:rsid w:val="0009643C"/>
    <w:rsid w:val="00096502"/>
    <w:rsid w:val="00096A64"/>
    <w:rsid w:val="00097E3F"/>
    <w:rsid w:val="000A08A7"/>
    <w:rsid w:val="000A0F76"/>
    <w:rsid w:val="000A23E3"/>
    <w:rsid w:val="000A3061"/>
    <w:rsid w:val="000A36B3"/>
    <w:rsid w:val="000A4385"/>
    <w:rsid w:val="000A49BB"/>
    <w:rsid w:val="000A54A5"/>
    <w:rsid w:val="000A5670"/>
    <w:rsid w:val="000A5829"/>
    <w:rsid w:val="000A5D7F"/>
    <w:rsid w:val="000A5E1D"/>
    <w:rsid w:val="000A621F"/>
    <w:rsid w:val="000A6251"/>
    <w:rsid w:val="000A64AE"/>
    <w:rsid w:val="000A7851"/>
    <w:rsid w:val="000A7B61"/>
    <w:rsid w:val="000B03A9"/>
    <w:rsid w:val="000B0CC8"/>
    <w:rsid w:val="000B106A"/>
    <w:rsid w:val="000B1073"/>
    <w:rsid w:val="000B24D9"/>
    <w:rsid w:val="000B349A"/>
    <w:rsid w:val="000B4774"/>
    <w:rsid w:val="000B5226"/>
    <w:rsid w:val="000B5C3F"/>
    <w:rsid w:val="000B5CF0"/>
    <w:rsid w:val="000B5F7B"/>
    <w:rsid w:val="000B67C2"/>
    <w:rsid w:val="000B68FA"/>
    <w:rsid w:val="000B6BA4"/>
    <w:rsid w:val="000B7369"/>
    <w:rsid w:val="000B7390"/>
    <w:rsid w:val="000B7545"/>
    <w:rsid w:val="000B77C8"/>
    <w:rsid w:val="000B79A7"/>
    <w:rsid w:val="000B7D06"/>
    <w:rsid w:val="000C095C"/>
    <w:rsid w:val="000C1524"/>
    <w:rsid w:val="000C3129"/>
    <w:rsid w:val="000C3441"/>
    <w:rsid w:val="000C3BEF"/>
    <w:rsid w:val="000C3C13"/>
    <w:rsid w:val="000C4328"/>
    <w:rsid w:val="000C4C09"/>
    <w:rsid w:val="000C5127"/>
    <w:rsid w:val="000C536A"/>
    <w:rsid w:val="000C54B1"/>
    <w:rsid w:val="000C5DA0"/>
    <w:rsid w:val="000C6B0C"/>
    <w:rsid w:val="000C6FED"/>
    <w:rsid w:val="000C70D6"/>
    <w:rsid w:val="000C7582"/>
    <w:rsid w:val="000C761B"/>
    <w:rsid w:val="000C7AFF"/>
    <w:rsid w:val="000C7BBE"/>
    <w:rsid w:val="000C7C5F"/>
    <w:rsid w:val="000C7E8E"/>
    <w:rsid w:val="000C7F53"/>
    <w:rsid w:val="000D01FF"/>
    <w:rsid w:val="000D0527"/>
    <w:rsid w:val="000D0A25"/>
    <w:rsid w:val="000D18A9"/>
    <w:rsid w:val="000D1A43"/>
    <w:rsid w:val="000D2215"/>
    <w:rsid w:val="000D2F8E"/>
    <w:rsid w:val="000D35B8"/>
    <w:rsid w:val="000D3BB3"/>
    <w:rsid w:val="000D3DA9"/>
    <w:rsid w:val="000D4E00"/>
    <w:rsid w:val="000D5881"/>
    <w:rsid w:val="000D6892"/>
    <w:rsid w:val="000D6CBA"/>
    <w:rsid w:val="000E03F7"/>
    <w:rsid w:val="000E09C2"/>
    <w:rsid w:val="000E235C"/>
    <w:rsid w:val="000E3187"/>
    <w:rsid w:val="000E3D1B"/>
    <w:rsid w:val="000E423D"/>
    <w:rsid w:val="000E514C"/>
    <w:rsid w:val="000E556D"/>
    <w:rsid w:val="000E5A1C"/>
    <w:rsid w:val="000E6DD2"/>
    <w:rsid w:val="000E7397"/>
    <w:rsid w:val="000E7564"/>
    <w:rsid w:val="000F099E"/>
    <w:rsid w:val="000F124B"/>
    <w:rsid w:val="000F1827"/>
    <w:rsid w:val="000F196B"/>
    <w:rsid w:val="000F1BF2"/>
    <w:rsid w:val="000F242E"/>
    <w:rsid w:val="000F251D"/>
    <w:rsid w:val="000F2898"/>
    <w:rsid w:val="000F2CBF"/>
    <w:rsid w:val="000F41C2"/>
    <w:rsid w:val="000F4B92"/>
    <w:rsid w:val="000F5DD2"/>
    <w:rsid w:val="000F72D2"/>
    <w:rsid w:val="00101352"/>
    <w:rsid w:val="0010241C"/>
    <w:rsid w:val="0010281D"/>
    <w:rsid w:val="00102D37"/>
    <w:rsid w:val="00103FE1"/>
    <w:rsid w:val="001041DC"/>
    <w:rsid w:val="001046B7"/>
    <w:rsid w:val="001050A0"/>
    <w:rsid w:val="00105361"/>
    <w:rsid w:val="001061CB"/>
    <w:rsid w:val="001064F3"/>
    <w:rsid w:val="00106D43"/>
    <w:rsid w:val="00106E23"/>
    <w:rsid w:val="00107235"/>
    <w:rsid w:val="00107982"/>
    <w:rsid w:val="001101F8"/>
    <w:rsid w:val="00111136"/>
    <w:rsid w:val="00111330"/>
    <w:rsid w:val="001116BD"/>
    <w:rsid w:val="00111995"/>
    <w:rsid w:val="00111A0D"/>
    <w:rsid w:val="0011206F"/>
    <w:rsid w:val="0011240F"/>
    <w:rsid w:val="00112DDB"/>
    <w:rsid w:val="00113A9A"/>
    <w:rsid w:val="00113F77"/>
    <w:rsid w:val="0011498A"/>
    <w:rsid w:val="0011538E"/>
    <w:rsid w:val="00115815"/>
    <w:rsid w:val="001164F5"/>
    <w:rsid w:val="0011656A"/>
    <w:rsid w:val="00117AB2"/>
    <w:rsid w:val="001208A1"/>
    <w:rsid w:val="00120987"/>
    <w:rsid w:val="00120C8B"/>
    <w:rsid w:val="00120E2F"/>
    <w:rsid w:val="00120E55"/>
    <w:rsid w:val="0012220C"/>
    <w:rsid w:val="00122327"/>
    <w:rsid w:val="00125835"/>
    <w:rsid w:val="00126630"/>
    <w:rsid w:val="00126BEB"/>
    <w:rsid w:val="00126C54"/>
    <w:rsid w:val="0012704E"/>
    <w:rsid w:val="00127387"/>
    <w:rsid w:val="00127493"/>
    <w:rsid w:val="00130928"/>
    <w:rsid w:val="00130983"/>
    <w:rsid w:val="00130BEC"/>
    <w:rsid w:val="00130DB0"/>
    <w:rsid w:val="00131982"/>
    <w:rsid w:val="00131F18"/>
    <w:rsid w:val="00131F37"/>
    <w:rsid w:val="0013362B"/>
    <w:rsid w:val="00133635"/>
    <w:rsid w:val="00133D9F"/>
    <w:rsid w:val="0013447C"/>
    <w:rsid w:val="00134583"/>
    <w:rsid w:val="00134E8C"/>
    <w:rsid w:val="001352EB"/>
    <w:rsid w:val="0013549B"/>
    <w:rsid w:val="00136531"/>
    <w:rsid w:val="00136A0D"/>
    <w:rsid w:val="00136EA3"/>
    <w:rsid w:val="00137575"/>
    <w:rsid w:val="00137808"/>
    <w:rsid w:val="00137CE2"/>
    <w:rsid w:val="00140323"/>
    <w:rsid w:val="0014036C"/>
    <w:rsid w:val="00140503"/>
    <w:rsid w:val="00140917"/>
    <w:rsid w:val="00141500"/>
    <w:rsid w:val="00141B3D"/>
    <w:rsid w:val="00142120"/>
    <w:rsid w:val="0014346D"/>
    <w:rsid w:val="00144231"/>
    <w:rsid w:val="001444BA"/>
    <w:rsid w:val="0014479F"/>
    <w:rsid w:val="001447DB"/>
    <w:rsid w:val="00144D19"/>
    <w:rsid w:val="00144DB0"/>
    <w:rsid w:val="00145470"/>
    <w:rsid w:val="00145838"/>
    <w:rsid w:val="0014636D"/>
    <w:rsid w:val="0014781D"/>
    <w:rsid w:val="00147BCA"/>
    <w:rsid w:val="00150434"/>
    <w:rsid w:val="0015084F"/>
    <w:rsid w:val="00151AAF"/>
    <w:rsid w:val="00152187"/>
    <w:rsid w:val="0015344E"/>
    <w:rsid w:val="001549A1"/>
    <w:rsid w:val="00154A79"/>
    <w:rsid w:val="001554E5"/>
    <w:rsid w:val="00155721"/>
    <w:rsid w:val="00155729"/>
    <w:rsid w:val="00155755"/>
    <w:rsid w:val="00156115"/>
    <w:rsid w:val="001579E5"/>
    <w:rsid w:val="00157E2B"/>
    <w:rsid w:val="001607A6"/>
    <w:rsid w:val="00160801"/>
    <w:rsid w:val="00161C0F"/>
    <w:rsid w:val="00163AFD"/>
    <w:rsid w:val="00163ED0"/>
    <w:rsid w:val="00164320"/>
    <w:rsid w:val="0016503F"/>
    <w:rsid w:val="00165131"/>
    <w:rsid w:val="0016674F"/>
    <w:rsid w:val="0016697C"/>
    <w:rsid w:val="00166B91"/>
    <w:rsid w:val="00167CA0"/>
    <w:rsid w:val="00170418"/>
    <w:rsid w:val="00170DF1"/>
    <w:rsid w:val="00171019"/>
    <w:rsid w:val="0017120D"/>
    <w:rsid w:val="001714F6"/>
    <w:rsid w:val="0017263F"/>
    <w:rsid w:val="00172A93"/>
    <w:rsid w:val="00175260"/>
    <w:rsid w:val="0017536B"/>
    <w:rsid w:val="00175823"/>
    <w:rsid w:val="0017597F"/>
    <w:rsid w:val="00175CD1"/>
    <w:rsid w:val="00175E26"/>
    <w:rsid w:val="00176168"/>
    <w:rsid w:val="0017650C"/>
    <w:rsid w:val="00176564"/>
    <w:rsid w:val="001766E3"/>
    <w:rsid w:val="00176CC6"/>
    <w:rsid w:val="00177028"/>
    <w:rsid w:val="00177158"/>
    <w:rsid w:val="00177B47"/>
    <w:rsid w:val="00181C57"/>
    <w:rsid w:val="0018206C"/>
    <w:rsid w:val="00182A2A"/>
    <w:rsid w:val="00182ECA"/>
    <w:rsid w:val="001831DB"/>
    <w:rsid w:val="00183E8C"/>
    <w:rsid w:val="0018421F"/>
    <w:rsid w:val="001843DE"/>
    <w:rsid w:val="00184FD4"/>
    <w:rsid w:val="00185DA5"/>
    <w:rsid w:val="0018609B"/>
    <w:rsid w:val="00186B04"/>
    <w:rsid w:val="00186F1E"/>
    <w:rsid w:val="00187DD3"/>
    <w:rsid w:val="001902FB"/>
    <w:rsid w:val="00190836"/>
    <w:rsid w:val="00190B4F"/>
    <w:rsid w:val="00190DD1"/>
    <w:rsid w:val="001916A1"/>
    <w:rsid w:val="001918EC"/>
    <w:rsid w:val="00191E06"/>
    <w:rsid w:val="00191F29"/>
    <w:rsid w:val="0019344F"/>
    <w:rsid w:val="00193460"/>
    <w:rsid w:val="0019354A"/>
    <w:rsid w:val="00193832"/>
    <w:rsid w:val="00193930"/>
    <w:rsid w:val="001944E9"/>
    <w:rsid w:val="00194B36"/>
    <w:rsid w:val="00194F66"/>
    <w:rsid w:val="001963A5"/>
    <w:rsid w:val="00196F1E"/>
    <w:rsid w:val="00196FBA"/>
    <w:rsid w:val="00197CFF"/>
    <w:rsid w:val="00197FCA"/>
    <w:rsid w:val="001A0211"/>
    <w:rsid w:val="001A08E3"/>
    <w:rsid w:val="001A0C9B"/>
    <w:rsid w:val="001A0FA8"/>
    <w:rsid w:val="001A1869"/>
    <w:rsid w:val="001A1C55"/>
    <w:rsid w:val="001A1FC3"/>
    <w:rsid w:val="001A24CB"/>
    <w:rsid w:val="001A27DB"/>
    <w:rsid w:val="001A529D"/>
    <w:rsid w:val="001A6852"/>
    <w:rsid w:val="001A6D93"/>
    <w:rsid w:val="001A7AB7"/>
    <w:rsid w:val="001B02A8"/>
    <w:rsid w:val="001B054B"/>
    <w:rsid w:val="001B19C6"/>
    <w:rsid w:val="001B2609"/>
    <w:rsid w:val="001B286A"/>
    <w:rsid w:val="001B2BA6"/>
    <w:rsid w:val="001B2D02"/>
    <w:rsid w:val="001B300F"/>
    <w:rsid w:val="001B3647"/>
    <w:rsid w:val="001B3A1F"/>
    <w:rsid w:val="001B3F2A"/>
    <w:rsid w:val="001B4DE7"/>
    <w:rsid w:val="001B659A"/>
    <w:rsid w:val="001B72FF"/>
    <w:rsid w:val="001B7708"/>
    <w:rsid w:val="001B77FA"/>
    <w:rsid w:val="001B79BE"/>
    <w:rsid w:val="001B7E07"/>
    <w:rsid w:val="001C0ABE"/>
    <w:rsid w:val="001C0B62"/>
    <w:rsid w:val="001C0D92"/>
    <w:rsid w:val="001C19F4"/>
    <w:rsid w:val="001C1CEB"/>
    <w:rsid w:val="001C1FFC"/>
    <w:rsid w:val="001C20B0"/>
    <w:rsid w:val="001C264C"/>
    <w:rsid w:val="001C2981"/>
    <w:rsid w:val="001C38B5"/>
    <w:rsid w:val="001C3BFA"/>
    <w:rsid w:val="001C4250"/>
    <w:rsid w:val="001C4A77"/>
    <w:rsid w:val="001C4AA3"/>
    <w:rsid w:val="001C4D9E"/>
    <w:rsid w:val="001C50F1"/>
    <w:rsid w:val="001C510A"/>
    <w:rsid w:val="001C5852"/>
    <w:rsid w:val="001C6856"/>
    <w:rsid w:val="001C69A5"/>
    <w:rsid w:val="001C7B6D"/>
    <w:rsid w:val="001D040A"/>
    <w:rsid w:val="001D0B67"/>
    <w:rsid w:val="001D19EB"/>
    <w:rsid w:val="001D201F"/>
    <w:rsid w:val="001D236F"/>
    <w:rsid w:val="001D3C4F"/>
    <w:rsid w:val="001D4556"/>
    <w:rsid w:val="001D45F0"/>
    <w:rsid w:val="001D4B77"/>
    <w:rsid w:val="001D5219"/>
    <w:rsid w:val="001D549B"/>
    <w:rsid w:val="001D6D46"/>
    <w:rsid w:val="001D6F62"/>
    <w:rsid w:val="001E05F9"/>
    <w:rsid w:val="001E0E7C"/>
    <w:rsid w:val="001E1335"/>
    <w:rsid w:val="001E1D16"/>
    <w:rsid w:val="001E227F"/>
    <w:rsid w:val="001E2610"/>
    <w:rsid w:val="001E4A33"/>
    <w:rsid w:val="001E5C27"/>
    <w:rsid w:val="001E6CAF"/>
    <w:rsid w:val="001E7117"/>
    <w:rsid w:val="001E789A"/>
    <w:rsid w:val="001F0B56"/>
    <w:rsid w:val="001F0EEB"/>
    <w:rsid w:val="001F110E"/>
    <w:rsid w:val="001F223A"/>
    <w:rsid w:val="001F2A2F"/>
    <w:rsid w:val="001F2BEB"/>
    <w:rsid w:val="001F371A"/>
    <w:rsid w:val="001F3853"/>
    <w:rsid w:val="001F5A94"/>
    <w:rsid w:val="001F602B"/>
    <w:rsid w:val="001F6AC8"/>
    <w:rsid w:val="001F7712"/>
    <w:rsid w:val="001F78DF"/>
    <w:rsid w:val="001F7A4D"/>
    <w:rsid w:val="001F7F4B"/>
    <w:rsid w:val="001F7F4C"/>
    <w:rsid w:val="00200540"/>
    <w:rsid w:val="0020057B"/>
    <w:rsid w:val="00200E75"/>
    <w:rsid w:val="002014DE"/>
    <w:rsid w:val="0020189B"/>
    <w:rsid w:val="002023F8"/>
    <w:rsid w:val="002024A8"/>
    <w:rsid w:val="002024E9"/>
    <w:rsid w:val="0020269F"/>
    <w:rsid w:val="002031DC"/>
    <w:rsid w:val="002031F9"/>
    <w:rsid w:val="00203741"/>
    <w:rsid w:val="002037D5"/>
    <w:rsid w:val="00203CCF"/>
    <w:rsid w:val="00204DD2"/>
    <w:rsid w:val="00204F81"/>
    <w:rsid w:val="002050E1"/>
    <w:rsid w:val="00205BC8"/>
    <w:rsid w:val="00205FB0"/>
    <w:rsid w:val="00206F90"/>
    <w:rsid w:val="00207500"/>
    <w:rsid w:val="00207B24"/>
    <w:rsid w:val="0021000D"/>
    <w:rsid w:val="002110FD"/>
    <w:rsid w:val="002115E5"/>
    <w:rsid w:val="00211D67"/>
    <w:rsid w:val="00212B03"/>
    <w:rsid w:val="002134AD"/>
    <w:rsid w:val="002142B8"/>
    <w:rsid w:val="00214394"/>
    <w:rsid w:val="00214410"/>
    <w:rsid w:val="00214BE4"/>
    <w:rsid w:val="00215828"/>
    <w:rsid w:val="002158CA"/>
    <w:rsid w:val="00215B56"/>
    <w:rsid w:val="00215C10"/>
    <w:rsid w:val="00215C2D"/>
    <w:rsid w:val="0021619E"/>
    <w:rsid w:val="00216B49"/>
    <w:rsid w:val="00216DC7"/>
    <w:rsid w:val="00217576"/>
    <w:rsid w:val="00217AD9"/>
    <w:rsid w:val="00217FA8"/>
    <w:rsid w:val="00220713"/>
    <w:rsid w:val="00220815"/>
    <w:rsid w:val="00220F59"/>
    <w:rsid w:val="002211D0"/>
    <w:rsid w:val="00221A06"/>
    <w:rsid w:val="00221A66"/>
    <w:rsid w:val="00222EC1"/>
    <w:rsid w:val="0022388F"/>
    <w:rsid w:val="0022399E"/>
    <w:rsid w:val="00224AF6"/>
    <w:rsid w:val="002252C4"/>
    <w:rsid w:val="0022541A"/>
    <w:rsid w:val="00226221"/>
    <w:rsid w:val="002267D2"/>
    <w:rsid w:val="00226A7C"/>
    <w:rsid w:val="00227E09"/>
    <w:rsid w:val="002313CF"/>
    <w:rsid w:val="0023140A"/>
    <w:rsid w:val="0023183A"/>
    <w:rsid w:val="0023183E"/>
    <w:rsid w:val="00232B04"/>
    <w:rsid w:val="00232F88"/>
    <w:rsid w:val="002330FC"/>
    <w:rsid w:val="00233227"/>
    <w:rsid w:val="0023377C"/>
    <w:rsid w:val="00233860"/>
    <w:rsid w:val="00233BB3"/>
    <w:rsid w:val="002340B7"/>
    <w:rsid w:val="00234A23"/>
    <w:rsid w:val="00235138"/>
    <w:rsid w:val="002356DD"/>
    <w:rsid w:val="00236BDA"/>
    <w:rsid w:val="00237E1D"/>
    <w:rsid w:val="0024002E"/>
    <w:rsid w:val="00241116"/>
    <w:rsid w:val="002411EE"/>
    <w:rsid w:val="002434ED"/>
    <w:rsid w:val="00243CF0"/>
    <w:rsid w:val="00243E36"/>
    <w:rsid w:val="00244393"/>
    <w:rsid w:val="0024540B"/>
    <w:rsid w:val="00245EF4"/>
    <w:rsid w:val="00245F43"/>
    <w:rsid w:val="002469D3"/>
    <w:rsid w:val="00246B00"/>
    <w:rsid w:val="00247AB0"/>
    <w:rsid w:val="00250E11"/>
    <w:rsid w:val="00250F3F"/>
    <w:rsid w:val="00251383"/>
    <w:rsid w:val="00251568"/>
    <w:rsid w:val="00251754"/>
    <w:rsid w:val="002522C9"/>
    <w:rsid w:val="00252A21"/>
    <w:rsid w:val="00253E4F"/>
    <w:rsid w:val="002542E4"/>
    <w:rsid w:val="0025540F"/>
    <w:rsid w:val="00256502"/>
    <w:rsid w:val="00256B6E"/>
    <w:rsid w:val="00257469"/>
    <w:rsid w:val="00257E7F"/>
    <w:rsid w:val="002602E5"/>
    <w:rsid w:val="00261053"/>
    <w:rsid w:val="002619A4"/>
    <w:rsid w:val="00261D79"/>
    <w:rsid w:val="0026220E"/>
    <w:rsid w:val="00262416"/>
    <w:rsid w:val="002624E5"/>
    <w:rsid w:val="00262FDE"/>
    <w:rsid w:val="00263629"/>
    <w:rsid w:val="00263E94"/>
    <w:rsid w:val="00263F28"/>
    <w:rsid w:val="002641D0"/>
    <w:rsid w:val="00265151"/>
    <w:rsid w:val="002663DC"/>
    <w:rsid w:val="00266A3B"/>
    <w:rsid w:val="0026785C"/>
    <w:rsid w:val="0027010A"/>
    <w:rsid w:val="002715EE"/>
    <w:rsid w:val="00272583"/>
    <w:rsid w:val="00273005"/>
    <w:rsid w:val="002733E5"/>
    <w:rsid w:val="00274649"/>
    <w:rsid w:val="0027499E"/>
    <w:rsid w:val="0027540A"/>
    <w:rsid w:val="00275E25"/>
    <w:rsid w:val="002764E0"/>
    <w:rsid w:val="00276930"/>
    <w:rsid w:val="002769BD"/>
    <w:rsid w:val="0028009F"/>
    <w:rsid w:val="00280912"/>
    <w:rsid w:val="002809EA"/>
    <w:rsid w:val="00280BE8"/>
    <w:rsid w:val="00280D5C"/>
    <w:rsid w:val="00280ED8"/>
    <w:rsid w:val="002812B8"/>
    <w:rsid w:val="00282B61"/>
    <w:rsid w:val="00283DCE"/>
    <w:rsid w:val="002845B9"/>
    <w:rsid w:val="002846C2"/>
    <w:rsid w:val="00284962"/>
    <w:rsid w:val="00284C67"/>
    <w:rsid w:val="00285CE0"/>
    <w:rsid w:val="00286280"/>
    <w:rsid w:val="00286318"/>
    <w:rsid w:val="00286CAE"/>
    <w:rsid w:val="00287414"/>
    <w:rsid w:val="002874BC"/>
    <w:rsid w:val="00287B0E"/>
    <w:rsid w:val="002901A7"/>
    <w:rsid w:val="00290D7E"/>
    <w:rsid w:val="002915C8"/>
    <w:rsid w:val="00293914"/>
    <w:rsid w:val="00293C9D"/>
    <w:rsid w:val="00293E1F"/>
    <w:rsid w:val="00295327"/>
    <w:rsid w:val="0029549C"/>
    <w:rsid w:val="002954B9"/>
    <w:rsid w:val="00295E76"/>
    <w:rsid w:val="00296554"/>
    <w:rsid w:val="00296829"/>
    <w:rsid w:val="002977EC"/>
    <w:rsid w:val="002A07A1"/>
    <w:rsid w:val="002A0B53"/>
    <w:rsid w:val="002A0EEF"/>
    <w:rsid w:val="002A173F"/>
    <w:rsid w:val="002A266B"/>
    <w:rsid w:val="002A28C9"/>
    <w:rsid w:val="002A2A7F"/>
    <w:rsid w:val="002A351C"/>
    <w:rsid w:val="002A478B"/>
    <w:rsid w:val="002A62C7"/>
    <w:rsid w:val="002A6949"/>
    <w:rsid w:val="002A6A34"/>
    <w:rsid w:val="002B1A65"/>
    <w:rsid w:val="002B1D88"/>
    <w:rsid w:val="002B2300"/>
    <w:rsid w:val="002B2316"/>
    <w:rsid w:val="002B2DF7"/>
    <w:rsid w:val="002B325E"/>
    <w:rsid w:val="002B33FF"/>
    <w:rsid w:val="002B3A28"/>
    <w:rsid w:val="002B3F78"/>
    <w:rsid w:val="002B4037"/>
    <w:rsid w:val="002B48D5"/>
    <w:rsid w:val="002B4CD2"/>
    <w:rsid w:val="002B5128"/>
    <w:rsid w:val="002B51C5"/>
    <w:rsid w:val="002B7200"/>
    <w:rsid w:val="002B7889"/>
    <w:rsid w:val="002B7B60"/>
    <w:rsid w:val="002B7D95"/>
    <w:rsid w:val="002C01B5"/>
    <w:rsid w:val="002C0CBD"/>
    <w:rsid w:val="002C0E0E"/>
    <w:rsid w:val="002C1D46"/>
    <w:rsid w:val="002C2111"/>
    <w:rsid w:val="002C2A0D"/>
    <w:rsid w:val="002C31A8"/>
    <w:rsid w:val="002C3BF4"/>
    <w:rsid w:val="002C4653"/>
    <w:rsid w:val="002C4ACC"/>
    <w:rsid w:val="002C5D23"/>
    <w:rsid w:val="002C6A6C"/>
    <w:rsid w:val="002C6CE6"/>
    <w:rsid w:val="002C6E45"/>
    <w:rsid w:val="002C6E9D"/>
    <w:rsid w:val="002C73DB"/>
    <w:rsid w:val="002C749F"/>
    <w:rsid w:val="002D006F"/>
    <w:rsid w:val="002D06D2"/>
    <w:rsid w:val="002D0983"/>
    <w:rsid w:val="002D185A"/>
    <w:rsid w:val="002D1F11"/>
    <w:rsid w:val="002D2288"/>
    <w:rsid w:val="002D2636"/>
    <w:rsid w:val="002D2E51"/>
    <w:rsid w:val="002D37B0"/>
    <w:rsid w:val="002D43AD"/>
    <w:rsid w:val="002D51E5"/>
    <w:rsid w:val="002D5AE6"/>
    <w:rsid w:val="002D60B4"/>
    <w:rsid w:val="002D7444"/>
    <w:rsid w:val="002D7FB6"/>
    <w:rsid w:val="002E1BC5"/>
    <w:rsid w:val="002E42C7"/>
    <w:rsid w:val="002E49B6"/>
    <w:rsid w:val="002E5AE1"/>
    <w:rsid w:val="002E5D57"/>
    <w:rsid w:val="002E6137"/>
    <w:rsid w:val="002E61A3"/>
    <w:rsid w:val="002E76B6"/>
    <w:rsid w:val="002E7A58"/>
    <w:rsid w:val="002E7A78"/>
    <w:rsid w:val="002F059B"/>
    <w:rsid w:val="002F12D7"/>
    <w:rsid w:val="002F13B7"/>
    <w:rsid w:val="002F1561"/>
    <w:rsid w:val="002F24B2"/>
    <w:rsid w:val="002F25A5"/>
    <w:rsid w:val="002F2ED5"/>
    <w:rsid w:val="002F3442"/>
    <w:rsid w:val="002F3A74"/>
    <w:rsid w:val="002F41CD"/>
    <w:rsid w:val="002F546A"/>
    <w:rsid w:val="002F5494"/>
    <w:rsid w:val="002F56C1"/>
    <w:rsid w:val="002F5B0B"/>
    <w:rsid w:val="002F5B13"/>
    <w:rsid w:val="002F6AC3"/>
    <w:rsid w:val="002F74BD"/>
    <w:rsid w:val="00300924"/>
    <w:rsid w:val="00300C1C"/>
    <w:rsid w:val="00300EA6"/>
    <w:rsid w:val="00303979"/>
    <w:rsid w:val="00304D46"/>
    <w:rsid w:val="00305777"/>
    <w:rsid w:val="0030596E"/>
    <w:rsid w:val="00305E7F"/>
    <w:rsid w:val="00305E96"/>
    <w:rsid w:val="003060D9"/>
    <w:rsid w:val="00306A57"/>
    <w:rsid w:val="003073AB"/>
    <w:rsid w:val="003073C3"/>
    <w:rsid w:val="003074AB"/>
    <w:rsid w:val="00307D89"/>
    <w:rsid w:val="00307F10"/>
    <w:rsid w:val="00310428"/>
    <w:rsid w:val="003106D7"/>
    <w:rsid w:val="0031071A"/>
    <w:rsid w:val="003107E1"/>
    <w:rsid w:val="00310992"/>
    <w:rsid w:val="00310B5D"/>
    <w:rsid w:val="00310B89"/>
    <w:rsid w:val="00310E7A"/>
    <w:rsid w:val="003114D3"/>
    <w:rsid w:val="00311759"/>
    <w:rsid w:val="00311946"/>
    <w:rsid w:val="003119B6"/>
    <w:rsid w:val="003127B4"/>
    <w:rsid w:val="00313941"/>
    <w:rsid w:val="00313A46"/>
    <w:rsid w:val="0031538C"/>
    <w:rsid w:val="00315539"/>
    <w:rsid w:val="0031582A"/>
    <w:rsid w:val="00316937"/>
    <w:rsid w:val="00316A35"/>
    <w:rsid w:val="00316F90"/>
    <w:rsid w:val="00317579"/>
    <w:rsid w:val="003178FB"/>
    <w:rsid w:val="00320A08"/>
    <w:rsid w:val="00320CA2"/>
    <w:rsid w:val="00320CAA"/>
    <w:rsid w:val="0032120A"/>
    <w:rsid w:val="00321C7C"/>
    <w:rsid w:val="00322963"/>
    <w:rsid w:val="00322DF3"/>
    <w:rsid w:val="00323637"/>
    <w:rsid w:val="00323C0E"/>
    <w:rsid w:val="00323FBB"/>
    <w:rsid w:val="00324666"/>
    <w:rsid w:val="00324E8A"/>
    <w:rsid w:val="00324EC9"/>
    <w:rsid w:val="00325E35"/>
    <w:rsid w:val="00326D1B"/>
    <w:rsid w:val="00326EA1"/>
    <w:rsid w:val="00327D26"/>
    <w:rsid w:val="00327DBC"/>
    <w:rsid w:val="0033024E"/>
    <w:rsid w:val="00331786"/>
    <w:rsid w:val="00331D87"/>
    <w:rsid w:val="00332095"/>
    <w:rsid w:val="0033246B"/>
    <w:rsid w:val="00332850"/>
    <w:rsid w:val="00332B80"/>
    <w:rsid w:val="00332D02"/>
    <w:rsid w:val="00332DEB"/>
    <w:rsid w:val="00334478"/>
    <w:rsid w:val="003346B4"/>
    <w:rsid w:val="00334AE6"/>
    <w:rsid w:val="00335107"/>
    <w:rsid w:val="00335249"/>
    <w:rsid w:val="00335BF4"/>
    <w:rsid w:val="00335F85"/>
    <w:rsid w:val="00335FCB"/>
    <w:rsid w:val="003360FA"/>
    <w:rsid w:val="003365D0"/>
    <w:rsid w:val="00336CCE"/>
    <w:rsid w:val="00337D54"/>
    <w:rsid w:val="00340558"/>
    <w:rsid w:val="00340E89"/>
    <w:rsid w:val="0034110C"/>
    <w:rsid w:val="00341CC6"/>
    <w:rsid w:val="00342FA4"/>
    <w:rsid w:val="003431AD"/>
    <w:rsid w:val="003439AB"/>
    <w:rsid w:val="00344195"/>
    <w:rsid w:val="00344667"/>
    <w:rsid w:val="00344C38"/>
    <w:rsid w:val="0034525B"/>
    <w:rsid w:val="003453E4"/>
    <w:rsid w:val="003458AD"/>
    <w:rsid w:val="00345916"/>
    <w:rsid w:val="00345A97"/>
    <w:rsid w:val="00346150"/>
    <w:rsid w:val="00346FFA"/>
    <w:rsid w:val="00350719"/>
    <w:rsid w:val="00351ABA"/>
    <w:rsid w:val="0035236E"/>
    <w:rsid w:val="003528F2"/>
    <w:rsid w:val="003536F7"/>
    <w:rsid w:val="00353B87"/>
    <w:rsid w:val="00353CB8"/>
    <w:rsid w:val="00354695"/>
    <w:rsid w:val="0035549B"/>
    <w:rsid w:val="00355563"/>
    <w:rsid w:val="00356B87"/>
    <w:rsid w:val="00356F62"/>
    <w:rsid w:val="00357CB3"/>
    <w:rsid w:val="003609F6"/>
    <w:rsid w:val="00360F0B"/>
    <w:rsid w:val="0036100C"/>
    <w:rsid w:val="00361882"/>
    <w:rsid w:val="00361CBE"/>
    <w:rsid w:val="0036350D"/>
    <w:rsid w:val="003635EA"/>
    <w:rsid w:val="003635EC"/>
    <w:rsid w:val="00363D47"/>
    <w:rsid w:val="0036429F"/>
    <w:rsid w:val="003645AD"/>
    <w:rsid w:val="003649EF"/>
    <w:rsid w:val="00365078"/>
    <w:rsid w:val="00365E7D"/>
    <w:rsid w:val="003665BC"/>
    <w:rsid w:val="00366C43"/>
    <w:rsid w:val="00367D8B"/>
    <w:rsid w:val="00367FD9"/>
    <w:rsid w:val="00371419"/>
    <w:rsid w:val="0037225F"/>
    <w:rsid w:val="00373E8F"/>
    <w:rsid w:val="00374119"/>
    <w:rsid w:val="00374B59"/>
    <w:rsid w:val="00374CA0"/>
    <w:rsid w:val="003755C8"/>
    <w:rsid w:val="00375687"/>
    <w:rsid w:val="003757C4"/>
    <w:rsid w:val="003759FC"/>
    <w:rsid w:val="00375C20"/>
    <w:rsid w:val="00375F6B"/>
    <w:rsid w:val="00376316"/>
    <w:rsid w:val="00377EAE"/>
    <w:rsid w:val="00380A75"/>
    <w:rsid w:val="00380AE0"/>
    <w:rsid w:val="00381078"/>
    <w:rsid w:val="00381DBD"/>
    <w:rsid w:val="00382C8A"/>
    <w:rsid w:val="00383324"/>
    <w:rsid w:val="00383465"/>
    <w:rsid w:val="00383967"/>
    <w:rsid w:val="00384FD5"/>
    <w:rsid w:val="00385B6A"/>
    <w:rsid w:val="00385CA8"/>
    <w:rsid w:val="00387357"/>
    <w:rsid w:val="00387527"/>
    <w:rsid w:val="00387A75"/>
    <w:rsid w:val="00387FB2"/>
    <w:rsid w:val="003904DC"/>
    <w:rsid w:val="003904FD"/>
    <w:rsid w:val="00390545"/>
    <w:rsid w:val="003906A8"/>
    <w:rsid w:val="00390F34"/>
    <w:rsid w:val="003914DB"/>
    <w:rsid w:val="00391694"/>
    <w:rsid w:val="003916DE"/>
    <w:rsid w:val="00391BFC"/>
    <w:rsid w:val="00391F83"/>
    <w:rsid w:val="003920AB"/>
    <w:rsid w:val="003923AF"/>
    <w:rsid w:val="0039246C"/>
    <w:rsid w:val="00393863"/>
    <w:rsid w:val="00394125"/>
    <w:rsid w:val="00394254"/>
    <w:rsid w:val="0039465F"/>
    <w:rsid w:val="00394B73"/>
    <w:rsid w:val="003976DE"/>
    <w:rsid w:val="00397B4F"/>
    <w:rsid w:val="00397FFC"/>
    <w:rsid w:val="003A0394"/>
    <w:rsid w:val="003A04BA"/>
    <w:rsid w:val="003A0B80"/>
    <w:rsid w:val="003A247D"/>
    <w:rsid w:val="003A2A3C"/>
    <w:rsid w:val="003A3172"/>
    <w:rsid w:val="003A326E"/>
    <w:rsid w:val="003A3B17"/>
    <w:rsid w:val="003A4B66"/>
    <w:rsid w:val="003A5098"/>
    <w:rsid w:val="003A5147"/>
    <w:rsid w:val="003A5331"/>
    <w:rsid w:val="003A5971"/>
    <w:rsid w:val="003A641F"/>
    <w:rsid w:val="003A65B9"/>
    <w:rsid w:val="003A71B0"/>
    <w:rsid w:val="003B0143"/>
    <w:rsid w:val="003B1B24"/>
    <w:rsid w:val="003B30BA"/>
    <w:rsid w:val="003B312F"/>
    <w:rsid w:val="003B46BA"/>
    <w:rsid w:val="003B4C3C"/>
    <w:rsid w:val="003C039B"/>
    <w:rsid w:val="003C05FA"/>
    <w:rsid w:val="003C08F8"/>
    <w:rsid w:val="003C14E0"/>
    <w:rsid w:val="003C1669"/>
    <w:rsid w:val="003C18A0"/>
    <w:rsid w:val="003C1902"/>
    <w:rsid w:val="003C1EF6"/>
    <w:rsid w:val="003C204A"/>
    <w:rsid w:val="003C2BFB"/>
    <w:rsid w:val="003C3440"/>
    <w:rsid w:val="003C3BA9"/>
    <w:rsid w:val="003C3CF9"/>
    <w:rsid w:val="003C3E2D"/>
    <w:rsid w:val="003C3FD6"/>
    <w:rsid w:val="003C436B"/>
    <w:rsid w:val="003C4D7A"/>
    <w:rsid w:val="003C4F20"/>
    <w:rsid w:val="003C5109"/>
    <w:rsid w:val="003C5337"/>
    <w:rsid w:val="003C5EEF"/>
    <w:rsid w:val="003C5F92"/>
    <w:rsid w:val="003C67D3"/>
    <w:rsid w:val="003C6CED"/>
    <w:rsid w:val="003C770D"/>
    <w:rsid w:val="003C7B5F"/>
    <w:rsid w:val="003C7BBE"/>
    <w:rsid w:val="003C7FD8"/>
    <w:rsid w:val="003D0EAB"/>
    <w:rsid w:val="003D0EAE"/>
    <w:rsid w:val="003D0F03"/>
    <w:rsid w:val="003D279E"/>
    <w:rsid w:val="003D2FD6"/>
    <w:rsid w:val="003D329F"/>
    <w:rsid w:val="003D37EE"/>
    <w:rsid w:val="003D3DFC"/>
    <w:rsid w:val="003D4C7B"/>
    <w:rsid w:val="003D6F2E"/>
    <w:rsid w:val="003D7771"/>
    <w:rsid w:val="003D794D"/>
    <w:rsid w:val="003D7A8C"/>
    <w:rsid w:val="003D7C00"/>
    <w:rsid w:val="003D7E27"/>
    <w:rsid w:val="003E0EB4"/>
    <w:rsid w:val="003E1662"/>
    <w:rsid w:val="003E3071"/>
    <w:rsid w:val="003E3078"/>
    <w:rsid w:val="003E38C6"/>
    <w:rsid w:val="003E423D"/>
    <w:rsid w:val="003E4D48"/>
    <w:rsid w:val="003E56E5"/>
    <w:rsid w:val="003E5BAE"/>
    <w:rsid w:val="003E6BA5"/>
    <w:rsid w:val="003E7051"/>
    <w:rsid w:val="003E7237"/>
    <w:rsid w:val="003E74FE"/>
    <w:rsid w:val="003E7E60"/>
    <w:rsid w:val="003F00D4"/>
    <w:rsid w:val="003F00E8"/>
    <w:rsid w:val="003F0171"/>
    <w:rsid w:val="003F01E9"/>
    <w:rsid w:val="003F0592"/>
    <w:rsid w:val="003F08BB"/>
    <w:rsid w:val="003F0DDC"/>
    <w:rsid w:val="003F2209"/>
    <w:rsid w:val="003F28DB"/>
    <w:rsid w:val="003F2C3F"/>
    <w:rsid w:val="003F381E"/>
    <w:rsid w:val="003F3D39"/>
    <w:rsid w:val="003F3F1B"/>
    <w:rsid w:val="003F500E"/>
    <w:rsid w:val="003F5337"/>
    <w:rsid w:val="003F5621"/>
    <w:rsid w:val="003F646A"/>
    <w:rsid w:val="003F6761"/>
    <w:rsid w:val="003F6A0A"/>
    <w:rsid w:val="003F6A36"/>
    <w:rsid w:val="003F7ECD"/>
    <w:rsid w:val="00400D8D"/>
    <w:rsid w:val="00400FEE"/>
    <w:rsid w:val="00401032"/>
    <w:rsid w:val="00401C1B"/>
    <w:rsid w:val="004020EA"/>
    <w:rsid w:val="00402156"/>
    <w:rsid w:val="004024F5"/>
    <w:rsid w:val="00402D79"/>
    <w:rsid w:val="00402DE1"/>
    <w:rsid w:val="0040369D"/>
    <w:rsid w:val="004038D8"/>
    <w:rsid w:val="00403D8B"/>
    <w:rsid w:val="00403DDD"/>
    <w:rsid w:val="0040582C"/>
    <w:rsid w:val="004058F1"/>
    <w:rsid w:val="00405F00"/>
    <w:rsid w:val="00407E7D"/>
    <w:rsid w:val="00410214"/>
    <w:rsid w:val="0041040B"/>
    <w:rsid w:val="0041076A"/>
    <w:rsid w:val="0041283D"/>
    <w:rsid w:val="004130B9"/>
    <w:rsid w:val="00413899"/>
    <w:rsid w:val="00413AB4"/>
    <w:rsid w:val="00413DAB"/>
    <w:rsid w:val="00415EBC"/>
    <w:rsid w:val="00417182"/>
    <w:rsid w:val="00417467"/>
    <w:rsid w:val="00417468"/>
    <w:rsid w:val="0042037B"/>
    <w:rsid w:val="00420597"/>
    <w:rsid w:val="00420814"/>
    <w:rsid w:val="00421373"/>
    <w:rsid w:val="00421AE6"/>
    <w:rsid w:val="00421FB7"/>
    <w:rsid w:val="004220C3"/>
    <w:rsid w:val="00422512"/>
    <w:rsid w:val="00422D8F"/>
    <w:rsid w:val="00422D96"/>
    <w:rsid w:val="00422FD4"/>
    <w:rsid w:val="00423F44"/>
    <w:rsid w:val="004240E2"/>
    <w:rsid w:val="00424568"/>
    <w:rsid w:val="00424A75"/>
    <w:rsid w:val="004251D4"/>
    <w:rsid w:val="004261F4"/>
    <w:rsid w:val="00426AD1"/>
    <w:rsid w:val="0042763B"/>
    <w:rsid w:val="00427B1E"/>
    <w:rsid w:val="00427B79"/>
    <w:rsid w:val="00427D1C"/>
    <w:rsid w:val="00427D2C"/>
    <w:rsid w:val="0043024C"/>
    <w:rsid w:val="00430FCF"/>
    <w:rsid w:val="004319A9"/>
    <w:rsid w:val="00431A0D"/>
    <w:rsid w:val="004321C9"/>
    <w:rsid w:val="00432D8E"/>
    <w:rsid w:val="00432DF6"/>
    <w:rsid w:val="00433887"/>
    <w:rsid w:val="004338A0"/>
    <w:rsid w:val="00433FEC"/>
    <w:rsid w:val="00433FF7"/>
    <w:rsid w:val="00434D6D"/>
    <w:rsid w:val="004358FD"/>
    <w:rsid w:val="004359DD"/>
    <w:rsid w:val="00436706"/>
    <w:rsid w:val="004367EC"/>
    <w:rsid w:val="00436F96"/>
    <w:rsid w:val="004371A0"/>
    <w:rsid w:val="004371CE"/>
    <w:rsid w:val="00440657"/>
    <w:rsid w:val="00440CC4"/>
    <w:rsid w:val="00440CFA"/>
    <w:rsid w:val="00440EF5"/>
    <w:rsid w:val="00441CF0"/>
    <w:rsid w:val="00441EEE"/>
    <w:rsid w:val="00442487"/>
    <w:rsid w:val="004437EF"/>
    <w:rsid w:val="00443D38"/>
    <w:rsid w:val="00445EE3"/>
    <w:rsid w:val="00446015"/>
    <w:rsid w:val="00446740"/>
    <w:rsid w:val="00446CEC"/>
    <w:rsid w:val="0044723A"/>
    <w:rsid w:val="00447885"/>
    <w:rsid w:val="00447960"/>
    <w:rsid w:val="00447D5F"/>
    <w:rsid w:val="00447D8E"/>
    <w:rsid w:val="00450E7A"/>
    <w:rsid w:val="0045102B"/>
    <w:rsid w:val="0045135E"/>
    <w:rsid w:val="00451656"/>
    <w:rsid w:val="00451D96"/>
    <w:rsid w:val="00452496"/>
    <w:rsid w:val="00452AD0"/>
    <w:rsid w:val="00453A82"/>
    <w:rsid w:val="00453B5E"/>
    <w:rsid w:val="0045469A"/>
    <w:rsid w:val="00454F47"/>
    <w:rsid w:val="0045573C"/>
    <w:rsid w:val="0045593F"/>
    <w:rsid w:val="00456348"/>
    <w:rsid w:val="004563DB"/>
    <w:rsid w:val="004567AD"/>
    <w:rsid w:val="0045680D"/>
    <w:rsid w:val="00456AF8"/>
    <w:rsid w:val="004571C5"/>
    <w:rsid w:val="00457A79"/>
    <w:rsid w:val="004600C0"/>
    <w:rsid w:val="00460938"/>
    <w:rsid w:val="00460B85"/>
    <w:rsid w:val="00460E65"/>
    <w:rsid w:val="00461D4B"/>
    <w:rsid w:val="00462678"/>
    <w:rsid w:val="00462983"/>
    <w:rsid w:val="004631C3"/>
    <w:rsid w:val="0046343D"/>
    <w:rsid w:val="00463460"/>
    <w:rsid w:val="004645A4"/>
    <w:rsid w:val="0046475E"/>
    <w:rsid w:val="00464D98"/>
    <w:rsid w:val="0046682B"/>
    <w:rsid w:val="00466871"/>
    <w:rsid w:val="00466979"/>
    <w:rsid w:val="0046720F"/>
    <w:rsid w:val="00467611"/>
    <w:rsid w:val="004678DF"/>
    <w:rsid w:val="00470089"/>
    <w:rsid w:val="004702A0"/>
    <w:rsid w:val="00470537"/>
    <w:rsid w:val="00470B15"/>
    <w:rsid w:val="00470D8B"/>
    <w:rsid w:val="00472BCC"/>
    <w:rsid w:val="00472D89"/>
    <w:rsid w:val="00473AA5"/>
    <w:rsid w:val="00474955"/>
    <w:rsid w:val="00475869"/>
    <w:rsid w:val="00475A77"/>
    <w:rsid w:val="00476299"/>
    <w:rsid w:val="004765AC"/>
    <w:rsid w:val="0047670C"/>
    <w:rsid w:val="00476736"/>
    <w:rsid w:val="00476FC9"/>
    <w:rsid w:val="004776A8"/>
    <w:rsid w:val="00477EF1"/>
    <w:rsid w:val="004801EB"/>
    <w:rsid w:val="00480282"/>
    <w:rsid w:val="00482595"/>
    <w:rsid w:val="00482DDC"/>
    <w:rsid w:val="00483261"/>
    <w:rsid w:val="00483E6C"/>
    <w:rsid w:val="00484421"/>
    <w:rsid w:val="00485129"/>
    <w:rsid w:val="00485254"/>
    <w:rsid w:val="0048565B"/>
    <w:rsid w:val="00486335"/>
    <w:rsid w:val="004866A9"/>
    <w:rsid w:val="004867FF"/>
    <w:rsid w:val="0048687E"/>
    <w:rsid w:val="004904CD"/>
    <w:rsid w:val="00490FB8"/>
    <w:rsid w:val="00491018"/>
    <w:rsid w:val="00491220"/>
    <w:rsid w:val="00492774"/>
    <w:rsid w:val="00493E0B"/>
    <w:rsid w:val="00493EFE"/>
    <w:rsid w:val="004958F5"/>
    <w:rsid w:val="004961F3"/>
    <w:rsid w:val="004962AB"/>
    <w:rsid w:val="00496BB4"/>
    <w:rsid w:val="00496CB0"/>
    <w:rsid w:val="00496D7A"/>
    <w:rsid w:val="004979DC"/>
    <w:rsid w:val="00497B6D"/>
    <w:rsid w:val="004A1852"/>
    <w:rsid w:val="004A2136"/>
    <w:rsid w:val="004A229D"/>
    <w:rsid w:val="004A2EBF"/>
    <w:rsid w:val="004A2F3C"/>
    <w:rsid w:val="004A31BC"/>
    <w:rsid w:val="004A3F1A"/>
    <w:rsid w:val="004A3F45"/>
    <w:rsid w:val="004A65D1"/>
    <w:rsid w:val="004A704F"/>
    <w:rsid w:val="004B0550"/>
    <w:rsid w:val="004B0CE7"/>
    <w:rsid w:val="004B1262"/>
    <w:rsid w:val="004B148F"/>
    <w:rsid w:val="004B1743"/>
    <w:rsid w:val="004B19FC"/>
    <w:rsid w:val="004B1AFA"/>
    <w:rsid w:val="004B1D73"/>
    <w:rsid w:val="004B1F26"/>
    <w:rsid w:val="004B22C0"/>
    <w:rsid w:val="004B4626"/>
    <w:rsid w:val="004B5B67"/>
    <w:rsid w:val="004B5DA2"/>
    <w:rsid w:val="004B6047"/>
    <w:rsid w:val="004B6B0A"/>
    <w:rsid w:val="004B6BBA"/>
    <w:rsid w:val="004B7088"/>
    <w:rsid w:val="004B74BC"/>
    <w:rsid w:val="004B761C"/>
    <w:rsid w:val="004B7CF2"/>
    <w:rsid w:val="004B7F3D"/>
    <w:rsid w:val="004C252E"/>
    <w:rsid w:val="004C2A6B"/>
    <w:rsid w:val="004C319C"/>
    <w:rsid w:val="004C3479"/>
    <w:rsid w:val="004C3948"/>
    <w:rsid w:val="004C3E08"/>
    <w:rsid w:val="004C4B79"/>
    <w:rsid w:val="004C4C94"/>
    <w:rsid w:val="004C5491"/>
    <w:rsid w:val="004C5B76"/>
    <w:rsid w:val="004C5C04"/>
    <w:rsid w:val="004C60A0"/>
    <w:rsid w:val="004C6918"/>
    <w:rsid w:val="004C6EC9"/>
    <w:rsid w:val="004D02CD"/>
    <w:rsid w:val="004D0ADC"/>
    <w:rsid w:val="004D0B24"/>
    <w:rsid w:val="004D1243"/>
    <w:rsid w:val="004D1450"/>
    <w:rsid w:val="004D1FA1"/>
    <w:rsid w:val="004D2A8D"/>
    <w:rsid w:val="004D31B3"/>
    <w:rsid w:val="004D3EA5"/>
    <w:rsid w:val="004D4283"/>
    <w:rsid w:val="004D4B90"/>
    <w:rsid w:val="004D5056"/>
    <w:rsid w:val="004D537A"/>
    <w:rsid w:val="004D56A4"/>
    <w:rsid w:val="004D620F"/>
    <w:rsid w:val="004D6247"/>
    <w:rsid w:val="004D6B95"/>
    <w:rsid w:val="004D6DA3"/>
    <w:rsid w:val="004D7E4E"/>
    <w:rsid w:val="004D7F41"/>
    <w:rsid w:val="004E03A2"/>
    <w:rsid w:val="004E043E"/>
    <w:rsid w:val="004E12C9"/>
    <w:rsid w:val="004E1422"/>
    <w:rsid w:val="004E205F"/>
    <w:rsid w:val="004E2730"/>
    <w:rsid w:val="004E2765"/>
    <w:rsid w:val="004E317E"/>
    <w:rsid w:val="004E31B9"/>
    <w:rsid w:val="004E339A"/>
    <w:rsid w:val="004E3906"/>
    <w:rsid w:val="004E3954"/>
    <w:rsid w:val="004E3A9D"/>
    <w:rsid w:val="004E3AD2"/>
    <w:rsid w:val="004E408F"/>
    <w:rsid w:val="004E4A5D"/>
    <w:rsid w:val="004E4E24"/>
    <w:rsid w:val="004E5856"/>
    <w:rsid w:val="004E667F"/>
    <w:rsid w:val="004E7246"/>
    <w:rsid w:val="004E728F"/>
    <w:rsid w:val="004E7B1A"/>
    <w:rsid w:val="004E7DB9"/>
    <w:rsid w:val="004F02BE"/>
    <w:rsid w:val="004F0D22"/>
    <w:rsid w:val="004F10B8"/>
    <w:rsid w:val="004F2330"/>
    <w:rsid w:val="004F2631"/>
    <w:rsid w:val="004F27F6"/>
    <w:rsid w:val="004F2C85"/>
    <w:rsid w:val="004F378E"/>
    <w:rsid w:val="004F3D3A"/>
    <w:rsid w:val="004F4C0F"/>
    <w:rsid w:val="004F53C6"/>
    <w:rsid w:val="004F5789"/>
    <w:rsid w:val="004F5989"/>
    <w:rsid w:val="004F5F81"/>
    <w:rsid w:val="004F619E"/>
    <w:rsid w:val="004F677A"/>
    <w:rsid w:val="004F69DB"/>
    <w:rsid w:val="004F6B87"/>
    <w:rsid w:val="004F6BFE"/>
    <w:rsid w:val="004F7544"/>
    <w:rsid w:val="004F7AE7"/>
    <w:rsid w:val="004F7F01"/>
    <w:rsid w:val="0050015A"/>
    <w:rsid w:val="005006DE"/>
    <w:rsid w:val="00501C2D"/>
    <w:rsid w:val="00502103"/>
    <w:rsid w:val="00502487"/>
    <w:rsid w:val="00502637"/>
    <w:rsid w:val="0050483E"/>
    <w:rsid w:val="00505167"/>
    <w:rsid w:val="005059F2"/>
    <w:rsid w:val="00506053"/>
    <w:rsid w:val="00506F7A"/>
    <w:rsid w:val="005078DF"/>
    <w:rsid w:val="00507EE9"/>
    <w:rsid w:val="00510179"/>
    <w:rsid w:val="005109CB"/>
    <w:rsid w:val="00511018"/>
    <w:rsid w:val="00511140"/>
    <w:rsid w:val="0051157E"/>
    <w:rsid w:val="0051175C"/>
    <w:rsid w:val="00511DED"/>
    <w:rsid w:val="00511F86"/>
    <w:rsid w:val="005122A0"/>
    <w:rsid w:val="00512514"/>
    <w:rsid w:val="00513CFE"/>
    <w:rsid w:val="00513EAF"/>
    <w:rsid w:val="00514C65"/>
    <w:rsid w:val="00514DB6"/>
    <w:rsid w:val="005156F1"/>
    <w:rsid w:val="00515C33"/>
    <w:rsid w:val="00516849"/>
    <w:rsid w:val="00516C82"/>
    <w:rsid w:val="00516E55"/>
    <w:rsid w:val="00516EDB"/>
    <w:rsid w:val="00521071"/>
    <w:rsid w:val="005216BB"/>
    <w:rsid w:val="00521C23"/>
    <w:rsid w:val="0052260A"/>
    <w:rsid w:val="00522EEB"/>
    <w:rsid w:val="00522F21"/>
    <w:rsid w:val="0052384A"/>
    <w:rsid w:val="00523B6A"/>
    <w:rsid w:val="005243DC"/>
    <w:rsid w:val="00524827"/>
    <w:rsid w:val="00524CBF"/>
    <w:rsid w:val="00525F53"/>
    <w:rsid w:val="00525F6C"/>
    <w:rsid w:val="00526373"/>
    <w:rsid w:val="005264D9"/>
    <w:rsid w:val="005273D4"/>
    <w:rsid w:val="005319D8"/>
    <w:rsid w:val="00531AD3"/>
    <w:rsid w:val="00531EE5"/>
    <w:rsid w:val="005335E1"/>
    <w:rsid w:val="005354C7"/>
    <w:rsid w:val="005354D8"/>
    <w:rsid w:val="00535C98"/>
    <w:rsid w:val="005360F6"/>
    <w:rsid w:val="0053701A"/>
    <w:rsid w:val="00537564"/>
    <w:rsid w:val="00537EAA"/>
    <w:rsid w:val="00540463"/>
    <w:rsid w:val="00540700"/>
    <w:rsid w:val="00540B9A"/>
    <w:rsid w:val="0054188D"/>
    <w:rsid w:val="00542BBF"/>
    <w:rsid w:val="0054481C"/>
    <w:rsid w:val="00544D9D"/>
    <w:rsid w:val="0054525B"/>
    <w:rsid w:val="0054526B"/>
    <w:rsid w:val="00545FC2"/>
    <w:rsid w:val="00546AB4"/>
    <w:rsid w:val="00546BE2"/>
    <w:rsid w:val="00547D97"/>
    <w:rsid w:val="00550591"/>
    <w:rsid w:val="00550AD2"/>
    <w:rsid w:val="00551090"/>
    <w:rsid w:val="005514E5"/>
    <w:rsid w:val="00551E9C"/>
    <w:rsid w:val="00552A47"/>
    <w:rsid w:val="00552B23"/>
    <w:rsid w:val="00552CC3"/>
    <w:rsid w:val="00553500"/>
    <w:rsid w:val="00554CEE"/>
    <w:rsid w:val="00554E77"/>
    <w:rsid w:val="00554F99"/>
    <w:rsid w:val="005550B5"/>
    <w:rsid w:val="00555998"/>
    <w:rsid w:val="0055684B"/>
    <w:rsid w:val="00557D20"/>
    <w:rsid w:val="005622A4"/>
    <w:rsid w:val="005628AE"/>
    <w:rsid w:val="005629C6"/>
    <w:rsid w:val="00562C3D"/>
    <w:rsid w:val="005637A7"/>
    <w:rsid w:val="00563BFF"/>
    <w:rsid w:val="00563C84"/>
    <w:rsid w:val="00563D67"/>
    <w:rsid w:val="005659F9"/>
    <w:rsid w:val="005661BE"/>
    <w:rsid w:val="0056661C"/>
    <w:rsid w:val="00566A44"/>
    <w:rsid w:val="0056730D"/>
    <w:rsid w:val="00567AF3"/>
    <w:rsid w:val="005703FB"/>
    <w:rsid w:val="00570DDA"/>
    <w:rsid w:val="00570E4B"/>
    <w:rsid w:val="00570F6D"/>
    <w:rsid w:val="00571545"/>
    <w:rsid w:val="00571C20"/>
    <w:rsid w:val="00572F95"/>
    <w:rsid w:val="0057392D"/>
    <w:rsid w:val="005746CD"/>
    <w:rsid w:val="00574EDD"/>
    <w:rsid w:val="00574FB4"/>
    <w:rsid w:val="005761C7"/>
    <w:rsid w:val="005762F6"/>
    <w:rsid w:val="00580680"/>
    <w:rsid w:val="00580DC5"/>
    <w:rsid w:val="00580F36"/>
    <w:rsid w:val="00581CCC"/>
    <w:rsid w:val="0058214A"/>
    <w:rsid w:val="0058393E"/>
    <w:rsid w:val="00583C56"/>
    <w:rsid w:val="00584398"/>
    <w:rsid w:val="00584511"/>
    <w:rsid w:val="00584FBE"/>
    <w:rsid w:val="0058501A"/>
    <w:rsid w:val="00585483"/>
    <w:rsid w:val="005858A5"/>
    <w:rsid w:val="00585B32"/>
    <w:rsid w:val="005861C9"/>
    <w:rsid w:val="00586CFE"/>
    <w:rsid w:val="00587378"/>
    <w:rsid w:val="00587C05"/>
    <w:rsid w:val="00587D57"/>
    <w:rsid w:val="005903FF"/>
    <w:rsid w:val="00590AAB"/>
    <w:rsid w:val="00590F9C"/>
    <w:rsid w:val="00591160"/>
    <w:rsid w:val="0059116F"/>
    <w:rsid w:val="0059331E"/>
    <w:rsid w:val="005938C3"/>
    <w:rsid w:val="00593EE2"/>
    <w:rsid w:val="00594185"/>
    <w:rsid w:val="0059468C"/>
    <w:rsid w:val="00594D24"/>
    <w:rsid w:val="00595125"/>
    <w:rsid w:val="005957EA"/>
    <w:rsid w:val="005965B9"/>
    <w:rsid w:val="00596B38"/>
    <w:rsid w:val="00596F21"/>
    <w:rsid w:val="005A03FA"/>
    <w:rsid w:val="005A05E4"/>
    <w:rsid w:val="005A1957"/>
    <w:rsid w:val="005A288B"/>
    <w:rsid w:val="005A34EA"/>
    <w:rsid w:val="005A44AC"/>
    <w:rsid w:val="005A466B"/>
    <w:rsid w:val="005A4C4B"/>
    <w:rsid w:val="005A5E10"/>
    <w:rsid w:val="005A62FC"/>
    <w:rsid w:val="005A7745"/>
    <w:rsid w:val="005A7B8E"/>
    <w:rsid w:val="005A7D03"/>
    <w:rsid w:val="005B0082"/>
    <w:rsid w:val="005B0704"/>
    <w:rsid w:val="005B0CBB"/>
    <w:rsid w:val="005B155C"/>
    <w:rsid w:val="005B15CC"/>
    <w:rsid w:val="005B1B51"/>
    <w:rsid w:val="005B1CDD"/>
    <w:rsid w:val="005B1E19"/>
    <w:rsid w:val="005B22C9"/>
    <w:rsid w:val="005B4144"/>
    <w:rsid w:val="005B4435"/>
    <w:rsid w:val="005B55FC"/>
    <w:rsid w:val="005B6456"/>
    <w:rsid w:val="005B78F3"/>
    <w:rsid w:val="005C151D"/>
    <w:rsid w:val="005C1D3F"/>
    <w:rsid w:val="005C2D5D"/>
    <w:rsid w:val="005C2D5E"/>
    <w:rsid w:val="005C3B81"/>
    <w:rsid w:val="005C4C9D"/>
    <w:rsid w:val="005C4D16"/>
    <w:rsid w:val="005C5182"/>
    <w:rsid w:val="005C57F3"/>
    <w:rsid w:val="005C5967"/>
    <w:rsid w:val="005C650C"/>
    <w:rsid w:val="005C6670"/>
    <w:rsid w:val="005C6855"/>
    <w:rsid w:val="005C71F1"/>
    <w:rsid w:val="005C7DCD"/>
    <w:rsid w:val="005D0360"/>
    <w:rsid w:val="005D086C"/>
    <w:rsid w:val="005D0B6B"/>
    <w:rsid w:val="005D11D3"/>
    <w:rsid w:val="005D13FD"/>
    <w:rsid w:val="005D1403"/>
    <w:rsid w:val="005D2143"/>
    <w:rsid w:val="005D2A02"/>
    <w:rsid w:val="005D2DA9"/>
    <w:rsid w:val="005D44A7"/>
    <w:rsid w:val="005D4E1F"/>
    <w:rsid w:val="005D4FB3"/>
    <w:rsid w:val="005D4FF2"/>
    <w:rsid w:val="005D515D"/>
    <w:rsid w:val="005D5F58"/>
    <w:rsid w:val="005D613A"/>
    <w:rsid w:val="005D6938"/>
    <w:rsid w:val="005D7EBA"/>
    <w:rsid w:val="005E0064"/>
    <w:rsid w:val="005E0A59"/>
    <w:rsid w:val="005E0B58"/>
    <w:rsid w:val="005E0CA0"/>
    <w:rsid w:val="005E24B2"/>
    <w:rsid w:val="005E2616"/>
    <w:rsid w:val="005E2F07"/>
    <w:rsid w:val="005E2FEA"/>
    <w:rsid w:val="005E3331"/>
    <w:rsid w:val="005E3F78"/>
    <w:rsid w:val="005E400C"/>
    <w:rsid w:val="005E536E"/>
    <w:rsid w:val="005E67F6"/>
    <w:rsid w:val="005E727A"/>
    <w:rsid w:val="005E7648"/>
    <w:rsid w:val="005E76CF"/>
    <w:rsid w:val="005E7A83"/>
    <w:rsid w:val="005E7B59"/>
    <w:rsid w:val="005F047A"/>
    <w:rsid w:val="005F0C07"/>
    <w:rsid w:val="005F1D8C"/>
    <w:rsid w:val="005F253C"/>
    <w:rsid w:val="005F314B"/>
    <w:rsid w:val="005F3C28"/>
    <w:rsid w:val="005F4722"/>
    <w:rsid w:val="005F4A85"/>
    <w:rsid w:val="005F5624"/>
    <w:rsid w:val="005F56DA"/>
    <w:rsid w:val="005F67D5"/>
    <w:rsid w:val="005F7187"/>
    <w:rsid w:val="005F722D"/>
    <w:rsid w:val="005F7707"/>
    <w:rsid w:val="00601223"/>
    <w:rsid w:val="006012AC"/>
    <w:rsid w:val="0060140E"/>
    <w:rsid w:val="00601604"/>
    <w:rsid w:val="00601886"/>
    <w:rsid w:val="00602044"/>
    <w:rsid w:val="006022AC"/>
    <w:rsid w:val="00602ED2"/>
    <w:rsid w:val="00603C9D"/>
    <w:rsid w:val="00603E6B"/>
    <w:rsid w:val="006051E3"/>
    <w:rsid w:val="006053E8"/>
    <w:rsid w:val="0060576B"/>
    <w:rsid w:val="00605797"/>
    <w:rsid w:val="00605CB7"/>
    <w:rsid w:val="00606383"/>
    <w:rsid w:val="00606DE4"/>
    <w:rsid w:val="00610C10"/>
    <w:rsid w:val="006110CF"/>
    <w:rsid w:val="006118A9"/>
    <w:rsid w:val="00611AF2"/>
    <w:rsid w:val="00611B72"/>
    <w:rsid w:val="0061212B"/>
    <w:rsid w:val="00612349"/>
    <w:rsid w:val="006127AF"/>
    <w:rsid w:val="0061307D"/>
    <w:rsid w:val="0061311D"/>
    <w:rsid w:val="00613212"/>
    <w:rsid w:val="0061483E"/>
    <w:rsid w:val="00614871"/>
    <w:rsid w:val="00615237"/>
    <w:rsid w:val="0061531B"/>
    <w:rsid w:val="006158B3"/>
    <w:rsid w:val="00615D12"/>
    <w:rsid w:val="00615DB9"/>
    <w:rsid w:val="00615FB2"/>
    <w:rsid w:val="006175C9"/>
    <w:rsid w:val="00617A07"/>
    <w:rsid w:val="00617BD1"/>
    <w:rsid w:val="00617C55"/>
    <w:rsid w:val="00617CE8"/>
    <w:rsid w:val="00621FF0"/>
    <w:rsid w:val="006225F3"/>
    <w:rsid w:val="006233F8"/>
    <w:rsid w:val="00625168"/>
    <w:rsid w:val="0062548D"/>
    <w:rsid w:val="00625E41"/>
    <w:rsid w:val="006264DB"/>
    <w:rsid w:val="006271F3"/>
    <w:rsid w:val="006278A0"/>
    <w:rsid w:val="00627E7F"/>
    <w:rsid w:val="00630408"/>
    <w:rsid w:val="0063095F"/>
    <w:rsid w:val="00630E8E"/>
    <w:rsid w:val="00630FBB"/>
    <w:rsid w:val="006311E2"/>
    <w:rsid w:val="00632221"/>
    <w:rsid w:val="006338B0"/>
    <w:rsid w:val="00634236"/>
    <w:rsid w:val="006345DB"/>
    <w:rsid w:val="006346DF"/>
    <w:rsid w:val="00635BF0"/>
    <w:rsid w:val="006361A6"/>
    <w:rsid w:val="00636626"/>
    <w:rsid w:val="00636EFC"/>
    <w:rsid w:val="006371A9"/>
    <w:rsid w:val="0063731C"/>
    <w:rsid w:val="0063780F"/>
    <w:rsid w:val="00640E34"/>
    <w:rsid w:val="00640FA8"/>
    <w:rsid w:val="0064103C"/>
    <w:rsid w:val="00641062"/>
    <w:rsid w:val="00641A42"/>
    <w:rsid w:val="00642D36"/>
    <w:rsid w:val="00643F5C"/>
    <w:rsid w:val="00644E36"/>
    <w:rsid w:val="0064640D"/>
    <w:rsid w:val="006467FA"/>
    <w:rsid w:val="00646AC2"/>
    <w:rsid w:val="00646E81"/>
    <w:rsid w:val="00647031"/>
    <w:rsid w:val="006477FB"/>
    <w:rsid w:val="00650390"/>
    <w:rsid w:val="006508F0"/>
    <w:rsid w:val="00651080"/>
    <w:rsid w:val="006520C9"/>
    <w:rsid w:val="00653FCE"/>
    <w:rsid w:val="00654DAB"/>
    <w:rsid w:val="0065534F"/>
    <w:rsid w:val="00655521"/>
    <w:rsid w:val="00655736"/>
    <w:rsid w:val="00656F1E"/>
    <w:rsid w:val="00657C6F"/>
    <w:rsid w:val="0066056F"/>
    <w:rsid w:val="0066112F"/>
    <w:rsid w:val="00661ABD"/>
    <w:rsid w:val="0066204A"/>
    <w:rsid w:val="00663599"/>
    <w:rsid w:val="00663812"/>
    <w:rsid w:val="00663DA1"/>
    <w:rsid w:val="00665875"/>
    <w:rsid w:val="00666565"/>
    <w:rsid w:val="00666761"/>
    <w:rsid w:val="00666E6A"/>
    <w:rsid w:val="00667562"/>
    <w:rsid w:val="00667906"/>
    <w:rsid w:val="00667B11"/>
    <w:rsid w:val="00667FB0"/>
    <w:rsid w:val="00667FC0"/>
    <w:rsid w:val="00670145"/>
    <w:rsid w:val="006701C0"/>
    <w:rsid w:val="00670D82"/>
    <w:rsid w:val="00670E3C"/>
    <w:rsid w:val="006729EE"/>
    <w:rsid w:val="0067439E"/>
    <w:rsid w:val="00675ED3"/>
    <w:rsid w:val="00676601"/>
    <w:rsid w:val="00677092"/>
    <w:rsid w:val="006770E6"/>
    <w:rsid w:val="006772F5"/>
    <w:rsid w:val="006779EB"/>
    <w:rsid w:val="00677F57"/>
    <w:rsid w:val="006801C0"/>
    <w:rsid w:val="00680F95"/>
    <w:rsid w:val="00680FC5"/>
    <w:rsid w:val="00681088"/>
    <w:rsid w:val="00681299"/>
    <w:rsid w:val="00681543"/>
    <w:rsid w:val="006820B1"/>
    <w:rsid w:val="00682A7D"/>
    <w:rsid w:val="00682DDD"/>
    <w:rsid w:val="006832F1"/>
    <w:rsid w:val="0068459E"/>
    <w:rsid w:val="00685176"/>
    <w:rsid w:val="00686035"/>
    <w:rsid w:val="0068651E"/>
    <w:rsid w:val="0068726F"/>
    <w:rsid w:val="0068732B"/>
    <w:rsid w:val="00687473"/>
    <w:rsid w:val="006877B4"/>
    <w:rsid w:val="00687818"/>
    <w:rsid w:val="006878A8"/>
    <w:rsid w:val="00690738"/>
    <w:rsid w:val="00691264"/>
    <w:rsid w:val="00691627"/>
    <w:rsid w:val="0069225C"/>
    <w:rsid w:val="00692C7D"/>
    <w:rsid w:val="00692C9D"/>
    <w:rsid w:val="00692E7B"/>
    <w:rsid w:val="00693396"/>
    <w:rsid w:val="006934C0"/>
    <w:rsid w:val="0069577E"/>
    <w:rsid w:val="00695F5F"/>
    <w:rsid w:val="0069634B"/>
    <w:rsid w:val="00696623"/>
    <w:rsid w:val="00697369"/>
    <w:rsid w:val="006A0376"/>
    <w:rsid w:val="006A04E9"/>
    <w:rsid w:val="006A08E2"/>
    <w:rsid w:val="006A09C7"/>
    <w:rsid w:val="006A0A18"/>
    <w:rsid w:val="006A10C8"/>
    <w:rsid w:val="006A1AA2"/>
    <w:rsid w:val="006A24AF"/>
    <w:rsid w:val="006A268F"/>
    <w:rsid w:val="006A41DE"/>
    <w:rsid w:val="006A42EC"/>
    <w:rsid w:val="006A452E"/>
    <w:rsid w:val="006A4A03"/>
    <w:rsid w:val="006A4F6E"/>
    <w:rsid w:val="006A531E"/>
    <w:rsid w:val="006A55DB"/>
    <w:rsid w:val="006A585F"/>
    <w:rsid w:val="006A5BDC"/>
    <w:rsid w:val="006A5D27"/>
    <w:rsid w:val="006A67ED"/>
    <w:rsid w:val="006A72FA"/>
    <w:rsid w:val="006A7543"/>
    <w:rsid w:val="006A7C44"/>
    <w:rsid w:val="006B0FF4"/>
    <w:rsid w:val="006B0FFA"/>
    <w:rsid w:val="006B1690"/>
    <w:rsid w:val="006B2E21"/>
    <w:rsid w:val="006B3EB8"/>
    <w:rsid w:val="006B4C0D"/>
    <w:rsid w:val="006B4FE5"/>
    <w:rsid w:val="006B5EC0"/>
    <w:rsid w:val="006B6EDE"/>
    <w:rsid w:val="006B710D"/>
    <w:rsid w:val="006B725C"/>
    <w:rsid w:val="006B7553"/>
    <w:rsid w:val="006B7791"/>
    <w:rsid w:val="006C03DF"/>
    <w:rsid w:val="006C14FD"/>
    <w:rsid w:val="006C1B85"/>
    <w:rsid w:val="006C1DE9"/>
    <w:rsid w:val="006C273D"/>
    <w:rsid w:val="006C2B8D"/>
    <w:rsid w:val="006C2F2C"/>
    <w:rsid w:val="006C3420"/>
    <w:rsid w:val="006C3ECB"/>
    <w:rsid w:val="006C3FE4"/>
    <w:rsid w:val="006C41F1"/>
    <w:rsid w:val="006C4973"/>
    <w:rsid w:val="006C52F7"/>
    <w:rsid w:val="006C5C4F"/>
    <w:rsid w:val="006C6282"/>
    <w:rsid w:val="006C6419"/>
    <w:rsid w:val="006C641D"/>
    <w:rsid w:val="006C762A"/>
    <w:rsid w:val="006C7A87"/>
    <w:rsid w:val="006D0156"/>
    <w:rsid w:val="006D05A1"/>
    <w:rsid w:val="006D0D09"/>
    <w:rsid w:val="006D10CD"/>
    <w:rsid w:val="006D10E5"/>
    <w:rsid w:val="006D1863"/>
    <w:rsid w:val="006D1CB4"/>
    <w:rsid w:val="006D24F1"/>
    <w:rsid w:val="006D3C2A"/>
    <w:rsid w:val="006D42F5"/>
    <w:rsid w:val="006D5FF9"/>
    <w:rsid w:val="006D690C"/>
    <w:rsid w:val="006D7D9B"/>
    <w:rsid w:val="006E0772"/>
    <w:rsid w:val="006E0C77"/>
    <w:rsid w:val="006E0F86"/>
    <w:rsid w:val="006E13D7"/>
    <w:rsid w:val="006E1874"/>
    <w:rsid w:val="006E1B8A"/>
    <w:rsid w:val="006E204B"/>
    <w:rsid w:val="006E2F3B"/>
    <w:rsid w:val="006E2F8B"/>
    <w:rsid w:val="006E4459"/>
    <w:rsid w:val="006E74B5"/>
    <w:rsid w:val="006E76FD"/>
    <w:rsid w:val="006F037E"/>
    <w:rsid w:val="006F099E"/>
    <w:rsid w:val="006F0B15"/>
    <w:rsid w:val="006F0DCC"/>
    <w:rsid w:val="006F0FF4"/>
    <w:rsid w:val="006F1141"/>
    <w:rsid w:val="006F1862"/>
    <w:rsid w:val="006F1928"/>
    <w:rsid w:val="006F25F3"/>
    <w:rsid w:val="006F2DDF"/>
    <w:rsid w:val="006F405C"/>
    <w:rsid w:val="006F4732"/>
    <w:rsid w:val="006F474E"/>
    <w:rsid w:val="006F4AA5"/>
    <w:rsid w:val="006F52DA"/>
    <w:rsid w:val="006F54D1"/>
    <w:rsid w:val="006F5EEB"/>
    <w:rsid w:val="006F6711"/>
    <w:rsid w:val="006F6836"/>
    <w:rsid w:val="006F7338"/>
    <w:rsid w:val="007009F9"/>
    <w:rsid w:val="007016CC"/>
    <w:rsid w:val="007018E7"/>
    <w:rsid w:val="00701BDE"/>
    <w:rsid w:val="00702151"/>
    <w:rsid w:val="007023C8"/>
    <w:rsid w:val="00702579"/>
    <w:rsid w:val="00703DF9"/>
    <w:rsid w:val="007048EB"/>
    <w:rsid w:val="00704B6E"/>
    <w:rsid w:val="00704FBB"/>
    <w:rsid w:val="0070505E"/>
    <w:rsid w:val="0070551C"/>
    <w:rsid w:val="00705D2B"/>
    <w:rsid w:val="007067DD"/>
    <w:rsid w:val="0070715D"/>
    <w:rsid w:val="0070726A"/>
    <w:rsid w:val="0070729B"/>
    <w:rsid w:val="00707886"/>
    <w:rsid w:val="00707A8A"/>
    <w:rsid w:val="00707AFA"/>
    <w:rsid w:val="007103D8"/>
    <w:rsid w:val="00711094"/>
    <w:rsid w:val="007112E3"/>
    <w:rsid w:val="00711DF0"/>
    <w:rsid w:val="007121BC"/>
    <w:rsid w:val="0071226B"/>
    <w:rsid w:val="00713D39"/>
    <w:rsid w:val="0071410E"/>
    <w:rsid w:val="0071532B"/>
    <w:rsid w:val="00715470"/>
    <w:rsid w:val="00715C90"/>
    <w:rsid w:val="00715FAE"/>
    <w:rsid w:val="007161DA"/>
    <w:rsid w:val="00716A7A"/>
    <w:rsid w:val="00717040"/>
    <w:rsid w:val="00717184"/>
    <w:rsid w:val="007207E2"/>
    <w:rsid w:val="00721430"/>
    <w:rsid w:val="00721C92"/>
    <w:rsid w:val="00721D02"/>
    <w:rsid w:val="00722353"/>
    <w:rsid w:val="007223BF"/>
    <w:rsid w:val="00722409"/>
    <w:rsid w:val="00722A7B"/>
    <w:rsid w:val="00722F97"/>
    <w:rsid w:val="0072336D"/>
    <w:rsid w:val="00723861"/>
    <w:rsid w:val="00725E86"/>
    <w:rsid w:val="00725F2C"/>
    <w:rsid w:val="00726228"/>
    <w:rsid w:val="00726AAF"/>
    <w:rsid w:val="00726CBE"/>
    <w:rsid w:val="00726F3A"/>
    <w:rsid w:val="00727496"/>
    <w:rsid w:val="00727B40"/>
    <w:rsid w:val="007302E1"/>
    <w:rsid w:val="007304EE"/>
    <w:rsid w:val="00730643"/>
    <w:rsid w:val="00730882"/>
    <w:rsid w:val="0073091F"/>
    <w:rsid w:val="00730A2C"/>
    <w:rsid w:val="00730DF0"/>
    <w:rsid w:val="00732B7A"/>
    <w:rsid w:val="00733508"/>
    <w:rsid w:val="00733983"/>
    <w:rsid w:val="007339B7"/>
    <w:rsid w:val="007348EE"/>
    <w:rsid w:val="00734A38"/>
    <w:rsid w:val="0073590D"/>
    <w:rsid w:val="00735AA2"/>
    <w:rsid w:val="00736209"/>
    <w:rsid w:val="007368A3"/>
    <w:rsid w:val="00736E0A"/>
    <w:rsid w:val="0074003B"/>
    <w:rsid w:val="00741DA1"/>
    <w:rsid w:val="007420D3"/>
    <w:rsid w:val="00742506"/>
    <w:rsid w:val="0074357D"/>
    <w:rsid w:val="0074368B"/>
    <w:rsid w:val="00743AB6"/>
    <w:rsid w:val="00743BAE"/>
    <w:rsid w:val="007448A5"/>
    <w:rsid w:val="007456C6"/>
    <w:rsid w:val="00745B5A"/>
    <w:rsid w:val="0074681B"/>
    <w:rsid w:val="00746875"/>
    <w:rsid w:val="00746C9F"/>
    <w:rsid w:val="00746D68"/>
    <w:rsid w:val="00747640"/>
    <w:rsid w:val="00747981"/>
    <w:rsid w:val="00750B64"/>
    <w:rsid w:val="0075174E"/>
    <w:rsid w:val="007519EA"/>
    <w:rsid w:val="00751F52"/>
    <w:rsid w:val="0075201E"/>
    <w:rsid w:val="007527D4"/>
    <w:rsid w:val="00752E13"/>
    <w:rsid w:val="00753046"/>
    <w:rsid w:val="00753C7D"/>
    <w:rsid w:val="00753D7F"/>
    <w:rsid w:val="007553B6"/>
    <w:rsid w:val="00755C17"/>
    <w:rsid w:val="00756EC4"/>
    <w:rsid w:val="00756EDF"/>
    <w:rsid w:val="00757112"/>
    <w:rsid w:val="0075713B"/>
    <w:rsid w:val="00757C32"/>
    <w:rsid w:val="007603F6"/>
    <w:rsid w:val="00760DA8"/>
    <w:rsid w:val="0076146B"/>
    <w:rsid w:val="00761844"/>
    <w:rsid w:val="00762012"/>
    <w:rsid w:val="00762288"/>
    <w:rsid w:val="007628B1"/>
    <w:rsid w:val="007634AB"/>
    <w:rsid w:val="00763529"/>
    <w:rsid w:val="00763E59"/>
    <w:rsid w:val="00765D6A"/>
    <w:rsid w:val="00766054"/>
    <w:rsid w:val="007662D5"/>
    <w:rsid w:val="00766473"/>
    <w:rsid w:val="00766CC0"/>
    <w:rsid w:val="0076743B"/>
    <w:rsid w:val="007674FD"/>
    <w:rsid w:val="007706BC"/>
    <w:rsid w:val="00772492"/>
    <w:rsid w:val="00772720"/>
    <w:rsid w:val="00772DA9"/>
    <w:rsid w:val="00772F19"/>
    <w:rsid w:val="007735D1"/>
    <w:rsid w:val="007738AA"/>
    <w:rsid w:val="00773F5E"/>
    <w:rsid w:val="00773FE2"/>
    <w:rsid w:val="007750A2"/>
    <w:rsid w:val="007751AD"/>
    <w:rsid w:val="00775A52"/>
    <w:rsid w:val="00775CDC"/>
    <w:rsid w:val="00777D76"/>
    <w:rsid w:val="00777EDA"/>
    <w:rsid w:val="00780E28"/>
    <w:rsid w:val="00781175"/>
    <w:rsid w:val="007817D6"/>
    <w:rsid w:val="00782D70"/>
    <w:rsid w:val="00783618"/>
    <w:rsid w:val="007837BD"/>
    <w:rsid w:val="00783A31"/>
    <w:rsid w:val="00783B15"/>
    <w:rsid w:val="00783B42"/>
    <w:rsid w:val="00784E65"/>
    <w:rsid w:val="00786203"/>
    <w:rsid w:val="0078637F"/>
    <w:rsid w:val="00786E0A"/>
    <w:rsid w:val="00786F92"/>
    <w:rsid w:val="00786FFD"/>
    <w:rsid w:val="00787912"/>
    <w:rsid w:val="00790DB1"/>
    <w:rsid w:val="0079177A"/>
    <w:rsid w:val="00791CFA"/>
    <w:rsid w:val="007929DA"/>
    <w:rsid w:val="00793EC4"/>
    <w:rsid w:val="00794836"/>
    <w:rsid w:val="007948D5"/>
    <w:rsid w:val="00794F4C"/>
    <w:rsid w:val="00795501"/>
    <w:rsid w:val="00795AC7"/>
    <w:rsid w:val="00795C1D"/>
    <w:rsid w:val="00795FE0"/>
    <w:rsid w:val="00796130"/>
    <w:rsid w:val="0079624E"/>
    <w:rsid w:val="007978D4"/>
    <w:rsid w:val="00797B23"/>
    <w:rsid w:val="007A033F"/>
    <w:rsid w:val="007A06A1"/>
    <w:rsid w:val="007A14F0"/>
    <w:rsid w:val="007A15C9"/>
    <w:rsid w:val="007A1FE3"/>
    <w:rsid w:val="007A21C5"/>
    <w:rsid w:val="007A38E6"/>
    <w:rsid w:val="007A4001"/>
    <w:rsid w:val="007A459F"/>
    <w:rsid w:val="007A501C"/>
    <w:rsid w:val="007A52A0"/>
    <w:rsid w:val="007A612A"/>
    <w:rsid w:val="007A618B"/>
    <w:rsid w:val="007A6676"/>
    <w:rsid w:val="007A7B26"/>
    <w:rsid w:val="007B0070"/>
    <w:rsid w:val="007B01BC"/>
    <w:rsid w:val="007B01DC"/>
    <w:rsid w:val="007B0587"/>
    <w:rsid w:val="007B1C4F"/>
    <w:rsid w:val="007B3255"/>
    <w:rsid w:val="007B341E"/>
    <w:rsid w:val="007B459C"/>
    <w:rsid w:val="007B5BA6"/>
    <w:rsid w:val="007B60EA"/>
    <w:rsid w:val="007B6145"/>
    <w:rsid w:val="007B6223"/>
    <w:rsid w:val="007B622D"/>
    <w:rsid w:val="007B6CF5"/>
    <w:rsid w:val="007B6D4B"/>
    <w:rsid w:val="007B6E19"/>
    <w:rsid w:val="007B79A1"/>
    <w:rsid w:val="007B7FF5"/>
    <w:rsid w:val="007C057D"/>
    <w:rsid w:val="007C0B8E"/>
    <w:rsid w:val="007C2C22"/>
    <w:rsid w:val="007C2C57"/>
    <w:rsid w:val="007C3FC6"/>
    <w:rsid w:val="007C4200"/>
    <w:rsid w:val="007C5578"/>
    <w:rsid w:val="007C6353"/>
    <w:rsid w:val="007C653B"/>
    <w:rsid w:val="007C6A25"/>
    <w:rsid w:val="007C6D16"/>
    <w:rsid w:val="007C7164"/>
    <w:rsid w:val="007C71AA"/>
    <w:rsid w:val="007C72B9"/>
    <w:rsid w:val="007D0D82"/>
    <w:rsid w:val="007D1641"/>
    <w:rsid w:val="007D1AC0"/>
    <w:rsid w:val="007D1D6F"/>
    <w:rsid w:val="007D2CE9"/>
    <w:rsid w:val="007D39F2"/>
    <w:rsid w:val="007D4400"/>
    <w:rsid w:val="007D47E9"/>
    <w:rsid w:val="007D4951"/>
    <w:rsid w:val="007D4D10"/>
    <w:rsid w:val="007D4FED"/>
    <w:rsid w:val="007D5770"/>
    <w:rsid w:val="007D5AD4"/>
    <w:rsid w:val="007D6128"/>
    <w:rsid w:val="007D69DA"/>
    <w:rsid w:val="007D70B1"/>
    <w:rsid w:val="007D7140"/>
    <w:rsid w:val="007D7797"/>
    <w:rsid w:val="007D7EB8"/>
    <w:rsid w:val="007E11A0"/>
    <w:rsid w:val="007E1B62"/>
    <w:rsid w:val="007E1C73"/>
    <w:rsid w:val="007E1CDB"/>
    <w:rsid w:val="007E2767"/>
    <w:rsid w:val="007E3302"/>
    <w:rsid w:val="007E3532"/>
    <w:rsid w:val="007E408C"/>
    <w:rsid w:val="007E41AF"/>
    <w:rsid w:val="007E42D3"/>
    <w:rsid w:val="007E42E7"/>
    <w:rsid w:val="007E679B"/>
    <w:rsid w:val="007E6B19"/>
    <w:rsid w:val="007E6FA2"/>
    <w:rsid w:val="007E7E21"/>
    <w:rsid w:val="007F0460"/>
    <w:rsid w:val="007F0DA2"/>
    <w:rsid w:val="007F1D85"/>
    <w:rsid w:val="007F2220"/>
    <w:rsid w:val="007F25BE"/>
    <w:rsid w:val="007F39CE"/>
    <w:rsid w:val="007F3B58"/>
    <w:rsid w:val="007F3E71"/>
    <w:rsid w:val="007F49E9"/>
    <w:rsid w:val="007F5E09"/>
    <w:rsid w:val="007F5E0D"/>
    <w:rsid w:val="007F6510"/>
    <w:rsid w:val="007F6C44"/>
    <w:rsid w:val="007F6F3F"/>
    <w:rsid w:val="007F7997"/>
    <w:rsid w:val="007F7F7F"/>
    <w:rsid w:val="00800C1B"/>
    <w:rsid w:val="00801027"/>
    <w:rsid w:val="00801085"/>
    <w:rsid w:val="00801592"/>
    <w:rsid w:val="00801A89"/>
    <w:rsid w:val="00805038"/>
    <w:rsid w:val="0080603F"/>
    <w:rsid w:val="008071B0"/>
    <w:rsid w:val="0080727A"/>
    <w:rsid w:val="00807800"/>
    <w:rsid w:val="00807B57"/>
    <w:rsid w:val="008103CF"/>
    <w:rsid w:val="0081052D"/>
    <w:rsid w:val="008106AE"/>
    <w:rsid w:val="00810714"/>
    <w:rsid w:val="00810E22"/>
    <w:rsid w:val="0081174F"/>
    <w:rsid w:val="00812132"/>
    <w:rsid w:val="00812138"/>
    <w:rsid w:val="008125A3"/>
    <w:rsid w:val="00812CC4"/>
    <w:rsid w:val="00813050"/>
    <w:rsid w:val="00814391"/>
    <w:rsid w:val="008151F2"/>
    <w:rsid w:val="008152C7"/>
    <w:rsid w:val="008161B9"/>
    <w:rsid w:val="00816D46"/>
    <w:rsid w:val="00816D7C"/>
    <w:rsid w:val="008171BB"/>
    <w:rsid w:val="0081777A"/>
    <w:rsid w:val="008178EA"/>
    <w:rsid w:val="00817F5A"/>
    <w:rsid w:val="00820D3D"/>
    <w:rsid w:val="00820E3A"/>
    <w:rsid w:val="008210E0"/>
    <w:rsid w:val="008210E2"/>
    <w:rsid w:val="00822191"/>
    <w:rsid w:val="0082291F"/>
    <w:rsid w:val="00822E1B"/>
    <w:rsid w:val="00822F91"/>
    <w:rsid w:val="008236D7"/>
    <w:rsid w:val="00823F36"/>
    <w:rsid w:val="00824079"/>
    <w:rsid w:val="00824789"/>
    <w:rsid w:val="008247E4"/>
    <w:rsid w:val="008252D5"/>
    <w:rsid w:val="008257DC"/>
    <w:rsid w:val="00825B60"/>
    <w:rsid w:val="00826078"/>
    <w:rsid w:val="00826121"/>
    <w:rsid w:val="00826538"/>
    <w:rsid w:val="00826839"/>
    <w:rsid w:val="00827185"/>
    <w:rsid w:val="0082769D"/>
    <w:rsid w:val="008277B8"/>
    <w:rsid w:val="008307E1"/>
    <w:rsid w:val="00830B89"/>
    <w:rsid w:val="008311F9"/>
    <w:rsid w:val="00831C05"/>
    <w:rsid w:val="00831F0A"/>
    <w:rsid w:val="008320B2"/>
    <w:rsid w:val="00832B37"/>
    <w:rsid w:val="00833791"/>
    <w:rsid w:val="00833A78"/>
    <w:rsid w:val="00833E92"/>
    <w:rsid w:val="00834B9B"/>
    <w:rsid w:val="00835088"/>
    <w:rsid w:val="008356E6"/>
    <w:rsid w:val="008356FA"/>
    <w:rsid w:val="00835F60"/>
    <w:rsid w:val="00836638"/>
    <w:rsid w:val="008368CA"/>
    <w:rsid w:val="00837A1A"/>
    <w:rsid w:val="008407D5"/>
    <w:rsid w:val="008409B0"/>
    <w:rsid w:val="00842165"/>
    <w:rsid w:val="0084222C"/>
    <w:rsid w:val="008438ED"/>
    <w:rsid w:val="00844500"/>
    <w:rsid w:val="00844B16"/>
    <w:rsid w:val="0084585F"/>
    <w:rsid w:val="00845CCD"/>
    <w:rsid w:val="00845F6A"/>
    <w:rsid w:val="008462B4"/>
    <w:rsid w:val="00846A62"/>
    <w:rsid w:val="008471F2"/>
    <w:rsid w:val="0085047C"/>
    <w:rsid w:val="00850FB3"/>
    <w:rsid w:val="00851066"/>
    <w:rsid w:val="008514A9"/>
    <w:rsid w:val="0085172F"/>
    <w:rsid w:val="00851A29"/>
    <w:rsid w:val="0085290F"/>
    <w:rsid w:val="00853414"/>
    <w:rsid w:val="008534C4"/>
    <w:rsid w:val="00853E53"/>
    <w:rsid w:val="008547CD"/>
    <w:rsid w:val="008549B6"/>
    <w:rsid w:val="00854D91"/>
    <w:rsid w:val="00855133"/>
    <w:rsid w:val="00856118"/>
    <w:rsid w:val="00856239"/>
    <w:rsid w:val="00856321"/>
    <w:rsid w:val="00856671"/>
    <w:rsid w:val="008569B3"/>
    <w:rsid w:val="00856BBC"/>
    <w:rsid w:val="0085716E"/>
    <w:rsid w:val="00857B77"/>
    <w:rsid w:val="00860312"/>
    <w:rsid w:val="00860A57"/>
    <w:rsid w:val="008615FF"/>
    <w:rsid w:val="00862019"/>
    <w:rsid w:val="008621E0"/>
    <w:rsid w:val="0086294A"/>
    <w:rsid w:val="00863317"/>
    <w:rsid w:val="008647D0"/>
    <w:rsid w:val="00864D76"/>
    <w:rsid w:val="0086506A"/>
    <w:rsid w:val="00865159"/>
    <w:rsid w:val="008653A0"/>
    <w:rsid w:val="00865663"/>
    <w:rsid w:val="008656C9"/>
    <w:rsid w:val="00865BA8"/>
    <w:rsid w:val="008669FD"/>
    <w:rsid w:val="0086711C"/>
    <w:rsid w:val="008671B4"/>
    <w:rsid w:val="00867535"/>
    <w:rsid w:val="00867686"/>
    <w:rsid w:val="00867C30"/>
    <w:rsid w:val="00870242"/>
    <w:rsid w:val="00870762"/>
    <w:rsid w:val="0087076C"/>
    <w:rsid w:val="0087177D"/>
    <w:rsid w:val="0087236A"/>
    <w:rsid w:val="008727ED"/>
    <w:rsid w:val="008729EB"/>
    <w:rsid w:val="00874110"/>
    <w:rsid w:val="00874456"/>
    <w:rsid w:val="00875285"/>
    <w:rsid w:val="008758F9"/>
    <w:rsid w:val="00875C5B"/>
    <w:rsid w:val="00877D5C"/>
    <w:rsid w:val="0088004C"/>
    <w:rsid w:val="00880F13"/>
    <w:rsid w:val="00880FE2"/>
    <w:rsid w:val="0088193E"/>
    <w:rsid w:val="008822E4"/>
    <w:rsid w:val="0088232B"/>
    <w:rsid w:val="00882425"/>
    <w:rsid w:val="0088309C"/>
    <w:rsid w:val="008831D9"/>
    <w:rsid w:val="00883C5F"/>
    <w:rsid w:val="00883FCA"/>
    <w:rsid w:val="008844DD"/>
    <w:rsid w:val="00884C4A"/>
    <w:rsid w:val="00885CAA"/>
    <w:rsid w:val="00887978"/>
    <w:rsid w:val="0089016C"/>
    <w:rsid w:val="008901ED"/>
    <w:rsid w:val="0089107C"/>
    <w:rsid w:val="008913BB"/>
    <w:rsid w:val="00891C7D"/>
    <w:rsid w:val="0089200C"/>
    <w:rsid w:val="00892FA7"/>
    <w:rsid w:val="00893B8C"/>
    <w:rsid w:val="00895030"/>
    <w:rsid w:val="00895628"/>
    <w:rsid w:val="00896B4D"/>
    <w:rsid w:val="00896BB4"/>
    <w:rsid w:val="00896F44"/>
    <w:rsid w:val="008976C9"/>
    <w:rsid w:val="00897794"/>
    <w:rsid w:val="008A0B4F"/>
    <w:rsid w:val="008A0D12"/>
    <w:rsid w:val="008A2226"/>
    <w:rsid w:val="008A2603"/>
    <w:rsid w:val="008A2796"/>
    <w:rsid w:val="008A2CFC"/>
    <w:rsid w:val="008A3301"/>
    <w:rsid w:val="008A4775"/>
    <w:rsid w:val="008A4DF1"/>
    <w:rsid w:val="008A54E7"/>
    <w:rsid w:val="008A55D2"/>
    <w:rsid w:val="008A5636"/>
    <w:rsid w:val="008A6877"/>
    <w:rsid w:val="008A6899"/>
    <w:rsid w:val="008A71AD"/>
    <w:rsid w:val="008A74D3"/>
    <w:rsid w:val="008A7531"/>
    <w:rsid w:val="008A78FB"/>
    <w:rsid w:val="008B06EC"/>
    <w:rsid w:val="008B0967"/>
    <w:rsid w:val="008B0BA0"/>
    <w:rsid w:val="008B125E"/>
    <w:rsid w:val="008B2022"/>
    <w:rsid w:val="008B241C"/>
    <w:rsid w:val="008B2AFA"/>
    <w:rsid w:val="008B2E01"/>
    <w:rsid w:val="008B36BF"/>
    <w:rsid w:val="008B3A64"/>
    <w:rsid w:val="008B3F08"/>
    <w:rsid w:val="008B408B"/>
    <w:rsid w:val="008B4C6D"/>
    <w:rsid w:val="008B4F11"/>
    <w:rsid w:val="008B5184"/>
    <w:rsid w:val="008B54FE"/>
    <w:rsid w:val="008B6745"/>
    <w:rsid w:val="008B6D2E"/>
    <w:rsid w:val="008B7D7A"/>
    <w:rsid w:val="008B7F10"/>
    <w:rsid w:val="008C008D"/>
    <w:rsid w:val="008C04C4"/>
    <w:rsid w:val="008C0C0B"/>
    <w:rsid w:val="008C2362"/>
    <w:rsid w:val="008C23C5"/>
    <w:rsid w:val="008C2E45"/>
    <w:rsid w:val="008C3049"/>
    <w:rsid w:val="008C32E8"/>
    <w:rsid w:val="008C3A0C"/>
    <w:rsid w:val="008C5CCB"/>
    <w:rsid w:val="008C6836"/>
    <w:rsid w:val="008C6F2C"/>
    <w:rsid w:val="008C736F"/>
    <w:rsid w:val="008C75AF"/>
    <w:rsid w:val="008C777E"/>
    <w:rsid w:val="008C7780"/>
    <w:rsid w:val="008C7F9A"/>
    <w:rsid w:val="008D0590"/>
    <w:rsid w:val="008D0D9D"/>
    <w:rsid w:val="008D16A9"/>
    <w:rsid w:val="008D1AFA"/>
    <w:rsid w:val="008D1B27"/>
    <w:rsid w:val="008D1C80"/>
    <w:rsid w:val="008D232D"/>
    <w:rsid w:val="008D2A34"/>
    <w:rsid w:val="008D31D0"/>
    <w:rsid w:val="008D3363"/>
    <w:rsid w:val="008D4AE9"/>
    <w:rsid w:val="008D55A6"/>
    <w:rsid w:val="008D5C3A"/>
    <w:rsid w:val="008D5CA4"/>
    <w:rsid w:val="008D5CF3"/>
    <w:rsid w:val="008D5E21"/>
    <w:rsid w:val="008D5F78"/>
    <w:rsid w:val="008D6097"/>
    <w:rsid w:val="008D62AF"/>
    <w:rsid w:val="008D6A3E"/>
    <w:rsid w:val="008D7D39"/>
    <w:rsid w:val="008E0C0D"/>
    <w:rsid w:val="008E1C9F"/>
    <w:rsid w:val="008E2B8A"/>
    <w:rsid w:val="008E3AA1"/>
    <w:rsid w:val="008E3E6B"/>
    <w:rsid w:val="008E418D"/>
    <w:rsid w:val="008E4574"/>
    <w:rsid w:val="008E5409"/>
    <w:rsid w:val="008E553C"/>
    <w:rsid w:val="008E5956"/>
    <w:rsid w:val="008E5FAB"/>
    <w:rsid w:val="008E5FFE"/>
    <w:rsid w:val="008E61F0"/>
    <w:rsid w:val="008F00D0"/>
    <w:rsid w:val="008F1182"/>
    <w:rsid w:val="008F22FF"/>
    <w:rsid w:val="008F3976"/>
    <w:rsid w:val="008F400E"/>
    <w:rsid w:val="008F4016"/>
    <w:rsid w:val="008F41A0"/>
    <w:rsid w:val="008F42FE"/>
    <w:rsid w:val="008F4A00"/>
    <w:rsid w:val="008F51CF"/>
    <w:rsid w:val="008F5402"/>
    <w:rsid w:val="008F6652"/>
    <w:rsid w:val="008F67D8"/>
    <w:rsid w:val="008F6C91"/>
    <w:rsid w:val="008F7073"/>
    <w:rsid w:val="008F79F5"/>
    <w:rsid w:val="008F7D19"/>
    <w:rsid w:val="00900085"/>
    <w:rsid w:val="0090053A"/>
    <w:rsid w:val="00900EB3"/>
    <w:rsid w:val="009010DD"/>
    <w:rsid w:val="00901272"/>
    <w:rsid w:val="00901C2A"/>
    <w:rsid w:val="00902091"/>
    <w:rsid w:val="00902219"/>
    <w:rsid w:val="009029E7"/>
    <w:rsid w:val="00902F72"/>
    <w:rsid w:val="00902F7B"/>
    <w:rsid w:val="009031F2"/>
    <w:rsid w:val="00903976"/>
    <w:rsid w:val="00903B30"/>
    <w:rsid w:val="00904137"/>
    <w:rsid w:val="00904806"/>
    <w:rsid w:val="00904D49"/>
    <w:rsid w:val="009059C6"/>
    <w:rsid w:val="00905C32"/>
    <w:rsid w:val="0090606C"/>
    <w:rsid w:val="00906B56"/>
    <w:rsid w:val="00906ECA"/>
    <w:rsid w:val="009076F9"/>
    <w:rsid w:val="00907CF1"/>
    <w:rsid w:val="009104AB"/>
    <w:rsid w:val="009113E7"/>
    <w:rsid w:val="009118C7"/>
    <w:rsid w:val="00911CDA"/>
    <w:rsid w:val="009126E5"/>
    <w:rsid w:val="00912808"/>
    <w:rsid w:val="00914AEC"/>
    <w:rsid w:val="00915316"/>
    <w:rsid w:val="0091648E"/>
    <w:rsid w:val="0091680C"/>
    <w:rsid w:val="00916B32"/>
    <w:rsid w:val="00916EB5"/>
    <w:rsid w:val="00917D76"/>
    <w:rsid w:val="00917DBE"/>
    <w:rsid w:val="00917E51"/>
    <w:rsid w:val="00917E8A"/>
    <w:rsid w:val="00917F2F"/>
    <w:rsid w:val="009201A0"/>
    <w:rsid w:val="0092046E"/>
    <w:rsid w:val="009210B0"/>
    <w:rsid w:val="00921641"/>
    <w:rsid w:val="00921B69"/>
    <w:rsid w:val="009223A1"/>
    <w:rsid w:val="009225B6"/>
    <w:rsid w:val="00922F4C"/>
    <w:rsid w:val="00923B4E"/>
    <w:rsid w:val="009242CA"/>
    <w:rsid w:val="009243A0"/>
    <w:rsid w:val="00925015"/>
    <w:rsid w:val="00925397"/>
    <w:rsid w:val="009253F5"/>
    <w:rsid w:val="0092749D"/>
    <w:rsid w:val="0092756A"/>
    <w:rsid w:val="009278D3"/>
    <w:rsid w:val="00930DFA"/>
    <w:rsid w:val="0093148D"/>
    <w:rsid w:val="009322CA"/>
    <w:rsid w:val="00932A7E"/>
    <w:rsid w:val="0093351B"/>
    <w:rsid w:val="0093382E"/>
    <w:rsid w:val="00933A21"/>
    <w:rsid w:val="009345EE"/>
    <w:rsid w:val="00934C10"/>
    <w:rsid w:val="00934FF6"/>
    <w:rsid w:val="00934FFB"/>
    <w:rsid w:val="0093564E"/>
    <w:rsid w:val="0093662A"/>
    <w:rsid w:val="009369E8"/>
    <w:rsid w:val="009369F1"/>
    <w:rsid w:val="00936E5C"/>
    <w:rsid w:val="009375C3"/>
    <w:rsid w:val="009375D1"/>
    <w:rsid w:val="00940015"/>
    <w:rsid w:val="009401CE"/>
    <w:rsid w:val="00940214"/>
    <w:rsid w:val="00940345"/>
    <w:rsid w:val="0094051B"/>
    <w:rsid w:val="0094060C"/>
    <w:rsid w:val="00940666"/>
    <w:rsid w:val="009421D6"/>
    <w:rsid w:val="00942E5B"/>
    <w:rsid w:val="009431FC"/>
    <w:rsid w:val="00943BB4"/>
    <w:rsid w:val="00943F66"/>
    <w:rsid w:val="00944075"/>
    <w:rsid w:val="00947042"/>
    <w:rsid w:val="00947B88"/>
    <w:rsid w:val="00947E32"/>
    <w:rsid w:val="0095038D"/>
    <w:rsid w:val="0095096B"/>
    <w:rsid w:val="00950A6F"/>
    <w:rsid w:val="00951550"/>
    <w:rsid w:val="00951CBC"/>
    <w:rsid w:val="00951F5C"/>
    <w:rsid w:val="00952389"/>
    <w:rsid w:val="0095316A"/>
    <w:rsid w:val="009533AB"/>
    <w:rsid w:val="009534AA"/>
    <w:rsid w:val="009535E8"/>
    <w:rsid w:val="009538BD"/>
    <w:rsid w:val="00953928"/>
    <w:rsid w:val="00953EE0"/>
    <w:rsid w:val="0095408A"/>
    <w:rsid w:val="00954331"/>
    <w:rsid w:val="0095444A"/>
    <w:rsid w:val="00955A4A"/>
    <w:rsid w:val="00955A7E"/>
    <w:rsid w:val="0095736E"/>
    <w:rsid w:val="009606A5"/>
    <w:rsid w:val="00962C79"/>
    <w:rsid w:val="00962F1F"/>
    <w:rsid w:val="00962FD0"/>
    <w:rsid w:val="00963351"/>
    <w:rsid w:val="00963702"/>
    <w:rsid w:val="00964083"/>
    <w:rsid w:val="00964B6F"/>
    <w:rsid w:val="00965304"/>
    <w:rsid w:val="009655F0"/>
    <w:rsid w:val="00966D01"/>
    <w:rsid w:val="00966F1B"/>
    <w:rsid w:val="00966FC7"/>
    <w:rsid w:val="00970041"/>
    <w:rsid w:val="00970715"/>
    <w:rsid w:val="00971293"/>
    <w:rsid w:val="009716E3"/>
    <w:rsid w:val="00971FA5"/>
    <w:rsid w:val="009733BF"/>
    <w:rsid w:val="0097363E"/>
    <w:rsid w:val="009736BB"/>
    <w:rsid w:val="00973926"/>
    <w:rsid w:val="00973A3B"/>
    <w:rsid w:val="00973C8C"/>
    <w:rsid w:val="009743B9"/>
    <w:rsid w:val="00975B1A"/>
    <w:rsid w:val="00975C03"/>
    <w:rsid w:val="00976025"/>
    <w:rsid w:val="00976205"/>
    <w:rsid w:val="0097674A"/>
    <w:rsid w:val="009770D0"/>
    <w:rsid w:val="009779EA"/>
    <w:rsid w:val="009802F4"/>
    <w:rsid w:val="009806A7"/>
    <w:rsid w:val="009808AB"/>
    <w:rsid w:val="00980AFF"/>
    <w:rsid w:val="00981045"/>
    <w:rsid w:val="00981930"/>
    <w:rsid w:val="00981D12"/>
    <w:rsid w:val="00981E6C"/>
    <w:rsid w:val="00981F02"/>
    <w:rsid w:val="00982227"/>
    <w:rsid w:val="00982532"/>
    <w:rsid w:val="00982678"/>
    <w:rsid w:val="00982B0B"/>
    <w:rsid w:val="009832DB"/>
    <w:rsid w:val="00983797"/>
    <w:rsid w:val="00983EAE"/>
    <w:rsid w:val="00984816"/>
    <w:rsid w:val="00984D51"/>
    <w:rsid w:val="00985663"/>
    <w:rsid w:val="00985FBF"/>
    <w:rsid w:val="00986122"/>
    <w:rsid w:val="0098682E"/>
    <w:rsid w:val="0098760B"/>
    <w:rsid w:val="00987A2A"/>
    <w:rsid w:val="00991AAF"/>
    <w:rsid w:val="00991EF7"/>
    <w:rsid w:val="00993124"/>
    <w:rsid w:val="00993C75"/>
    <w:rsid w:val="0099406B"/>
    <w:rsid w:val="009960C3"/>
    <w:rsid w:val="00996113"/>
    <w:rsid w:val="0099768E"/>
    <w:rsid w:val="00997864"/>
    <w:rsid w:val="009A11DD"/>
    <w:rsid w:val="009A3D48"/>
    <w:rsid w:val="009A3DF3"/>
    <w:rsid w:val="009A5563"/>
    <w:rsid w:val="009A5FB5"/>
    <w:rsid w:val="009B27DD"/>
    <w:rsid w:val="009B29E0"/>
    <w:rsid w:val="009B30AA"/>
    <w:rsid w:val="009B3B00"/>
    <w:rsid w:val="009B3CCB"/>
    <w:rsid w:val="009B4265"/>
    <w:rsid w:val="009B49FD"/>
    <w:rsid w:val="009B5217"/>
    <w:rsid w:val="009B69DB"/>
    <w:rsid w:val="009B70DB"/>
    <w:rsid w:val="009C0A06"/>
    <w:rsid w:val="009C1941"/>
    <w:rsid w:val="009C1C25"/>
    <w:rsid w:val="009C2151"/>
    <w:rsid w:val="009C3FC6"/>
    <w:rsid w:val="009C4798"/>
    <w:rsid w:val="009C48DE"/>
    <w:rsid w:val="009C677B"/>
    <w:rsid w:val="009C7583"/>
    <w:rsid w:val="009C7861"/>
    <w:rsid w:val="009C7A5B"/>
    <w:rsid w:val="009C7EFF"/>
    <w:rsid w:val="009D0A6A"/>
    <w:rsid w:val="009D0A6F"/>
    <w:rsid w:val="009D115B"/>
    <w:rsid w:val="009D1834"/>
    <w:rsid w:val="009D1B6B"/>
    <w:rsid w:val="009D2C29"/>
    <w:rsid w:val="009D2C61"/>
    <w:rsid w:val="009D3108"/>
    <w:rsid w:val="009D6394"/>
    <w:rsid w:val="009D7C68"/>
    <w:rsid w:val="009D7CBF"/>
    <w:rsid w:val="009E003B"/>
    <w:rsid w:val="009E065D"/>
    <w:rsid w:val="009E19C4"/>
    <w:rsid w:val="009E1D16"/>
    <w:rsid w:val="009E1E1E"/>
    <w:rsid w:val="009E20D2"/>
    <w:rsid w:val="009E33E3"/>
    <w:rsid w:val="009E3657"/>
    <w:rsid w:val="009E365B"/>
    <w:rsid w:val="009E3D39"/>
    <w:rsid w:val="009E44CB"/>
    <w:rsid w:val="009E4C84"/>
    <w:rsid w:val="009E4DC6"/>
    <w:rsid w:val="009E5590"/>
    <w:rsid w:val="009E55B4"/>
    <w:rsid w:val="009E561E"/>
    <w:rsid w:val="009E66D2"/>
    <w:rsid w:val="009E7E78"/>
    <w:rsid w:val="009E7F16"/>
    <w:rsid w:val="009F16A7"/>
    <w:rsid w:val="009F20B3"/>
    <w:rsid w:val="009F26A9"/>
    <w:rsid w:val="009F2957"/>
    <w:rsid w:val="009F2D7D"/>
    <w:rsid w:val="009F4871"/>
    <w:rsid w:val="009F5052"/>
    <w:rsid w:val="009F5376"/>
    <w:rsid w:val="009F5817"/>
    <w:rsid w:val="009F5CB5"/>
    <w:rsid w:val="009F5E35"/>
    <w:rsid w:val="009F5FFE"/>
    <w:rsid w:val="009F65C7"/>
    <w:rsid w:val="009F6677"/>
    <w:rsid w:val="009F6AD9"/>
    <w:rsid w:val="009F7C6E"/>
    <w:rsid w:val="00A00842"/>
    <w:rsid w:val="00A00857"/>
    <w:rsid w:val="00A011A1"/>
    <w:rsid w:val="00A0167E"/>
    <w:rsid w:val="00A017E6"/>
    <w:rsid w:val="00A020B3"/>
    <w:rsid w:val="00A024FF"/>
    <w:rsid w:val="00A02A1C"/>
    <w:rsid w:val="00A034B7"/>
    <w:rsid w:val="00A04C85"/>
    <w:rsid w:val="00A05B30"/>
    <w:rsid w:val="00A05F97"/>
    <w:rsid w:val="00A0654A"/>
    <w:rsid w:val="00A06639"/>
    <w:rsid w:val="00A07467"/>
    <w:rsid w:val="00A07489"/>
    <w:rsid w:val="00A07F53"/>
    <w:rsid w:val="00A100F0"/>
    <w:rsid w:val="00A107BD"/>
    <w:rsid w:val="00A12027"/>
    <w:rsid w:val="00A12030"/>
    <w:rsid w:val="00A12C9A"/>
    <w:rsid w:val="00A13C4C"/>
    <w:rsid w:val="00A141F1"/>
    <w:rsid w:val="00A156E6"/>
    <w:rsid w:val="00A1596E"/>
    <w:rsid w:val="00A164A3"/>
    <w:rsid w:val="00A17AD1"/>
    <w:rsid w:val="00A17F61"/>
    <w:rsid w:val="00A17F87"/>
    <w:rsid w:val="00A20C1B"/>
    <w:rsid w:val="00A220E8"/>
    <w:rsid w:val="00A2278D"/>
    <w:rsid w:val="00A228AA"/>
    <w:rsid w:val="00A23C8B"/>
    <w:rsid w:val="00A23DBC"/>
    <w:rsid w:val="00A241D0"/>
    <w:rsid w:val="00A247DA"/>
    <w:rsid w:val="00A257C5"/>
    <w:rsid w:val="00A267BA"/>
    <w:rsid w:val="00A27630"/>
    <w:rsid w:val="00A27CE3"/>
    <w:rsid w:val="00A27D86"/>
    <w:rsid w:val="00A30566"/>
    <w:rsid w:val="00A30CED"/>
    <w:rsid w:val="00A316C0"/>
    <w:rsid w:val="00A32F8F"/>
    <w:rsid w:val="00A33151"/>
    <w:rsid w:val="00A33472"/>
    <w:rsid w:val="00A339B0"/>
    <w:rsid w:val="00A34E2C"/>
    <w:rsid w:val="00A35086"/>
    <w:rsid w:val="00A36792"/>
    <w:rsid w:val="00A36970"/>
    <w:rsid w:val="00A36F09"/>
    <w:rsid w:val="00A4175E"/>
    <w:rsid w:val="00A41EB4"/>
    <w:rsid w:val="00A42304"/>
    <w:rsid w:val="00A4250D"/>
    <w:rsid w:val="00A429BC"/>
    <w:rsid w:val="00A42C05"/>
    <w:rsid w:val="00A437B0"/>
    <w:rsid w:val="00A438ED"/>
    <w:rsid w:val="00A43929"/>
    <w:rsid w:val="00A442F6"/>
    <w:rsid w:val="00A44BFF"/>
    <w:rsid w:val="00A463EC"/>
    <w:rsid w:val="00A465DB"/>
    <w:rsid w:val="00A46946"/>
    <w:rsid w:val="00A470D3"/>
    <w:rsid w:val="00A47468"/>
    <w:rsid w:val="00A47B55"/>
    <w:rsid w:val="00A501E3"/>
    <w:rsid w:val="00A5083C"/>
    <w:rsid w:val="00A50F0C"/>
    <w:rsid w:val="00A51A80"/>
    <w:rsid w:val="00A51F08"/>
    <w:rsid w:val="00A523C1"/>
    <w:rsid w:val="00A523F4"/>
    <w:rsid w:val="00A52660"/>
    <w:rsid w:val="00A52C8D"/>
    <w:rsid w:val="00A52DEE"/>
    <w:rsid w:val="00A52F12"/>
    <w:rsid w:val="00A53716"/>
    <w:rsid w:val="00A53A5D"/>
    <w:rsid w:val="00A53E2E"/>
    <w:rsid w:val="00A53F50"/>
    <w:rsid w:val="00A544FA"/>
    <w:rsid w:val="00A547A3"/>
    <w:rsid w:val="00A548F9"/>
    <w:rsid w:val="00A54E12"/>
    <w:rsid w:val="00A54E21"/>
    <w:rsid w:val="00A558F1"/>
    <w:rsid w:val="00A5618A"/>
    <w:rsid w:val="00A56399"/>
    <w:rsid w:val="00A56441"/>
    <w:rsid w:val="00A57134"/>
    <w:rsid w:val="00A57393"/>
    <w:rsid w:val="00A618BF"/>
    <w:rsid w:val="00A62127"/>
    <w:rsid w:val="00A6326C"/>
    <w:rsid w:val="00A63930"/>
    <w:rsid w:val="00A644A3"/>
    <w:rsid w:val="00A651B7"/>
    <w:rsid w:val="00A6689E"/>
    <w:rsid w:val="00A670D4"/>
    <w:rsid w:val="00A70E20"/>
    <w:rsid w:val="00A71B0F"/>
    <w:rsid w:val="00A72818"/>
    <w:rsid w:val="00A72CAE"/>
    <w:rsid w:val="00A731A4"/>
    <w:rsid w:val="00A73208"/>
    <w:rsid w:val="00A736DD"/>
    <w:rsid w:val="00A73A82"/>
    <w:rsid w:val="00A7432D"/>
    <w:rsid w:val="00A75C72"/>
    <w:rsid w:val="00A75D1B"/>
    <w:rsid w:val="00A75E58"/>
    <w:rsid w:val="00A7610B"/>
    <w:rsid w:val="00A761A6"/>
    <w:rsid w:val="00A76B67"/>
    <w:rsid w:val="00A76E10"/>
    <w:rsid w:val="00A76E78"/>
    <w:rsid w:val="00A7728E"/>
    <w:rsid w:val="00A774EA"/>
    <w:rsid w:val="00A77DB8"/>
    <w:rsid w:val="00A8067B"/>
    <w:rsid w:val="00A806EB"/>
    <w:rsid w:val="00A809FF"/>
    <w:rsid w:val="00A81585"/>
    <w:rsid w:val="00A816E2"/>
    <w:rsid w:val="00A81A18"/>
    <w:rsid w:val="00A81E8B"/>
    <w:rsid w:val="00A81EDE"/>
    <w:rsid w:val="00A82248"/>
    <w:rsid w:val="00A8266C"/>
    <w:rsid w:val="00A82869"/>
    <w:rsid w:val="00A83056"/>
    <w:rsid w:val="00A85A1A"/>
    <w:rsid w:val="00A863B3"/>
    <w:rsid w:val="00A87232"/>
    <w:rsid w:val="00A8754E"/>
    <w:rsid w:val="00A8758C"/>
    <w:rsid w:val="00A87CF0"/>
    <w:rsid w:val="00A90E8C"/>
    <w:rsid w:val="00A91006"/>
    <w:rsid w:val="00A91576"/>
    <w:rsid w:val="00A92393"/>
    <w:rsid w:val="00A92538"/>
    <w:rsid w:val="00A92BAF"/>
    <w:rsid w:val="00A93381"/>
    <w:rsid w:val="00A9364C"/>
    <w:rsid w:val="00A93B5C"/>
    <w:rsid w:val="00A93B8C"/>
    <w:rsid w:val="00A93C17"/>
    <w:rsid w:val="00A9410F"/>
    <w:rsid w:val="00A944A9"/>
    <w:rsid w:val="00A94949"/>
    <w:rsid w:val="00A95E79"/>
    <w:rsid w:val="00A96099"/>
    <w:rsid w:val="00A9630A"/>
    <w:rsid w:val="00A968F4"/>
    <w:rsid w:val="00A96BF0"/>
    <w:rsid w:val="00A97127"/>
    <w:rsid w:val="00A9775A"/>
    <w:rsid w:val="00AA06F3"/>
    <w:rsid w:val="00AA08C6"/>
    <w:rsid w:val="00AA0BEB"/>
    <w:rsid w:val="00AA127E"/>
    <w:rsid w:val="00AA19AE"/>
    <w:rsid w:val="00AA1BC0"/>
    <w:rsid w:val="00AA2013"/>
    <w:rsid w:val="00AA2856"/>
    <w:rsid w:val="00AA3063"/>
    <w:rsid w:val="00AA3A94"/>
    <w:rsid w:val="00AA423D"/>
    <w:rsid w:val="00AA4DE4"/>
    <w:rsid w:val="00AA69D3"/>
    <w:rsid w:val="00AA6A95"/>
    <w:rsid w:val="00AA7DEC"/>
    <w:rsid w:val="00AB00E3"/>
    <w:rsid w:val="00AB0AE0"/>
    <w:rsid w:val="00AB10DE"/>
    <w:rsid w:val="00AB1AF1"/>
    <w:rsid w:val="00AB3460"/>
    <w:rsid w:val="00AB3668"/>
    <w:rsid w:val="00AB4940"/>
    <w:rsid w:val="00AB56C1"/>
    <w:rsid w:val="00AB5ED7"/>
    <w:rsid w:val="00AB61AD"/>
    <w:rsid w:val="00AB6C24"/>
    <w:rsid w:val="00AB7CD7"/>
    <w:rsid w:val="00AC0001"/>
    <w:rsid w:val="00AC0B4C"/>
    <w:rsid w:val="00AC13FE"/>
    <w:rsid w:val="00AC1CDF"/>
    <w:rsid w:val="00AC3A6F"/>
    <w:rsid w:val="00AC5B9E"/>
    <w:rsid w:val="00AC5F01"/>
    <w:rsid w:val="00AC656D"/>
    <w:rsid w:val="00AC7DB5"/>
    <w:rsid w:val="00AD0567"/>
    <w:rsid w:val="00AD0A2A"/>
    <w:rsid w:val="00AD0AEE"/>
    <w:rsid w:val="00AD1051"/>
    <w:rsid w:val="00AD2291"/>
    <w:rsid w:val="00AD3C6C"/>
    <w:rsid w:val="00AD3EFE"/>
    <w:rsid w:val="00AD49E3"/>
    <w:rsid w:val="00AD4B4F"/>
    <w:rsid w:val="00AD5C58"/>
    <w:rsid w:val="00AD660C"/>
    <w:rsid w:val="00AD6A9A"/>
    <w:rsid w:val="00AD79F3"/>
    <w:rsid w:val="00AE074F"/>
    <w:rsid w:val="00AE078B"/>
    <w:rsid w:val="00AE1668"/>
    <w:rsid w:val="00AE25F0"/>
    <w:rsid w:val="00AE36DA"/>
    <w:rsid w:val="00AE42C6"/>
    <w:rsid w:val="00AE48F5"/>
    <w:rsid w:val="00AE4926"/>
    <w:rsid w:val="00AE4F07"/>
    <w:rsid w:val="00AE627C"/>
    <w:rsid w:val="00AE6BE6"/>
    <w:rsid w:val="00AE6C8B"/>
    <w:rsid w:val="00AE7696"/>
    <w:rsid w:val="00AE7809"/>
    <w:rsid w:val="00AF0616"/>
    <w:rsid w:val="00AF06E5"/>
    <w:rsid w:val="00AF0D73"/>
    <w:rsid w:val="00AF0E28"/>
    <w:rsid w:val="00AF1480"/>
    <w:rsid w:val="00AF1788"/>
    <w:rsid w:val="00AF1824"/>
    <w:rsid w:val="00AF1E5E"/>
    <w:rsid w:val="00AF237C"/>
    <w:rsid w:val="00AF2F1D"/>
    <w:rsid w:val="00AF3ADA"/>
    <w:rsid w:val="00AF5D5E"/>
    <w:rsid w:val="00AF6A87"/>
    <w:rsid w:val="00AF6AB3"/>
    <w:rsid w:val="00AF6BD8"/>
    <w:rsid w:val="00AF6F9B"/>
    <w:rsid w:val="00AF7A07"/>
    <w:rsid w:val="00B007B7"/>
    <w:rsid w:val="00B0132C"/>
    <w:rsid w:val="00B01409"/>
    <w:rsid w:val="00B0149D"/>
    <w:rsid w:val="00B02655"/>
    <w:rsid w:val="00B04D8E"/>
    <w:rsid w:val="00B05126"/>
    <w:rsid w:val="00B0545D"/>
    <w:rsid w:val="00B059BC"/>
    <w:rsid w:val="00B05B09"/>
    <w:rsid w:val="00B068BF"/>
    <w:rsid w:val="00B109D6"/>
    <w:rsid w:val="00B10DBD"/>
    <w:rsid w:val="00B11164"/>
    <w:rsid w:val="00B11364"/>
    <w:rsid w:val="00B11F8D"/>
    <w:rsid w:val="00B11FB1"/>
    <w:rsid w:val="00B12283"/>
    <w:rsid w:val="00B126B3"/>
    <w:rsid w:val="00B131A9"/>
    <w:rsid w:val="00B13998"/>
    <w:rsid w:val="00B14AE1"/>
    <w:rsid w:val="00B14B0F"/>
    <w:rsid w:val="00B14E20"/>
    <w:rsid w:val="00B14F40"/>
    <w:rsid w:val="00B15629"/>
    <w:rsid w:val="00B15FEF"/>
    <w:rsid w:val="00B165C4"/>
    <w:rsid w:val="00B16A32"/>
    <w:rsid w:val="00B16AEF"/>
    <w:rsid w:val="00B16CC9"/>
    <w:rsid w:val="00B171A5"/>
    <w:rsid w:val="00B17C17"/>
    <w:rsid w:val="00B2016F"/>
    <w:rsid w:val="00B20404"/>
    <w:rsid w:val="00B21021"/>
    <w:rsid w:val="00B2203F"/>
    <w:rsid w:val="00B22727"/>
    <w:rsid w:val="00B22AAA"/>
    <w:rsid w:val="00B22ED8"/>
    <w:rsid w:val="00B230DB"/>
    <w:rsid w:val="00B2339C"/>
    <w:rsid w:val="00B2372C"/>
    <w:rsid w:val="00B2413D"/>
    <w:rsid w:val="00B24670"/>
    <w:rsid w:val="00B2473B"/>
    <w:rsid w:val="00B24CAC"/>
    <w:rsid w:val="00B250FE"/>
    <w:rsid w:val="00B25105"/>
    <w:rsid w:val="00B267EE"/>
    <w:rsid w:val="00B26DD6"/>
    <w:rsid w:val="00B27737"/>
    <w:rsid w:val="00B27921"/>
    <w:rsid w:val="00B308EC"/>
    <w:rsid w:val="00B322EB"/>
    <w:rsid w:val="00B32F70"/>
    <w:rsid w:val="00B32FF5"/>
    <w:rsid w:val="00B3365D"/>
    <w:rsid w:val="00B341DE"/>
    <w:rsid w:val="00B348AA"/>
    <w:rsid w:val="00B34AF4"/>
    <w:rsid w:val="00B3503D"/>
    <w:rsid w:val="00B35D0B"/>
    <w:rsid w:val="00B370E0"/>
    <w:rsid w:val="00B37357"/>
    <w:rsid w:val="00B373D0"/>
    <w:rsid w:val="00B37F84"/>
    <w:rsid w:val="00B40BB9"/>
    <w:rsid w:val="00B4142B"/>
    <w:rsid w:val="00B42C4B"/>
    <w:rsid w:val="00B42C99"/>
    <w:rsid w:val="00B43AAA"/>
    <w:rsid w:val="00B44A10"/>
    <w:rsid w:val="00B4507F"/>
    <w:rsid w:val="00B450F0"/>
    <w:rsid w:val="00B45F3C"/>
    <w:rsid w:val="00B45FDB"/>
    <w:rsid w:val="00B47206"/>
    <w:rsid w:val="00B4755F"/>
    <w:rsid w:val="00B47728"/>
    <w:rsid w:val="00B506E7"/>
    <w:rsid w:val="00B509BC"/>
    <w:rsid w:val="00B51270"/>
    <w:rsid w:val="00B51E59"/>
    <w:rsid w:val="00B52AA7"/>
    <w:rsid w:val="00B52C19"/>
    <w:rsid w:val="00B52F9A"/>
    <w:rsid w:val="00B53071"/>
    <w:rsid w:val="00B53139"/>
    <w:rsid w:val="00B53300"/>
    <w:rsid w:val="00B533A8"/>
    <w:rsid w:val="00B53E91"/>
    <w:rsid w:val="00B54425"/>
    <w:rsid w:val="00B544B4"/>
    <w:rsid w:val="00B547D7"/>
    <w:rsid w:val="00B55BF0"/>
    <w:rsid w:val="00B562CE"/>
    <w:rsid w:val="00B56568"/>
    <w:rsid w:val="00B5739F"/>
    <w:rsid w:val="00B60689"/>
    <w:rsid w:val="00B60B84"/>
    <w:rsid w:val="00B61D73"/>
    <w:rsid w:val="00B62A61"/>
    <w:rsid w:val="00B62DE2"/>
    <w:rsid w:val="00B62E1B"/>
    <w:rsid w:val="00B63EA4"/>
    <w:rsid w:val="00B6413B"/>
    <w:rsid w:val="00B64516"/>
    <w:rsid w:val="00B64AE8"/>
    <w:rsid w:val="00B650AB"/>
    <w:rsid w:val="00B65766"/>
    <w:rsid w:val="00B660BD"/>
    <w:rsid w:val="00B70412"/>
    <w:rsid w:val="00B70644"/>
    <w:rsid w:val="00B72D53"/>
    <w:rsid w:val="00B7322D"/>
    <w:rsid w:val="00B737D4"/>
    <w:rsid w:val="00B73949"/>
    <w:rsid w:val="00B7413F"/>
    <w:rsid w:val="00B74417"/>
    <w:rsid w:val="00B74D36"/>
    <w:rsid w:val="00B75275"/>
    <w:rsid w:val="00B7552C"/>
    <w:rsid w:val="00B756E7"/>
    <w:rsid w:val="00B757F4"/>
    <w:rsid w:val="00B77246"/>
    <w:rsid w:val="00B77532"/>
    <w:rsid w:val="00B811E8"/>
    <w:rsid w:val="00B81639"/>
    <w:rsid w:val="00B81C30"/>
    <w:rsid w:val="00B81CAB"/>
    <w:rsid w:val="00B81CD9"/>
    <w:rsid w:val="00B82982"/>
    <w:rsid w:val="00B82A90"/>
    <w:rsid w:val="00B82EC0"/>
    <w:rsid w:val="00B8491B"/>
    <w:rsid w:val="00B84B37"/>
    <w:rsid w:val="00B85042"/>
    <w:rsid w:val="00B8523B"/>
    <w:rsid w:val="00B85321"/>
    <w:rsid w:val="00B8534F"/>
    <w:rsid w:val="00B857CC"/>
    <w:rsid w:val="00B86350"/>
    <w:rsid w:val="00B866CD"/>
    <w:rsid w:val="00B87CD3"/>
    <w:rsid w:val="00B90E41"/>
    <w:rsid w:val="00B91A00"/>
    <w:rsid w:val="00B92A8F"/>
    <w:rsid w:val="00B93034"/>
    <w:rsid w:val="00B93424"/>
    <w:rsid w:val="00B934AE"/>
    <w:rsid w:val="00B9363E"/>
    <w:rsid w:val="00B93AB5"/>
    <w:rsid w:val="00B93AD3"/>
    <w:rsid w:val="00B943F3"/>
    <w:rsid w:val="00B95083"/>
    <w:rsid w:val="00B953DC"/>
    <w:rsid w:val="00B953F2"/>
    <w:rsid w:val="00B96114"/>
    <w:rsid w:val="00B962A2"/>
    <w:rsid w:val="00B96538"/>
    <w:rsid w:val="00B96F3F"/>
    <w:rsid w:val="00B9743B"/>
    <w:rsid w:val="00B976E0"/>
    <w:rsid w:val="00B97C5D"/>
    <w:rsid w:val="00BA098F"/>
    <w:rsid w:val="00BA0D49"/>
    <w:rsid w:val="00BA0DED"/>
    <w:rsid w:val="00BA105B"/>
    <w:rsid w:val="00BA1290"/>
    <w:rsid w:val="00BA215D"/>
    <w:rsid w:val="00BA2584"/>
    <w:rsid w:val="00BA2599"/>
    <w:rsid w:val="00BA259C"/>
    <w:rsid w:val="00BA27BD"/>
    <w:rsid w:val="00BA2DDB"/>
    <w:rsid w:val="00BA3101"/>
    <w:rsid w:val="00BA3297"/>
    <w:rsid w:val="00BA3C02"/>
    <w:rsid w:val="00BA4132"/>
    <w:rsid w:val="00BA4238"/>
    <w:rsid w:val="00BA4F23"/>
    <w:rsid w:val="00BA5391"/>
    <w:rsid w:val="00BA6256"/>
    <w:rsid w:val="00BA69FF"/>
    <w:rsid w:val="00BA7883"/>
    <w:rsid w:val="00BA7F1E"/>
    <w:rsid w:val="00BB0ACA"/>
    <w:rsid w:val="00BB1717"/>
    <w:rsid w:val="00BB1861"/>
    <w:rsid w:val="00BB18D2"/>
    <w:rsid w:val="00BB19F8"/>
    <w:rsid w:val="00BB24ED"/>
    <w:rsid w:val="00BB25E4"/>
    <w:rsid w:val="00BB2792"/>
    <w:rsid w:val="00BB382C"/>
    <w:rsid w:val="00BB39A5"/>
    <w:rsid w:val="00BB3AA7"/>
    <w:rsid w:val="00BB3F68"/>
    <w:rsid w:val="00BB4BC4"/>
    <w:rsid w:val="00BB51A8"/>
    <w:rsid w:val="00BB5625"/>
    <w:rsid w:val="00BB6509"/>
    <w:rsid w:val="00BB690E"/>
    <w:rsid w:val="00BB74AD"/>
    <w:rsid w:val="00BB76BF"/>
    <w:rsid w:val="00BC0634"/>
    <w:rsid w:val="00BC07EA"/>
    <w:rsid w:val="00BC0F25"/>
    <w:rsid w:val="00BC15F9"/>
    <w:rsid w:val="00BC1AD1"/>
    <w:rsid w:val="00BC4167"/>
    <w:rsid w:val="00BC4A58"/>
    <w:rsid w:val="00BC4FE6"/>
    <w:rsid w:val="00BC522C"/>
    <w:rsid w:val="00BC5878"/>
    <w:rsid w:val="00BC5AB9"/>
    <w:rsid w:val="00BC5E95"/>
    <w:rsid w:val="00BC613B"/>
    <w:rsid w:val="00BC6C7B"/>
    <w:rsid w:val="00BC7EA6"/>
    <w:rsid w:val="00BC7F90"/>
    <w:rsid w:val="00BD0343"/>
    <w:rsid w:val="00BD04DA"/>
    <w:rsid w:val="00BD1347"/>
    <w:rsid w:val="00BD1C38"/>
    <w:rsid w:val="00BD1E68"/>
    <w:rsid w:val="00BD23D3"/>
    <w:rsid w:val="00BD2A5D"/>
    <w:rsid w:val="00BD3048"/>
    <w:rsid w:val="00BD3400"/>
    <w:rsid w:val="00BD349B"/>
    <w:rsid w:val="00BD372E"/>
    <w:rsid w:val="00BD51D9"/>
    <w:rsid w:val="00BD5703"/>
    <w:rsid w:val="00BD5BA8"/>
    <w:rsid w:val="00BD5C76"/>
    <w:rsid w:val="00BD6169"/>
    <w:rsid w:val="00BD64E2"/>
    <w:rsid w:val="00BD7216"/>
    <w:rsid w:val="00BD728B"/>
    <w:rsid w:val="00BD78E9"/>
    <w:rsid w:val="00BD7980"/>
    <w:rsid w:val="00BE000C"/>
    <w:rsid w:val="00BE1071"/>
    <w:rsid w:val="00BE1818"/>
    <w:rsid w:val="00BE1A0D"/>
    <w:rsid w:val="00BE2661"/>
    <w:rsid w:val="00BE2BF9"/>
    <w:rsid w:val="00BE3320"/>
    <w:rsid w:val="00BE3797"/>
    <w:rsid w:val="00BE3E95"/>
    <w:rsid w:val="00BE462E"/>
    <w:rsid w:val="00BE4995"/>
    <w:rsid w:val="00BE5107"/>
    <w:rsid w:val="00BE55CA"/>
    <w:rsid w:val="00BE624F"/>
    <w:rsid w:val="00BE707C"/>
    <w:rsid w:val="00BE73E7"/>
    <w:rsid w:val="00BE7764"/>
    <w:rsid w:val="00BF26EF"/>
    <w:rsid w:val="00BF2A9D"/>
    <w:rsid w:val="00BF2E62"/>
    <w:rsid w:val="00BF32DB"/>
    <w:rsid w:val="00BF3573"/>
    <w:rsid w:val="00BF429A"/>
    <w:rsid w:val="00BF4B69"/>
    <w:rsid w:val="00BF4F64"/>
    <w:rsid w:val="00BF5895"/>
    <w:rsid w:val="00BF62BE"/>
    <w:rsid w:val="00BF6562"/>
    <w:rsid w:val="00BF6E19"/>
    <w:rsid w:val="00BF71DB"/>
    <w:rsid w:val="00C0023B"/>
    <w:rsid w:val="00C01D79"/>
    <w:rsid w:val="00C01F42"/>
    <w:rsid w:val="00C02067"/>
    <w:rsid w:val="00C036ED"/>
    <w:rsid w:val="00C051FD"/>
    <w:rsid w:val="00C05A51"/>
    <w:rsid w:val="00C06DBB"/>
    <w:rsid w:val="00C06E5D"/>
    <w:rsid w:val="00C06F1C"/>
    <w:rsid w:val="00C07126"/>
    <w:rsid w:val="00C073A6"/>
    <w:rsid w:val="00C11461"/>
    <w:rsid w:val="00C114D5"/>
    <w:rsid w:val="00C115E2"/>
    <w:rsid w:val="00C125B2"/>
    <w:rsid w:val="00C1310C"/>
    <w:rsid w:val="00C155BD"/>
    <w:rsid w:val="00C15D78"/>
    <w:rsid w:val="00C166A9"/>
    <w:rsid w:val="00C16853"/>
    <w:rsid w:val="00C16BA6"/>
    <w:rsid w:val="00C17753"/>
    <w:rsid w:val="00C2013A"/>
    <w:rsid w:val="00C2042C"/>
    <w:rsid w:val="00C204F8"/>
    <w:rsid w:val="00C213D6"/>
    <w:rsid w:val="00C21827"/>
    <w:rsid w:val="00C21F19"/>
    <w:rsid w:val="00C2213F"/>
    <w:rsid w:val="00C231A0"/>
    <w:rsid w:val="00C232B7"/>
    <w:rsid w:val="00C234FF"/>
    <w:rsid w:val="00C23554"/>
    <w:rsid w:val="00C24C70"/>
    <w:rsid w:val="00C24E3B"/>
    <w:rsid w:val="00C2632F"/>
    <w:rsid w:val="00C263F0"/>
    <w:rsid w:val="00C275A8"/>
    <w:rsid w:val="00C30C43"/>
    <w:rsid w:val="00C30CC3"/>
    <w:rsid w:val="00C32CD5"/>
    <w:rsid w:val="00C33822"/>
    <w:rsid w:val="00C33D41"/>
    <w:rsid w:val="00C34A8A"/>
    <w:rsid w:val="00C35B43"/>
    <w:rsid w:val="00C36297"/>
    <w:rsid w:val="00C374B8"/>
    <w:rsid w:val="00C37BCC"/>
    <w:rsid w:val="00C40106"/>
    <w:rsid w:val="00C4081F"/>
    <w:rsid w:val="00C40AFD"/>
    <w:rsid w:val="00C41BB5"/>
    <w:rsid w:val="00C41E20"/>
    <w:rsid w:val="00C42573"/>
    <w:rsid w:val="00C42E3E"/>
    <w:rsid w:val="00C441D8"/>
    <w:rsid w:val="00C45333"/>
    <w:rsid w:val="00C45F67"/>
    <w:rsid w:val="00C46023"/>
    <w:rsid w:val="00C46142"/>
    <w:rsid w:val="00C4680C"/>
    <w:rsid w:val="00C47AD6"/>
    <w:rsid w:val="00C511D2"/>
    <w:rsid w:val="00C5166F"/>
    <w:rsid w:val="00C51C13"/>
    <w:rsid w:val="00C51D70"/>
    <w:rsid w:val="00C51ECB"/>
    <w:rsid w:val="00C52295"/>
    <w:rsid w:val="00C525A5"/>
    <w:rsid w:val="00C5300F"/>
    <w:rsid w:val="00C53069"/>
    <w:rsid w:val="00C531FA"/>
    <w:rsid w:val="00C53710"/>
    <w:rsid w:val="00C53718"/>
    <w:rsid w:val="00C54951"/>
    <w:rsid w:val="00C54FAC"/>
    <w:rsid w:val="00C55AC9"/>
    <w:rsid w:val="00C563A1"/>
    <w:rsid w:val="00C566DC"/>
    <w:rsid w:val="00C5678C"/>
    <w:rsid w:val="00C5678E"/>
    <w:rsid w:val="00C56D1A"/>
    <w:rsid w:val="00C578DF"/>
    <w:rsid w:val="00C57A3C"/>
    <w:rsid w:val="00C57BF3"/>
    <w:rsid w:val="00C6035D"/>
    <w:rsid w:val="00C60E12"/>
    <w:rsid w:val="00C61292"/>
    <w:rsid w:val="00C615CC"/>
    <w:rsid w:val="00C61739"/>
    <w:rsid w:val="00C61CCB"/>
    <w:rsid w:val="00C620B7"/>
    <w:rsid w:val="00C649EA"/>
    <w:rsid w:val="00C65824"/>
    <w:rsid w:val="00C65EFD"/>
    <w:rsid w:val="00C66CE0"/>
    <w:rsid w:val="00C6704B"/>
    <w:rsid w:val="00C67B44"/>
    <w:rsid w:val="00C70486"/>
    <w:rsid w:val="00C70978"/>
    <w:rsid w:val="00C70A68"/>
    <w:rsid w:val="00C717C5"/>
    <w:rsid w:val="00C71BED"/>
    <w:rsid w:val="00C71C61"/>
    <w:rsid w:val="00C72AA9"/>
    <w:rsid w:val="00C72B1E"/>
    <w:rsid w:val="00C73020"/>
    <w:rsid w:val="00C738C2"/>
    <w:rsid w:val="00C747C0"/>
    <w:rsid w:val="00C74CF7"/>
    <w:rsid w:val="00C756D3"/>
    <w:rsid w:val="00C75DCC"/>
    <w:rsid w:val="00C76B75"/>
    <w:rsid w:val="00C7759C"/>
    <w:rsid w:val="00C776F4"/>
    <w:rsid w:val="00C77D00"/>
    <w:rsid w:val="00C810A2"/>
    <w:rsid w:val="00C8115A"/>
    <w:rsid w:val="00C81A63"/>
    <w:rsid w:val="00C81B53"/>
    <w:rsid w:val="00C82AD2"/>
    <w:rsid w:val="00C82CD2"/>
    <w:rsid w:val="00C8322E"/>
    <w:rsid w:val="00C834E4"/>
    <w:rsid w:val="00C83734"/>
    <w:rsid w:val="00C8447A"/>
    <w:rsid w:val="00C8594A"/>
    <w:rsid w:val="00C85EEF"/>
    <w:rsid w:val="00C86772"/>
    <w:rsid w:val="00C86CDB"/>
    <w:rsid w:val="00C90005"/>
    <w:rsid w:val="00C90AF8"/>
    <w:rsid w:val="00C90EA9"/>
    <w:rsid w:val="00C90FB6"/>
    <w:rsid w:val="00C9149C"/>
    <w:rsid w:val="00C9220E"/>
    <w:rsid w:val="00C92628"/>
    <w:rsid w:val="00C932BD"/>
    <w:rsid w:val="00C93429"/>
    <w:rsid w:val="00C95968"/>
    <w:rsid w:val="00C9624A"/>
    <w:rsid w:val="00C968FB"/>
    <w:rsid w:val="00C9762E"/>
    <w:rsid w:val="00CA09D7"/>
    <w:rsid w:val="00CA0A1F"/>
    <w:rsid w:val="00CA0EF8"/>
    <w:rsid w:val="00CA1544"/>
    <w:rsid w:val="00CA16C5"/>
    <w:rsid w:val="00CA28CA"/>
    <w:rsid w:val="00CA2FD0"/>
    <w:rsid w:val="00CA415A"/>
    <w:rsid w:val="00CA4718"/>
    <w:rsid w:val="00CA56AF"/>
    <w:rsid w:val="00CA5D3D"/>
    <w:rsid w:val="00CA5F85"/>
    <w:rsid w:val="00CA5FF2"/>
    <w:rsid w:val="00CA60B2"/>
    <w:rsid w:val="00CA7830"/>
    <w:rsid w:val="00CA793B"/>
    <w:rsid w:val="00CA79C3"/>
    <w:rsid w:val="00CA7A35"/>
    <w:rsid w:val="00CB0722"/>
    <w:rsid w:val="00CB0BF4"/>
    <w:rsid w:val="00CB1536"/>
    <w:rsid w:val="00CB18D3"/>
    <w:rsid w:val="00CB1F5F"/>
    <w:rsid w:val="00CB2825"/>
    <w:rsid w:val="00CB2C50"/>
    <w:rsid w:val="00CB37D8"/>
    <w:rsid w:val="00CB5237"/>
    <w:rsid w:val="00CB5C02"/>
    <w:rsid w:val="00CB5D36"/>
    <w:rsid w:val="00CB5F3C"/>
    <w:rsid w:val="00CB5FA1"/>
    <w:rsid w:val="00CB62D9"/>
    <w:rsid w:val="00CB71C7"/>
    <w:rsid w:val="00CB72ED"/>
    <w:rsid w:val="00CB7582"/>
    <w:rsid w:val="00CB7A53"/>
    <w:rsid w:val="00CB7B9F"/>
    <w:rsid w:val="00CB7FB8"/>
    <w:rsid w:val="00CB7FE8"/>
    <w:rsid w:val="00CC045F"/>
    <w:rsid w:val="00CC07AA"/>
    <w:rsid w:val="00CC0D27"/>
    <w:rsid w:val="00CC0F50"/>
    <w:rsid w:val="00CC11E1"/>
    <w:rsid w:val="00CC16E7"/>
    <w:rsid w:val="00CC19DD"/>
    <w:rsid w:val="00CC19FB"/>
    <w:rsid w:val="00CC1F71"/>
    <w:rsid w:val="00CC255A"/>
    <w:rsid w:val="00CC27C4"/>
    <w:rsid w:val="00CC2DC7"/>
    <w:rsid w:val="00CC3146"/>
    <w:rsid w:val="00CC490C"/>
    <w:rsid w:val="00CC4F55"/>
    <w:rsid w:val="00CC5EB3"/>
    <w:rsid w:val="00CC5ED1"/>
    <w:rsid w:val="00CC6780"/>
    <w:rsid w:val="00CC6ADF"/>
    <w:rsid w:val="00CC7681"/>
    <w:rsid w:val="00CD09B8"/>
    <w:rsid w:val="00CD0E7B"/>
    <w:rsid w:val="00CD14ED"/>
    <w:rsid w:val="00CD1734"/>
    <w:rsid w:val="00CD198D"/>
    <w:rsid w:val="00CD1A46"/>
    <w:rsid w:val="00CD1D7A"/>
    <w:rsid w:val="00CD225B"/>
    <w:rsid w:val="00CD242F"/>
    <w:rsid w:val="00CD267B"/>
    <w:rsid w:val="00CD284A"/>
    <w:rsid w:val="00CD2A22"/>
    <w:rsid w:val="00CD2ABD"/>
    <w:rsid w:val="00CD2D4D"/>
    <w:rsid w:val="00CD3533"/>
    <w:rsid w:val="00CD3E82"/>
    <w:rsid w:val="00CD4024"/>
    <w:rsid w:val="00CD4617"/>
    <w:rsid w:val="00CD4855"/>
    <w:rsid w:val="00CD49E3"/>
    <w:rsid w:val="00CD4C3C"/>
    <w:rsid w:val="00CD702D"/>
    <w:rsid w:val="00CD7150"/>
    <w:rsid w:val="00CE0A4A"/>
    <w:rsid w:val="00CE16FD"/>
    <w:rsid w:val="00CE1908"/>
    <w:rsid w:val="00CE4184"/>
    <w:rsid w:val="00CE4C23"/>
    <w:rsid w:val="00CE4DC3"/>
    <w:rsid w:val="00CE54B7"/>
    <w:rsid w:val="00CE55DB"/>
    <w:rsid w:val="00CE6C32"/>
    <w:rsid w:val="00CE6D43"/>
    <w:rsid w:val="00CE7541"/>
    <w:rsid w:val="00CE7644"/>
    <w:rsid w:val="00CE7743"/>
    <w:rsid w:val="00CE7888"/>
    <w:rsid w:val="00CE7A5F"/>
    <w:rsid w:val="00CE7DCE"/>
    <w:rsid w:val="00CF0DD1"/>
    <w:rsid w:val="00CF13A7"/>
    <w:rsid w:val="00CF1775"/>
    <w:rsid w:val="00CF197D"/>
    <w:rsid w:val="00CF285F"/>
    <w:rsid w:val="00CF2FE4"/>
    <w:rsid w:val="00CF3BA9"/>
    <w:rsid w:val="00CF4ADF"/>
    <w:rsid w:val="00CF59BE"/>
    <w:rsid w:val="00CF5A78"/>
    <w:rsid w:val="00CF6688"/>
    <w:rsid w:val="00CF6F2E"/>
    <w:rsid w:val="00CF7A60"/>
    <w:rsid w:val="00CF7F66"/>
    <w:rsid w:val="00D00273"/>
    <w:rsid w:val="00D00ECC"/>
    <w:rsid w:val="00D02CB0"/>
    <w:rsid w:val="00D03F6E"/>
    <w:rsid w:val="00D04AB6"/>
    <w:rsid w:val="00D04D4F"/>
    <w:rsid w:val="00D0650B"/>
    <w:rsid w:val="00D065FB"/>
    <w:rsid w:val="00D06AA3"/>
    <w:rsid w:val="00D06B82"/>
    <w:rsid w:val="00D10E1C"/>
    <w:rsid w:val="00D11ADB"/>
    <w:rsid w:val="00D120BB"/>
    <w:rsid w:val="00D13CE2"/>
    <w:rsid w:val="00D13D0E"/>
    <w:rsid w:val="00D14774"/>
    <w:rsid w:val="00D158B2"/>
    <w:rsid w:val="00D161A3"/>
    <w:rsid w:val="00D173E4"/>
    <w:rsid w:val="00D17D83"/>
    <w:rsid w:val="00D2027F"/>
    <w:rsid w:val="00D216BC"/>
    <w:rsid w:val="00D21BBE"/>
    <w:rsid w:val="00D223A2"/>
    <w:rsid w:val="00D2275F"/>
    <w:rsid w:val="00D22E49"/>
    <w:rsid w:val="00D23716"/>
    <w:rsid w:val="00D24042"/>
    <w:rsid w:val="00D25C3E"/>
    <w:rsid w:val="00D25ED8"/>
    <w:rsid w:val="00D26EC6"/>
    <w:rsid w:val="00D27F8F"/>
    <w:rsid w:val="00D30895"/>
    <w:rsid w:val="00D3160C"/>
    <w:rsid w:val="00D316B8"/>
    <w:rsid w:val="00D31CFC"/>
    <w:rsid w:val="00D321CE"/>
    <w:rsid w:val="00D3255D"/>
    <w:rsid w:val="00D32C09"/>
    <w:rsid w:val="00D331A2"/>
    <w:rsid w:val="00D33DA2"/>
    <w:rsid w:val="00D340C3"/>
    <w:rsid w:val="00D34330"/>
    <w:rsid w:val="00D3459F"/>
    <w:rsid w:val="00D34BF0"/>
    <w:rsid w:val="00D34EEC"/>
    <w:rsid w:val="00D351EB"/>
    <w:rsid w:val="00D3536F"/>
    <w:rsid w:val="00D356F2"/>
    <w:rsid w:val="00D357A2"/>
    <w:rsid w:val="00D35A7A"/>
    <w:rsid w:val="00D36952"/>
    <w:rsid w:val="00D36A82"/>
    <w:rsid w:val="00D36BAF"/>
    <w:rsid w:val="00D36D9A"/>
    <w:rsid w:val="00D409CD"/>
    <w:rsid w:val="00D4195A"/>
    <w:rsid w:val="00D423D4"/>
    <w:rsid w:val="00D42A4D"/>
    <w:rsid w:val="00D42CAF"/>
    <w:rsid w:val="00D4405F"/>
    <w:rsid w:val="00D44721"/>
    <w:rsid w:val="00D44857"/>
    <w:rsid w:val="00D4546D"/>
    <w:rsid w:val="00D455DE"/>
    <w:rsid w:val="00D4657C"/>
    <w:rsid w:val="00D46A1D"/>
    <w:rsid w:val="00D4763B"/>
    <w:rsid w:val="00D47CE9"/>
    <w:rsid w:val="00D506C4"/>
    <w:rsid w:val="00D51515"/>
    <w:rsid w:val="00D51A15"/>
    <w:rsid w:val="00D52116"/>
    <w:rsid w:val="00D5234C"/>
    <w:rsid w:val="00D53136"/>
    <w:rsid w:val="00D54A1F"/>
    <w:rsid w:val="00D54BB2"/>
    <w:rsid w:val="00D54CD3"/>
    <w:rsid w:val="00D54E13"/>
    <w:rsid w:val="00D55EA1"/>
    <w:rsid w:val="00D568A2"/>
    <w:rsid w:val="00D57311"/>
    <w:rsid w:val="00D578CA"/>
    <w:rsid w:val="00D601EF"/>
    <w:rsid w:val="00D604F8"/>
    <w:rsid w:val="00D60729"/>
    <w:rsid w:val="00D6087A"/>
    <w:rsid w:val="00D60D74"/>
    <w:rsid w:val="00D613CF"/>
    <w:rsid w:val="00D61533"/>
    <w:rsid w:val="00D61DD4"/>
    <w:rsid w:val="00D62136"/>
    <w:rsid w:val="00D6277E"/>
    <w:rsid w:val="00D63B2F"/>
    <w:rsid w:val="00D64945"/>
    <w:rsid w:val="00D64DE2"/>
    <w:rsid w:val="00D65C47"/>
    <w:rsid w:val="00D66249"/>
    <w:rsid w:val="00D66912"/>
    <w:rsid w:val="00D66A84"/>
    <w:rsid w:val="00D66B0F"/>
    <w:rsid w:val="00D66BA7"/>
    <w:rsid w:val="00D67278"/>
    <w:rsid w:val="00D67636"/>
    <w:rsid w:val="00D700FF"/>
    <w:rsid w:val="00D7013B"/>
    <w:rsid w:val="00D70176"/>
    <w:rsid w:val="00D7045F"/>
    <w:rsid w:val="00D70747"/>
    <w:rsid w:val="00D70A4F"/>
    <w:rsid w:val="00D70BF4"/>
    <w:rsid w:val="00D7118A"/>
    <w:rsid w:val="00D71E1A"/>
    <w:rsid w:val="00D71E20"/>
    <w:rsid w:val="00D7261D"/>
    <w:rsid w:val="00D72D12"/>
    <w:rsid w:val="00D72EB1"/>
    <w:rsid w:val="00D73101"/>
    <w:rsid w:val="00D73913"/>
    <w:rsid w:val="00D747FD"/>
    <w:rsid w:val="00D74815"/>
    <w:rsid w:val="00D74CF8"/>
    <w:rsid w:val="00D755F2"/>
    <w:rsid w:val="00D755FC"/>
    <w:rsid w:val="00D76A92"/>
    <w:rsid w:val="00D76B6D"/>
    <w:rsid w:val="00D7716B"/>
    <w:rsid w:val="00D77863"/>
    <w:rsid w:val="00D80DBB"/>
    <w:rsid w:val="00D80E77"/>
    <w:rsid w:val="00D82B44"/>
    <w:rsid w:val="00D831EC"/>
    <w:rsid w:val="00D84191"/>
    <w:rsid w:val="00D84756"/>
    <w:rsid w:val="00D84D07"/>
    <w:rsid w:val="00D8526A"/>
    <w:rsid w:val="00D85797"/>
    <w:rsid w:val="00D858FC"/>
    <w:rsid w:val="00D86676"/>
    <w:rsid w:val="00D8750C"/>
    <w:rsid w:val="00D875BC"/>
    <w:rsid w:val="00D87BC1"/>
    <w:rsid w:val="00D907C6"/>
    <w:rsid w:val="00D90E17"/>
    <w:rsid w:val="00D90E91"/>
    <w:rsid w:val="00D91318"/>
    <w:rsid w:val="00D91DDC"/>
    <w:rsid w:val="00D91E1B"/>
    <w:rsid w:val="00D92AE2"/>
    <w:rsid w:val="00D92E72"/>
    <w:rsid w:val="00D934A2"/>
    <w:rsid w:val="00D939A9"/>
    <w:rsid w:val="00D93B3D"/>
    <w:rsid w:val="00D93CA9"/>
    <w:rsid w:val="00D94265"/>
    <w:rsid w:val="00D94634"/>
    <w:rsid w:val="00D9521D"/>
    <w:rsid w:val="00D95C9F"/>
    <w:rsid w:val="00D9654E"/>
    <w:rsid w:val="00D975FF"/>
    <w:rsid w:val="00DA008E"/>
    <w:rsid w:val="00DA378C"/>
    <w:rsid w:val="00DA3A4B"/>
    <w:rsid w:val="00DA41C9"/>
    <w:rsid w:val="00DA4208"/>
    <w:rsid w:val="00DA4806"/>
    <w:rsid w:val="00DA4C38"/>
    <w:rsid w:val="00DA5085"/>
    <w:rsid w:val="00DA54BF"/>
    <w:rsid w:val="00DA5A93"/>
    <w:rsid w:val="00DA62C6"/>
    <w:rsid w:val="00DA69C0"/>
    <w:rsid w:val="00DA6A89"/>
    <w:rsid w:val="00DA6B21"/>
    <w:rsid w:val="00DA6BA7"/>
    <w:rsid w:val="00DA717D"/>
    <w:rsid w:val="00DA789E"/>
    <w:rsid w:val="00DA79D6"/>
    <w:rsid w:val="00DA7D7A"/>
    <w:rsid w:val="00DB0011"/>
    <w:rsid w:val="00DB01E5"/>
    <w:rsid w:val="00DB09AE"/>
    <w:rsid w:val="00DB09BB"/>
    <w:rsid w:val="00DB1055"/>
    <w:rsid w:val="00DB1107"/>
    <w:rsid w:val="00DB1543"/>
    <w:rsid w:val="00DB28BC"/>
    <w:rsid w:val="00DB365F"/>
    <w:rsid w:val="00DB39EB"/>
    <w:rsid w:val="00DB39F4"/>
    <w:rsid w:val="00DB3C80"/>
    <w:rsid w:val="00DB42F3"/>
    <w:rsid w:val="00DB4BE9"/>
    <w:rsid w:val="00DB4D14"/>
    <w:rsid w:val="00DB53C1"/>
    <w:rsid w:val="00DB5BB4"/>
    <w:rsid w:val="00DB7190"/>
    <w:rsid w:val="00DB7AF7"/>
    <w:rsid w:val="00DB7D87"/>
    <w:rsid w:val="00DC085E"/>
    <w:rsid w:val="00DC0B44"/>
    <w:rsid w:val="00DC1347"/>
    <w:rsid w:val="00DC137A"/>
    <w:rsid w:val="00DC19F4"/>
    <w:rsid w:val="00DC1A0A"/>
    <w:rsid w:val="00DC205E"/>
    <w:rsid w:val="00DC2465"/>
    <w:rsid w:val="00DC25C3"/>
    <w:rsid w:val="00DC39F1"/>
    <w:rsid w:val="00DC42E4"/>
    <w:rsid w:val="00DC47AB"/>
    <w:rsid w:val="00DC4C7E"/>
    <w:rsid w:val="00DC528F"/>
    <w:rsid w:val="00DC5E37"/>
    <w:rsid w:val="00DC68FA"/>
    <w:rsid w:val="00DC7001"/>
    <w:rsid w:val="00DC7158"/>
    <w:rsid w:val="00DC73A3"/>
    <w:rsid w:val="00DC7E8E"/>
    <w:rsid w:val="00DD0162"/>
    <w:rsid w:val="00DD0560"/>
    <w:rsid w:val="00DD0DC2"/>
    <w:rsid w:val="00DD31A7"/>
    <w:rsid w:val="00DD32E1"/>
    <w:rsid w:val="00DD38F4"/>
    <w:rsid w:val="00DD3D06"/>
    <w:rsid w:val="00DD485B"/>
    <w:rsid w:val="00DD5D1D"/>
    <w:rsid w:val="00DD5F47"/>
    <w:rsid w:val="00DD6415"/>
    <w:rsid w:val="00DD6C4F"/>
    <w:rsid w:val="00DD74A6"/>
    <w:rsid w:val="00DD786D"/>
    <w:rsid w:val="00DE002A"/>
    <w:rsid w:val="00DE06FA"/>
    <w:rsid w:val="00DE20F2"/>
    <w:rsid w:val="00DE3766"/>
    <w:rsid w:val="00DE44C0"/>
    <w:rsid w:val="00DE47F0"/>
    <w:rsid w:val="00DE4B35"/>
    <w:rsid w:val="00DE4D9A"/>
    <w:rsid w:val="00DE4F9E"/>
    <w:rsid w:val="00DE5576"/>
    <w:rsid w:val="00DE56A1"/>
    <w:rsid w:val="00DE5CE6"/>
    <w:rsid w:val="00DE6C84"/>
    <w:rsid w:val="00DE6DAE"/>
    <w:rsid w:val="00DF0CBB"/>
    <w:rsid w:val="00DF1184"/>
    <w:rsid w:val="00DF1327"/>
    <w:rsid w:val="00DF18CC"/>
    <w:rsid w:val="00DF19C1"/>
    <w:rsid w:val="00DF1C2D"/>
    <w:rsid w:val="00DF2BDB"/>
    <w:rsid w:val="00DF31E7"/>
    <w:rsid w:val="00DF38F8"/>
    <w:rsid w:val="00DF3C65"/>
    <w:rsid w:val="00DF4685"/>
    <w:rsid w:val="00DF47CE"/>
    <w:rsid w:val="00DF4C1E"/>
    <w:rsid w:val="00DF5362"/>
    <w:rsid w:val="00DF54CA"/>
    <w:rsid w:val="00DF559E"/>
    <w:rsid w:val="00DF597D"/>
    <w:rsid w:val="00DF5B64"/>
    <w:rsid w:val="00DF649A"/>
    <w:rsid w:val="00DF6A6D"/>
    <w:rsid w:val="00DF6C4E"/>
    <w:rsid w:val="00DF7683"/>
    <w:rsid w:val="00DF77E8"/>
    <w:rsid w:val="00DF7F64"/>
    <w:rsid w:val="00E00AE5"/>
    <w:rsid w:val="00E021A4"/>
    <w:rsid w:val="00E0247F"/>
    <w:rsid w:val="00E024A2"/>
    <w:rsid w:val="00E0267D"/>
    <w:rsid w:val="00E02794"/>
    <w:rsid w:val="00E03410"/>
    <w:rsid w:val="00E03A2F"/>
    <w:rsid w:val="00E03AD7"/>
    <w:rsid w:val="00E03CED"/>
    <w:rsid w:val="00E03D93"/>
    <w:rsid w:val="00E042E2"/>
    <w:rsid w:val="00E043E3"/>
    <w:rsid w:val="00E046F0"/>
    <w:rsid w:val="00E0491C"/>
    <w:rsid w:val="00E0505B"/>
    <w:rsid w:val="00E06170"/>
    <w:rsid w:val="00E06EEA"/>
    <w:rsid w:val="00E10750"/>
    <w:rsid w:val="00E11280"/>
    <w:rsid w:val="00E11DEC"/>
    <w:rsid w:val="00E12359"/>
    <w:rsid w:val="00E12A2C"/>
    <w:rsid w:val="00E131E9"/>
    <w:rsid w:val="00E134C6"/>
    <w:rsid w:val="00E1408D"/>
    <w:rsid w:val="00E1423E"/>
    <w:rsid w:val="00E145E6"/>
    <w:rsid w:val="00E14682"/>
    <w:rsid w:val="00E15009"/>
    <w:rsid w:val="00E152FF"/>
    <w:rsid w:val="00E15AD8"/>
    <w:rsid w:val="00E17732"/>
    <w:rsid w:val="00E1791C"/>
    <w:rsid w:val="00E17AFE"/>
    <w:rsid w:val="00E20257"/>
    <w:rsid w:val="00E2081E"/>
    <w:rsid w:val="00E2088D"/>
    <w:rsid w:val="00E20E04"/>
    <w:rsid w:val="00E21351"/>
    <w:rsid w:val="00E2141C"/>
    <w:rsid w:val="00E22314"/>
    <w:rsid w:val="00E22BCD"/>
    <w:rsid w:val="00E23C60"/>
    <w:rsid w:val="00E240B0"/>
    <w:rsid w:val="00E24572"/>
    <w:rsid w:val="00E2461B"/>
    <w:rsid w:val="00E24886"/>
    <w:rsid w:val="00E248EB"/>
    <w:rsid w:val="00E2514E"/>
    <w:rsid w:val="00E263B4"/>
    <w:rsid w:val="00E271DE"/>
    <w:rsid w:val="00E276FB"/>
    <w:rsid w:val="00E305FD"/>
    <w:rsid w:val="00E320AF"/>
    <w:rsid w:val="00E32279"/>
    <w:rsid w:val="00E32595"/>
    <w:rsid w:val="00E32A88"/>
    <w:rsid w:val="00E33160"/>
    <w:rsid w:val="00E333AE"/>
    <w:rsid w:val="00E33853"/>
    <w:rsid w:val="00E33A74"/>
    <w:rsid w:val="00E33D8D"/>
    <w:rsid w:val="00E33E4F"/>
    <w:rsid w:val="00E33F30"/>
    <w:rsid w:val="00E35530"/>
    <w:rsid w:val="00E35C68"/>
    <w:rsid w:val="00E4030B"/>
    <w:rsid w:val="00E419FA"/>
    <w:rsid w:val="00E41D56"/>
    <w:rsid w:val="00E43776"/>
    <w:rsid w:val="00E44133"/>
    <w:rsid w:val="00E45131"/>
    <w:rsid w:val="00E457DF"/>
    <w:rsid w:val="00E46086"/>
    <w:rsid w:val="00E4653D"/>
    <w:rsid w:val="00E46642"/>
    <w:rsid w:val="00E475F4"/>
    <w:rsid w:val="00E47A87"/>
    <w:rsid w:val="00E5029D"/>
    <w:rsid w:val="00E50FA1"/>
    <w:rsid w:val="00E5139A"/>
    <w:rsid w:val="00E51AD4"/>
    <w:rsid w:val="00E51C18"/>
    <w:rsid w:val="00E5413D"/>
    <w:rsid w:val="00E55F6D"/>
    <w:rsid w:val="00E564B0"/>
    <w:rsid w:val="00E56911"/>
    <w:rsid w:val="00E575D3"/>
    <w:rsid w:val="00E57977"/>
    <w:rsid w:val="00E57AAD"/>
    <w:rsid w:val="00E60757"/>
    <w:rsid w:val="00E60C84"/>
    <w:rsid w:val="00E61E79"/>
    <w:rsid w:val="00E62278"/>
    <w:rsid w:val="00E624B8"/>
    <w:rsid w:val="00E635D7"/>
    <w:rsid w:val="00E66202"/>
    <w:rsid w:val="00E67592"/>
    <w:rsid w:val="00E676F1"/>
    <w:rsid w:val="00E67B8E"/>
    <w:rsid w:val="00E70576"/>
    <w:rsid w:val="00E71818"/>
    <w:rsid w:val="00E72212"/>
    <w:rsid w:val="00E72433"/>
    <w:rsid w:val="00E7251E"/>
    <w:rsid w:val="00E72527"/>
    <w:rsid w:val="00E7284C"/>
    <w:rsid w:val="00E72946"/>
    <w:rsid w:val="00E72AA7"/>
    <w:rsid w:val="00E72C71"/>
    <w:rsid w:val="00E730B7"/>
    <w:rsid w:val="00E73629"/>
    <w:rsid w:val="00E7397B"/>
    <w:rsid w:val="00E73D63"/>
    <w:rsid w:val="00E74596"/>
    <w:rsid w:val="00E7484D"/>
    <w:rsid w:val="00E74C92"/>
    <w:rsid w:val="00E74DCC"/>
    <w:rsid w:val="00E7579B"/>
    <w:rsid w:val="00E76175"/>
    <w:rsid w:val="00E76570"/>
    <w:rsid w:val="00E7727B"/>
    <w:rsid w:val="00E77886"/>
    <w:rsid w:val="00E77960"/>
    <w:rsid w:val="00E779E2"/>
    <w:rsid w:val="00E8035B"/>
    <w:rsid w:val="00E80425"/>
    <w:rsid w:val="00E80F40"/>
    <w:rsid w:val="00E8194C"/>
    <w:rsid w:val="00E81FB1"/>
    <w:rsid w:val="00E8271B"/>
    <w:rsid w:val="00E829BC"/>
    <w:rsid w:val="00E83041"/>
    <w:rsid w:val="00E83954"/>
    <w:rsid w:val="00E83BBB"/>
    <w:rsid w:val="00E84040"/>
    <w:rsid w:val="00E84751"/>
    <w:rsid w:val="00E86F35"/>
    <w:rsid w:val="00E8786E"/>
    <w:rsid w:val="00E87AC2"/>
    <w:rsid w:val="00E87BC7"/>
    <w:rsid w:val="00E87FDF"/>
    <w:rsid w:val="00E9096B"/>
    <w:rsid w:val="00E91043"/>
    <w:rsid w:val="00E911B5"/>
    <w:rsid w:val="00E914EF"/>
    <w:rsid w:val="00E91730"/>
    <w:rsid w:val="00E91DB4"/>
    <w:rsid w:val="00E936FF"/>
    <w:rsid w:val="00E93A2A"/>
    <w:rsid w:val="00E94468"/>
    <w:rsid w:val="00E946E2"/>
    <w:rsid w:val="00E95940"/>
    <w:rsid w:val="00E95AC9"/>
    <w:rsid w:val="00E95F6E"/>
    <w:rsid w:val="00E96203"/>
    <w:rsid w:val="00E96F04"/>
    <w:rsid w:val="00E97AEC"/>
    <w:rsid w:val="00EA0359"/>
    <w:rsid w:val="00EA1592"/>
    <w:rsid w:val="00EA20FE"/>
    <w:rsid w:val="00EA291E"/>
    <w:rsid w:val="00EA3433"/>
    <w:rsid w:val="00EA459B"/>
    <w:rsid w:val="00EA5C07"/>
    <w:rsid w:val="00EA6D67"/>
    <w:rsid w:val="00EA728B"/>
    <w:rsid w:val="00EA76C9"/>
    <w:rsid w:val="00EA7CA4"/>
    <w:rsid w:val="00EB08A4"/>
    <w:rsid w:val="00EB0F8F"/>
    <w:rsid w:val="00EB21C3"/>
    <w:rsid w:val="00EB235F"/>
    <w:rsid w:val="00EB261E"/>
    <w:rsid w:val="00EB2B5B"/>
    <w:rsid w:val="00EB2DBF"/>
    <w:rsid w:val="00EB398D"/>
    <w:rsid w:val="00EB491E"/>
    <w:rsid w:val="00EB4F07"/>
    <w:rsid w:val="00EB4FB2"/>
    <w:rsid w:val="00EB5031"/>
    <w:rsid w:val="00EB60D1"/>
    <w:rsid w:val="00EB681B"/>
    <w:rsid w:val="00EB6A6B"/>
    <w:rsid w:val="00EB7290"/>
    <w:rsid w:val="00EC011B"/>
    <w:rsid w:val="00EC0561"/>
    <w:rsid w:val="00EC0E76"/>
    <w:rsid w:val="00EC12D9"/>
    <w:rsid w:val="00EC1654"/>
    <w:rsid w:val="00EC1C84"/>
    <w:rsid w:val="00EC1E0D"/>
    <w:rsid w:val="00EC2491"/>
    <w:rsid w:val="00EC2830"/>
    <w:rsid w:val="00EC2C54"/>
    <w:rsid w:val="00EC33AC"/>
    <w:rsid w:val="00EC3883"/>
    <w:rsid w:val="00EC40E4"/>
    <w:rsid w:val="00EC4D95"/>
    <w:rsid w:val="00EC4FAD"/>
    <w:rsid w:val="00EC5D9A"/>
    <w:rsid w:val="00EC69AA"/>
    <w:rsid w:val="00EC6B19"/>
    <w:rsid w:val="00EC6B6D"/>
    <w:rsid w:val="00ED05ED"/>
    <w:rsid w:val="00ED0A8E"/>
    <w:rsid w:val="00ED0CCB"/>
    <w:rsid w:val="00ED112D"/>
    <w:rsid w:val="00ED1A52"/>
    <w:rsid w:val="00ED1A5D"/>
    <w:rsid w:val="00ED1BC4"/>
    <w:rsid w:val="00ED29CD"/>
    <w:rsid w:val="00ED2BE0"/>
    <w:rsid w:val="00ED2FAC"/>
    <w:rsid w:val="00ED329E"/>
    <w:rsid w:val="00ED3F11"/>
    <w:rsid w:val="00ED48B5"/>
    <w:rsid w:val="00ED4DBC"/>
    <w:rsid w:val="00ED5217"/>
    <w:rsid w:val="00ED71A0"/>
    <w:rsid w:val="00EE0EE9"/>
    <w:rsid w:val="00EE12A5"/>
    <w:rsid w:val="00EE190E"/>
    <w:rsid w:val="00EE1A4C"/>
    <w:rsid w:val="00EE1C7A"/>
    <w:rsid w:val="00EE2D54"/>
    <w:rsid w:val="00EE36CB"/>
    <w:rsid w:val="00EE3CFA"/>
    <w:rsid w:val="00EE5BDB"/>
    <w:rsid w:val="00EE66B8"/>
    <w:rsid w:val="00EE69E4"/>
    <w:rsid w:val="00EE7055"/>
    <w:rsid w:val="00EE7201"/>
    <w:rsid w:val="00EE7774"/>
    <w:rsid w:val="00EF02AE"/>
    <w:rsid w:val="00EF09ED"/>
    <w:rsid w:val="00EF1115"/>
    <w:rsid w:val="00EF1E4B"/>
    <w:rsid w:val="00EF2013"/>
    <w:rsid w:val="00EF236E"/>
    <w:rsid w:val="00EF2A7F"/>
    <w:rsid w:val="00EF3622"/>
    <w:rsid w:val="00EF3B49"/>
    <w:rsid w:val="00EF4718"/>
    <w:rsid w:val="00EF4EAB"/>
    <w:rsid w:val="00EF5FF6"/>
    <w:rsid w:val="00EF6400"/>
    <w:rsid w:val="00EF68E9"/>
    <w:rsid w:val="00EF6C44"/>
    <w:rsid w:val="00EF6DDD"/>
    <w:rsid w:val="00EF7A85"/>
    <w:rsid w:val="00EF7D3A"/>
    <w:rsid w:val="00EF7E90"/>
    <w:rsid w:val="00F000EC"/>
    <w:rsid w:val="00F002B6"/>
    <w:rsid w:val="00F00506"/>
    <w:rsid w:val="00F00C8E"/>
    <w:rsid w:val="00F02B52"/>
    <w:rsid w:val="00F02C03"/>
    <w:rsid w:val="00F02D34"/>
    <w:rsid w:val="00F02DA7"/>
    <w:rsid w:val="00F03826"/>
    <w:rsid w:val="00F05080"/>
    <w:rsid w:val="00F07441"/>
    <w:rsid w:val="00F10AFE"/>
    <w:rsid w:val="00F115E7"/>
    <w:rsid w:val="00F12905"/>
    <w:rsid w:val="00F129F1"/>
    <w:rsid w:val="00F13E23"/>
    <w:rsid w:val="00F13E4C"/>
    <w:rsid w:val="00F14E62"/>
    <w:rsid w:val="00F15C6C"/>
    <w:rsid w:val="00F15FD6"/>
    <w:rsid w:val="00F17173"/>
    <w:rsid w:val="00F173EF"/>
    <w:rsid w:val="00F17601"/>
    <w:rsid w:val="00F201CE"/>
    <w:rsid w:val="00F2026F"/>
    <w:rsid w:val="00F2058E"/>
    <w:rsid w:val="00F20A70"/>
    <w:rsid w:val="00F21AC8"/>
    <w:rsid w:val="00F224DC"/>
    <w:rsid w:val="00F22D52"/>
    <w:rsid w:val="00F235CB"/>
    <w:rsid w:val="00F23826"/>
    <w:rsid w:val="00F24638"/>
    <w:rsid w:val="00F2466B"/>
    <w:rsid w:val="00F25666"/>
    <w:rsid w:val="00F2574C"/>
    <w:rsid w:val="00F267A3"/>
    <w:rsid w:val="00F2687F"/>
    <w:rsid w:val="00F26ED4"/>
    <w:rsid w:val="00F273E9"/>
    <w:rsid w:val="00F27D35"/>
    <w:rsid w:val="00F27F29"/>
    <w:rsid w:val="00F3047F"/>
    <w:rsid w:val="00F30986"/>
    <w:rsid w:val="00F30DBD"/>
    <w:rsid w:val="00F313CF"/>
    <w:rsid w:val="00F31A76"/>
    <w:rsid w:val="00F3200C"/>
    <w:rsid w:val="00F325AA"/>
    <w:rsid w:val="00F327D1"/>
    <w:rsid w:val="00F32D54"/>
    <w:rsid w:val="00F3314A"/>
    <w:rsid w:val="00F33593"/>
    <w:rsid w:val="00F339A9"/>
    <w:rsid w:val="00F33DC1"/>
    <w:rsid w:val="00F33E87"/>
    <w:rsid w:val="00F33F91"/>
    <w:rsid w:val="00F34157"/>
    <w:rsid w:val="00F34936"/>
    <w:rsid w:val="00F349ED"/>
    <w:rsid w:val="00F34BA8"/>
    <w:rsid w:val="00F34BF9"/>
    <w:rsid w:val="00F35181"/>
    <w:rsid w:val="00F35D7D"/>
    <w:rsid w:val="00F36699"/>
    <w:rsid w:val="00F36822"/>
    <w:rsid w:val="00F36C54"/>
    <w:rsid w:val="00F378A7"/>
    <w:rsid w:val="00F40448"/>
    <w:rsid w:val="00F40BB8"/>
    <w:rsid w:val="00F418EA"/>
    <w:rsid w:val="00F41A29"/>
    <w:rsid w:val="00F41FEF"/>
    <w:rsid w:val="00F42685"/>
    <w:rsid w:val="00F4359D"/>
    <w:rsid w:val="00F43C22"/>
    <w:rsid w:val="00F44C1C"/>
    <w:rsid w:val="00F44C30"/>
    <w:rsid w:val="00F45214"/>
    <w:rsid w:val="00F4645F"/>
    <w:rsid w:val="00F477C5"/>
    <w:rsid w:val="00F504DB"/>
    <w:rsid w:val="00F50BEA"/>
    <w:rsid w:val="00F51025"/>
    <w:rsid w:val="00F514D8"/>
    <w:rsid w:val="00F518DF"/>
    <w:rsid w:val="00F52599"/>
    <w:rsid w:val="00F52A65"/>
    <w:rsid w:val="00F52B46"/>
    <w:rsid w:val="00F53380"/>
    <w:rsid w:val="00F54243"/>
    <w:rsid w:val="00F544DB"/>
    <w:rsid w:val="00F5641A"/>
    <w:rsid w:val="00F569D0"/>
    <w:rsid w:val="00F57C2D"/>
    <w:rsid w:val="00F57DF4"/>
    <w:rsid w:val="00F60030"/>
    <w:rsid w:val="00F603BB"/>
    <w:rsid w:val="00F604AC"/>
    <w:rsid w:val="00F60575"/>
    <w:rsid w:val="00F615D0"/>
    <w:rsid w:val="00F62929"/>
    <w:rsid w:val="00F64035"/>
    <w:rsid w:val="00F6475C"/>
    <w:rsid w:val="00F6494A"/>
    <w:rsid w:val="00F6502E"/>
    <w:rsid w:val="00F654D1"/>
    <w:rsid w:val="00F65663"/>
    <w:rsid w:val="00F660B2"/>
    <w:rsid w:val="00F67371"/>
    <w:rsid w:val="00F67D12"/>
    <w:rsid w:val="00F67EE3"/>
    <w:rsid w:val="00F70A29"/>
    <w:rsid w:val="00F70B65"/>
    <w:rsid w:val="00F70C8B"/>
    <w:rsid w:val="00F713CD"/>
    <w:rsid w:val="00F71939"/>
    <w:rsid w:val="00F71C33"/>
    <w:rsid w:val="00F71F68"/>
    <w:rsid w:val="00F72092"/>
    <w:rsid w:val="00F72A5E"/>
    <w:rsid w:val="00F738F6"/>
    <w:rsid w:val="00F741B2"/>
    <w:rsid w:val="00F74FE5"/>
    <w:rsid w:val="00F7506E"/>
    <w:rsid w:val="00F756C0"/>
    <w:rsid w:val="00F75A40"/>
    <w:rsid w:val="00F77637"/>
    <w:rsid w:val="00F77BFB"/>
    <w:rsid w:val="00F804C2"/>
    <w:rsid w:val="00F8088B"/>
    <w:rsid w:val="00F80A24"/>
    <w:rsid w:val="00F80E3F"/>
    <w:rsid w:val="00F81C81"/>
    <w:rsid w:val="00F81FFB"/>
    <w:rsid w:val="00F8211E"/>
    <w:rsid w:val="00F83080"/>
    <w:rsid w:val="00F83191"/>
    <w:rsid w:val="00F83ADC"/>
    <w:rsid w:val="00F83D04"/>
    <w:rsid w:val="00F8435D"/>
    <w:rsid w:val="00F84625"/>
    <w:rsid w:val="00F855E6"/>
    <w:rsid w:val="00F85BC0"/>
    <w:rsid w:val="00F86CEB"/>
    <w:rsid w:val="00F87D19"/>
    <w:rsid w:val="00F87DD0"/>
    <w:rsid w:val="00F87EFC"/>
    <w:rsid w:val="00F905A7"/>
    <w:rsid w:val="00F91C29"/>
    <w:rsid w:val="00F91CA8"/>
    <w:rsid w:val="00F93360"/>
    <w:rsid w:val="00F93C25"/>
    <w:rsid w:val="00F93FE4"/>
    <w:rsid w:val="00F94832"/>
    <w:rsid w:val="00F95B2C"/>
    <w:rsid w:val="00F95F86"/>
    <w:rsid w:val="00F963F8"/>
    <w:rsid w:val="00F969AD"/>
    <w:rsid w:val="00F97953"/>
    <w:rsid w:val="00F97B7F"/>
    <w:rsid w:val="00F97E4E"/>
    <w:rsid w:val="00F97FEE"/>
    <w:rsid w:val="00FA0562"/>
    <w:rsid w:val="00FA217B"/>
    <w:rsid w:val="00FA2A37"/>
    <w:rsid w:val="00FA440E"/>
    <w:rsid w:val="00FA4AE7"/>
    <w:rsid w:val="00FA4E35"/>
    <w:rsid w:val="00FA4F92"/>
    <w:rsid w:val="00FA5329"/>
    <w:rsid w:val="00FA60C8"/>
    <w:rsid w:val="00FA6BD3"/>
    <w:rsid w:val="00FB01B3"/>
    <w:rsid w:val="00FB047E"/>
    <w:rsid w:val="00FB0495"/>
    <w:rsid w:val="00FB0BC5"/>
    <w:rsid w:val="00FB0BCC"/>
    <w:rsid w:val="00FB0F1D"/>
    <w:rsid w:val="00FB1F32"/>
    <w:rsid w:val="00FB22EA"/>
    <w:rsid w:val="00FB2575"/>
    <w:rsid w:val="00FB5137"/>
    <w:rsid w:val="00FB5898"/>
    <w:rsid w:val="00FB65B7"/>
    <w:rsid w:val="00FB7B03"/>
    <w:rsid w:val="00FC0A70"/>
    <w:rsid w:val="00FC0FE5"/>
    <w:rsid w:val="00FC101D"/>
    <w:rsid w:val="00FC2213"/>
    <w:rsid w:val="00FC2636"/>
    <w:rsid w:val="00FC2CF1"/>
    <w:rsid w:val="00FC37F1"/>
    <w:rsid w:val="00FC3AA1"/>
    <w:rsid w:val="00FC4719"/>
    <w:rsid w:val="00FC4753"/>
    <w:rsid w:val="00FC5EBB"/>
    <w:rsid w:val="00FC6C81"/>
    <w:rsid w:val="00FD0044"/>
    <w:rsid w:val="00FD0191"/>
    <w:rsid w:val="00FD03B0"/>
    <w:rsid w:val="00FD07CB"/>
    <w:rsid w:val="00FD122D"/>
    <w:rsid w:val="00FD1A2E"/>
    <w:rsid w:val="00FD1ABC"/>
    <w:rsid w:val="00FD205F"/>
    <w:rsid w:val="00FD439E"/>
    <w:rsid w:val="00FD4DFE"/>
    <w:rsid w:val="00FD5AFC"/>
    <w:rsid w:val="00FD5F5D"/>
    <w:rsid w:val="00FD6910"/>
    <w:rsid w:val="00FD6E1B"/>
    <w:rsid w:val="00FD7DDF"/>
    <w:rsid w:val="00FE0696"/>
    <w:rsid w:val="00FE0D68"/>
    <w:rsid w:val="00FE1817"/>
    <w:rsid w:val="00FE1B54"/>
    <w:rsid w:val="00FE2C7A"/>
    <w:rsid w:val="00FE2DDB"/>
    <w:rsid w:val="00FE36FE"/>
    <w:rsid w:val="00FE45C4"/>
    <w:rsid w:val="00FE4C92"/>
    <w:rsid w:val="00FE4D63"/>
    <w:rsid w:val="00FE4D6F"/>
    <w:rsid w:val="00FE5126"/>
    <w:rsid w:val="00FE5395"/>
    <w:rsid w:val="00FE6197"/>
    <w:rsid w:val="00FE6E7C"/>
    <w:rsid w:val="00FE70AD"/>
    <w:rsid w:val="00FE7DCE"/>
    <w:rsid w:val="00FF015C"/>
    <w:rsid w:val="00FF0428"/>
    <w:rsid w:val="00FF05E2"/>
    <w:rsid w:val="00FF068B"/>
    <w:rsid w:val="00FF0DC6"/>
    <w:rsid w:val="00FF0FAA"/>
    <w:rsid w:val="00FF12D9"/>
    <w:rsid w:val="00FF1394"/>
    <w:rsid w:val="00FF1FDA"/>
    <w:rsid w:val="00FF23CC"/>
    <w:rsid w:val="00FF24D4"/>
    <w:rsid w:val="00FF2D63"/>
    <w:rsid w:val="00FF3E4E"/>
    <w:rsid w:val="00FF417C"/>
    <w:rsid w:val="00FF4396"/>
    <w:rsid w:val="00FF43BF"/>
    <w:rsid w:val="00FF5792"/>
    <w:rsid w:val="00FF5D5E"/>
    <w:rsid w:val="00FF643A"/>
    <w:rsid w:val="00FF666A"/>
    <w:rsid w:val="00FF6E63"/>
    <w:rsid w:val="00FF7261"/>
    <w:rsid w:val="00FF7A8E"/>
    <w:rsid w:val="00FF7AC0"/>
    <w:rsid w:val="00FF7F4E"/>
    <w:rsid w:val="4CF6D56A"/>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9633"/>
    <o:shapelayout v:ext="edit">
      <o:idmap v:ext="edit" data="1"/>
    </o:shapelayout>
  </w:shapeDefaults>
  <w:decimalSymbol w:val=","/>
  <w:listSeparator w:val=";"/>
  <w14:docId w14:val="4DA07A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nl-NL" w:eastAsia="en-GB" w:bidi="en-GB"/>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qFormat="1"/>
    <w:lsdException w:name="annotation text" w:semiHidden="1" w:uiPriority="0" w:unhideWhenUsed="1"/>
    <w:lsdException w:name="header" w:locked="1" w:semiHidden="1" w:uiPriority="0" w:unhideWhenUsed="1" w:qFormat="1"/>
    <w:lsdException w:name="footer" w:locked="1" w:semiHidden="1" w:uiPriority="0" w:unhideWhenUsed="1"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2636"/>
    <w:pPr>
      <w:spacing w:line="288" w:lineRule="auto"/>
      <w:jc w:val="both"/>
    </w:pPr>
    <w:rPr>
      <w:lang w:eastAsia="en-US" w:bidi="ar-SA"/>
    </w:rPr>
  </w:style>
  <w:style w:type="paragraph" w:styleId="Heading1">
    <w:name w:val="heading 1"/>
    <w:basedOn w:val="Normal"/>
    <w:next w:val="Normal"/>
    <w:link w:val="Heading1Char"/>
    <w:qFormat/>
    <w:rsid w:val="00FC2636"/>
    <w:pPr>
      <w:numPr>
        <w:numId w:val="2"/>
      </w:numPr>
      <w:ind w:left="567" w:hanging="567"/>
      <w:outlineLvl w:val="0"/>
    </w:pPr>
    <w:rPr>
      <w:kern w:val="28"/>
    </w:rPr>
  </w:style>
  <w:style w:type="paragraph" w:styleId="Heading2">
    <w:name w:val="heading 2"/>
    <w:basedOn w:val="Normal"/>
    <w:next w:val="Normal"/>
    <w:link w:val="Heading2Char"/>
    <w:qFormat/>
    <w:rsid w:val="00FC2636"/>
    <w:pPr>
      <w:numPr>
        <w:ilvl w:val="1"/>
        <w:numId w:val="2"/>
      </w:numPr>
      <w:ind w:left="567" w:hanging="567"/>
      <w:outlineLvl w:val="1"/>
    </w:pPr>
  </w:style>
  <w:style w:type="paragraph" w:styleId="Heading3">
    <w:name w:val="heading 3"/>
    <w:basedOn w:val="Normal"/>
    <w:next w:val="Normal"/>
    <w:link w:val="Heading3Char"/>
    <w:qFormat/>
    <w:rsid w:val="00FC2636"/>
    <w:pPr>
      <w:numPr>
        <w:ilvl w:val="2"/>
        <w:numId w:val="2"/>
      </w:numPr>
      <w:ind w:left="567" w:hanging="567"/>
      <w:outlineLvl w:val="2"/>
    </w:pPr>
  </w:style>
  <w:style w:type="paragraph" w:styleId="Heading4">
    <w:name w:val="heading 4"/>
    <w:basedOn w:val="Normal"/>
    <w:next w:val="Normal"/>
    <w:link w:val="Heading4Char"/>
    <w:qFormat/>
    <w:rsid w:val="00FC2636"/>
    <w:pPr>
      <w:numPr>
        <w:ilvl w:val="3"/>
        <w:numId w:val="2"/>
      </w:numPr>
      <w:ind w:left="567" w:hanging="567"/>
      <w:outlineLvl w:val="3"/>
    </w:pPr>
  </w:style>
  <w:style w:type="paragraph" w:styleId="Heading5">
    <w:name w:val="heading 5"/>
    <w:basedOn w:val="Normal"/>
    <w:next w:val="Normal"/>
    <w:link w:val="Heading5Char"/>
    <w:qFormat/>
    <w:rsid w:val="00FC2636"/>
    <w:pPr>
      <w:numPr>
        <w:ilvl w:val="4"/>
        <w:numId w:val="2"/>
      </w:numPr>
      <w:ind w:left="567" w:hanging="567"/>
      <w:outlineLvl w:val="4"/>
    </w:pPr>
  </w:style>
  <w:style w:type="paragraph" w:styleId="Heading6">
    <w:name w:val="heading 6"/>
    <w:basedOn w:val="Normal"/>
    <w:next w:val="Normal"/>
    <w:link w:val="Heading6Char"/>
    <w:qFormat/>
    <w:rsid w:val="00FC2636"/>
    <w:pPr>
      <w:numPr>
        <w:ilvl w:val="5"/>
        <w:numId w:val="2"/>
      </w:numPr>
      <w:ind w:left="567" w:hanging="567"/>
      <w:outlineLvl w:val="5"/>
    </w:pPr>
  </w:style>
  <w:style w:type="paragraph" w:styleId="Heading7">
    <w:name w:val="heading 7"/>
    <w:basedOn w:val="Normal"/>
    <w:next w:val="Normal"/>
    <w:link w:val="Heading7Char"/>
    <w:qFormat/>
    <w:rsid w:val="00FC2636"/>
    <w:pPr>
      <w:numPr>
        <w:ilvl w:val="6"/>
        <w:numId w:val="2"/>
      </w:numPr>
      <w:ind w:left="567" w:hanging="567"/>
      <w:outlineLvl w:val="6"/>
    </w:pPr>
  </w:style>
  <w:style w:type="paragraph" w:styleId="Heading8">
    <w:name w:val="heading 8"/>
    <w:basedOn w:val="Normal"/>
    <w:next w:val="Normal"/>
    <w:link w:val="Heading8Char"/>
    <w:qFormat/>
    <w:rsid w:val="00FC2636"/>
    <w:pPr>
      <w:numPr>
        <w:ilvl w:val="7"/>
        <w:numId w:val="2"/>
      </w:numPr>
      <w:ind w:left="567" w:hanging="567"/>
      <w:outlineLvl w:val="7"/>
    </w:pPr>
  </w:style>
  <w:style w:type="paragraph" w:styleId="Heading9">
    <w:name w:val="heading 9"/>
    <w:basedOn w:val="Normal"/>
    <w:next w:val="Normal"/>
    <w:link w:val="Heading9Char"/>
    <w:qFormat/>
    <w:rsid w:val="00FC2636"/>
    <w:pPr>
      <w:numPr>
        <w:ilvl w:val="8"/>
        <w:numId w:val="2"/>
      </w:numPr>
      <w:ind w:left="567" w:hanging="567"/>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B1536"/>
    <w:rPr>
      <w:kern w:val="28"/>
      <w:lang w:val="nl-NL" w:eastAsia="en-US" w:bidi="ar-SA"/>
    </w:rPr>
  </w:style>
  <w:style w:type="character" w:customStyle="1" w:styleId="Heading2Char">
    <w:name w:val="Heading 2 Char"/>
    <w:basedOn w:val="DefaultParagraphFont"/>
    <w:link w:val="Heading2"/>
    <w:locked/>
    <w:rsid w:val="00CB1536"/>
    <w:rPr>
      <w:lang w:val="nl-NL" w:eastAsia="en-US" w:bidi="ar-SA"/>
    </w:rPr>
  </w:style>
  <w:style w:type="character" w:customStyle="1" w:styleId="Heading3Char">
    <w:name w:val="Heading 3 Char"/>
    <w:basedOn w:val="DefaultParagraphFont"/>
    <w:link w:val="Heading3"/>
    <w:locked/>
    <w:rsid w:val="00CB1536"/>
    <w:rPr>
      <w:lang w:val="nl-NL" w:eastAsia="en-US" w:bidi="ar-SA"/>
    </w:rPr>
  </w:style>
  <w:style w:type="character" w:customStyle="1" w:styleId="Heading4Char">
    <w:name w:val="Heading 4 Char"/>
    <w:basedOn w:val="DefaultParagraphFont"/>
    <w:link w:val="Heading4"/>
    <w:locked/>
    <w:rsid w:val="00CB1536"/>
    <w:rPr>
      <w:lang w:val="nl-NL" w:eastAsia="en-US" w:bidi="ar-SA"/>
    </w:rPr>
  </w:style>
  <w:style w:type="character" w:customStyle="1" w:styleId="Heading5Char">
    <w:name w:val="Heading 5 Char"/>
    <w:basedOn w:val="DefaultParagraphFont"/>
    <w:link w:val="Heading5"/>
    <w:locked/>
    <w:rsid w:val="00CB1536"/>
    <w:rPr>
      <w:lang w:val="nl-NL" w:eastAsia="en-US" w:bidi="ar-SA"/>
    </w:rPr>
  </w:style>
  <w:style w:type="character" w:customStyle="1" w:styleId="Heading6Char">
    <w:name w:val="Heading 6 Char"/>
    <w:basedOn w:val="DefaultParagraphFont"/>
    <w:link w:val="Heading6"/>
    <w:locked/>
    <w:rsid w:val="00CB1536"/>
    <w:rPr>
      <w:lang w:val="nl-NL" w:eastAsia="en-US" w:bidi="ar-SA"/>
    </w:rPr>
  </w:style>
  <w:style w:type="character" w:customStyle="1" w:styleId="Heading7Char">
    <w:name w:val="Heading 7 Char"/>
    <w:basedOn w:val="DefaultParagraphFont"/>
    <w:link w:val="Heading7"/>
    <w:locked/>
    <w:rsid w:val="00CB1536"/>
    <w:rPr>
      <w:lang w:val="nl-NL" w:eastAsia="en-US" w:bidi="ar-SA"/>
    </w:rPr>
  </w:style>
  <w:style w:type="character" w:customStyle="1" w:styleId="Heading8Char">
    <w:name w:val="Heading 8 Char"/>
    <w:basedOn w:val="DefaultParagraphFont"/>
    <w:link w:val="Heading8"/>
    <w:locked/>
    <w:rsid w:val="00CB1536"/>
    <w:rPr>
      <w:lang w:val="nl-NL" w:eastAsia="en-US" w:bidi="ar-SA"/>
    </w:rPr>
  </w:style>
  <w:style w:type="character" w:customStyle="1" w:styleId="Heading9Char">
    <w:name w:val="Heading 9 Char"/>
    <w:basedOn w:val="DefaultParagraphFont"/>
    <w:link w:val="Heading9"/>
    <w:locked/>
    <w:rsid w:val="00CB1536"/>
    <w:rPr>
      <w:lang w:val="nl-NL" w:eastAsia="en-US" w:bidi="ar-SA"/>
    </w:rPr>
  </w:style>
  <w:style w:type="paragraph" w:styleId="Footer">
    <w:name w:val="footer"/>
    <w:basedOn w:val="Normal"/>
    <w:link w:val="FooterChar"/>
    <w:qFormat/>
    <w:rsid w:val="00FC2636"/>
  </w:style>
  <w:style w:type="character" w:customStyle="1" w:styleId="FooterChar">
    <w:name w:val="Footer Char"/>
    <w:basedOn w:val="DefaultParagraphFont"/>
    <w:link w:val="Footer"/>
    <w:locked/>
    <w:rsid w:val="00CB1536"/>
    <w:rPr>
      <w:lang w:val="nl-NL" w:eastAsia="en-US" w:bidi="ar-SA"/>
    </w:rPr>
  </w:style>
  <w:style w:type="paragraph" w:styleId="FootnoteText">
    <w:name w:val="footnote text"/>
    <w:basedOn w:val="Normal"/>
    <w:link w:val="FootnoteTextChar"/>
    <w:qFormat/>
    <w:rsid w:val="00FC2636"/>
    <w:pPr>
      <w:keepLines/>
      <w:spacing w:after="60" w:line="240" w:lineRule="auto"/>
      <w:ind w:left="567" w:hanging="567"/>
    </w:pPr>
    <w:rPr>
      <w:sz w:val="16"/>
    </w:rPr>
  </w:style>
  <w:style w:type="character" w:customStyle="1" w:styleId="FootnoteTextChar">
    <w:name w:val="Footnote Text Char"/>
    <w:basedOn w:val="DefaultParagraphFont"/>
    <w:link w:val="FootnoteText"/>
    <w:locked/>
    <w:rsid w:val="00CB1536"/>
    <w:rPr>
      <w:sz w:val="16"/>
      <w:lang w:val="nl-NL" w:eastAsia="en-US" w:bidi="ar-SA"/>
    </w:rPr>
  </w:style>
  <w:style w:type="paragraph" w:styleId="Header">
    <w:name w:val="header"/>
    <w:basedOn w:val="Normal"/>
    <w:link w:val="HeaderChar"/>
    <w:qFormat/>
    <w:rsid w:val="00FC2636"/>
  </w:style>
  <w:style w:type="character" w:customStyle="1" w:styleId="HeaderChar">
    <w:name w:val="Header Char"/>
    <w:basedOn w:val="DefaultParagraphFont"/>
    <w:link w:val="Header"/>
    <w:locked/>
    <w:rsid w:val="00CB1536"/>
    <w:rPr>
      <w:lang w:val="nl-NL" w:eastAsia="en-US" w:bidi="ar-SA"/>
    </w:rPr>
  </w:style>
  <w:style w:type="character" w:styleId="Hyperlink">
    <w:name w:val="Hyperlink"/>
    <w:basedOn w:val="DefaultParagraphFont"/>
    <w:uiPriority w:val="99"/>
    <w:rsid w:val="00934C10"/>
    <w:rPr>
      <w:color w:val="0000FF"/>
      <w:u w:val="single"/>
    </w:rPr>
  </w:style>
  <w:style w:type="character" w:styleId="FootnoteReference">
    <w:name w:val="footnote reference"/>
    <w:aliases w:val="Footnote symbol"/>
    <w:basedOn w:val="DefaultParagraphFont"/>
    <w:unhideWhenUsed/>
    <w:qFormat/>
    <w:rsid w:val="00FC2636"/>
    <w:rPr>
      <w:sz w:val="24"/>
      <w:vertAlign w:val="superscript"/>
    </w:rPr>
  </w:style>
  <w:style w:type="character" w:styleId="FollowedHyperlink">
    <w:name w:val="FollowedHyperlink"/>
    <w:basedOn w:val="DefaultParagraphFont"/>
    <w:uiPriority w:val="99"/>
    <w:rsid w:val="00934C10"/>
    <w:rPr>
      <w:color w:val="800080"/>
      <w:u w:val="single"/>
    </w:rPr>
  </w:style>
  <w:style w:type="paragraph" w:customStyle="1" w:styleId="LOGO">
    <w:name w:val="LOGO"/>
    <w:basedOn w:val="Normal"/>
    <w:uiPriority w:val="99"/>
    <w:rsid w:val="00934C10"/>
    <w:pPr>
      <w:jc w:val="center"/>
    </w:pPr>
    <w:rPr>
      <w:rFonts w:ascii="Arial" w:hAnsi="Arial" w:cs="Arial"/>
      <w:b/>
      <w:bCs/>
      <w:i/>
      <w:iCs/>
      <w:sz w:val="20"/>
    </w:rPr>
  </w:style>
  <w:style w:type="paragraph" w:styleId="Revision">
    <w:name w:val="Revision"/>
    <w:hidden/>
    <w:uiPriority w:val="99"/>
    <w:semiHidden/>
    <w:rsid w:val="00B2372C"/>
  </w:style>
  <w:style w:type="paragraph" w:customStyle="1" w:styleId="quotes">
    <w:name w:val="quotes"/>
    <w:basedOn w:val="Normal"/>
    <w:next w:val="Normal"/>
    <w:rsid w:val="00FC2636"/>
    <w:pPr>
      <w:ind w:left="720"/>
    </w:pPr>
    <w:rPr>
      <w:i/>
    </w:rPr>
  </w:style>
  <w:style w:type="paragraph" w:styleId="ListParagraph">
    <w:name w:val="List Paragraph"/>
    <w:basedOn w:val="Normal"/>
    <w:uiPriority w:val="34"/>
    <w:qFormat/>
    <w:rsid w:val="000B68FA"/>
    <w:pPr>
      <w:ind w:left="720"/>
      <w:contextualSpacing/>
    </w:pPr>
  </w:style>
  <w:style w:type="table" w:styleId="TableGrid">
    <w:name w:val="Table Grid"/>
    <w:basedOn w:val="TableNormal"/>
    <w:locked/>
    <w:rsid w:val="000C70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tkaisematonmaininta1">
    <w:name w:val="Ratkaisematon maininta1"/>
    <w:basedOn w:val="DefaultParagraphFont"/>
    <w:uiPriority w:val="99"/>
    <w:semiHidden/>
    <w:unhideWhenUsed/>
    <w:rsid w:val="00A618BF"/>
    <w:rPr>
      <w:color w:val="605E5C"/>
      <w:shd w:val="clear" w:color="auto" w:fill="E1DFDD"/>
    </w:rPr>
  </w:style>
  <w:style w:type="paragraph" w:styleId="BalloonText">
    <w:name w:val="Balloon Text"/>
    <w:basedOn w:val="Normal"/>
    <w:link w:val="BalloonTextChar"/>
    <w:uiPriority w:val="99"/>
    <w:semiHidden/>
    <w:unhideWhenUsed/>
    <w:rsid w:val="00FC0A70"/>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C0A70"/>
    <w:rPr>
      <w:rFonts w:ascii="Segoe UI" w:hAnsi="Segoe UI" w:cs="Segoe UI"/>
      <w:sz w:val="18"/>
      <w:szCs w:val="18"/>
      <w:lang w:val="nl-NL" w:eastAsia="en-US" w:bidi="ar-SA"/>
    </w:rPr>
  </w:style>
  <w:style w:type="character" w:styleId="CommentReference">
    <w:name w:val="annotation reference"/>
    <w:basedOn w:val="DefaultParagraphFont"/>
    <w:semiHidden/>
    <w:unhideWhenUsed/>
    <w:rsid w:val="00943BB4"/>
    <w:rPr>
      <w:sz w:val="16"/>
      <w:szCs w:val="16"/>
    </w:rPr>
  </w:style>
  <w:style w:type="paragraph" w:styleId="CommentText">
    <w:name w:val="annotation text"/>
    <w:basedOn w:val="Normal"/>
    <w:link w:val="CommentTextChar"/>
    <w:semiHidden/>
    <w:unhideWhenUsed/>
    <w:rsid w:val="00943BB4"/>
    <w:pPr>
      <w:spacing w:line="240" w:lineRule="auto"/>
    </w:pPr>
    <w:rPr>
      <w:sz w:val="20"/>
      <w:szCs w:val="20"/>
    </w:rPr>
  </w:style>
  <w:style w:type="character" w:customStyle="1" w:styleId="CommentTextChar">
    <w:name w:val="Comment Text Char"/>
    <w:basedOn w:val="DefaultParagraphFont"/>
    <w:link w:val="CommentText"/>
    <w:semiHidden/>
    <w:rsid w:val="00943BB4"/>
    <w:rPr>
      <w:sz w:val="20"/>
      <w:szCs w:val="20"/>
      <w:lang w:val="nl-NL" w:eastAsia="en-US" w:bidi="ar-SA"/>
    </w:rPr>
  </w:style>
  <w:style w:type="paragraph" w:styleId="CommentSubject">
    <w:name w:val="annotation subject"/>
    <w:basedOn w:val="CommentText"/>
    <w:next w:val="CommentText"/>
    <w:link w:val="CommentSubjectChar"/>
    <w:uiPriority w:val="99"/>
    <w:semiHidden/>
    <w:unhideWhenUsed/>
    <w:rsid w:val="00943BB4"/>
    <w:rPr>
      <w:b/>
      <w:bCs/>
    </w:rPr>
  </w:style>
  <w:style w:type="character" w:customStyle="1" w:styleId="CommentSubjectChar">
    <w:name w:val="Comment Subject Char"/>
    <w:basedOn w:val="CommentTextChar"/>
    <w:link w:val="CommentSubject"/>
    <w:uiPriority w:val="99"/>
    <w:semiHidden/>
    <w:rsid w:val="00943BB4"/>
    <w:rPr>
      <w:b/>
      <w:bCs/>
      <w:sz w:val="20"/>
      <w:szCs w:val="20"/>
      <w:lang w:val="nl-NL" w:eastAsia="en-US" w:bidi="ar-SA"/>
    </w:rPr>
  </w:style>
  <w:style w:type="character" w:customStyle="1" w:styleId="UnresolvedMention1">
    <w:name w:val="Unresolved Mention1"/>
    <w:basedOn w:val="DefaultParagraphFont"/>
    <w:uiPriority w:val="99"/>
    <w:semiHidden/>
    <w:unhideWhenUsed/>
    <w:rsid w:val="009031F2"/>
    <w:rPr>
      <w:color w:val="605E5C"/>
      <w:shd w:val="clear" w:color="auto" w:fill="E1DFDD"/>
    </w:rPr>
  </w:style>
  <w:style w:type="character" w:customStyle="1" w:styleId="UnresolvedMention2">
    <w:name w:val="Unresolved Mention2"/>
    <w:basedOn w:val="DefaultParagraphFont"/>
    <w:uiPriority w:val="99"/>
    <w:semiHidden/>
    <w:unhideWhenUsed/>
    <w:rsid w:val="008B67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995196">
      <w:bodyDiv w:val="1"/>
      <w:marLeft w:val="0"/>
      <w:marRight w:val="0"/>
      <w:marTop w:val="0"/>
      <w:marBottom w:val="0"/>
      <w:divBdr>
        <w:top w:val="none" w:sz="0" w:space="0" w:color="auto"/>
        <w:left w:val="none" w:sz="0" w:space="0" w:color="auto"/>
        <w:bottom w:val="none" w:sz="0" w:space="0" w:color="auto"/>
        <w:right w:val="none" w:sz="0" w:space="0" w:color="auto"/>
      </w:divBdr>
    </w:div>
    <w:div w:id="121121979">
      <w:bodyDiv w:val="1"/>
      <w:marLeft w:val="0"/>
      <w:marRight w:val="0"/>
      <w:marTop w:val="0"/>
      <w:marBottom w:val="0"/>
      <w:divBdr>
        <w:top w:val="none" w:sz="0" w:space="0" w:color="auto"/>
        <w:left w:val="none" w:sz="0" w:space="0" w:color="auto"/>
        <w:bottom w:val="none" w:sz="0" w:space="0" w:color="auto"/>
        <w:right w:val="none" w:sz="0" w:space="0" w:color="auto"/>
      </w:divBdr>
    </w:div>
    <w:div w:id="134184824">
      <w:bodyDiv w:val="1"/>
      <w:marLeft w:val="0"/>
      <w:marRight w:val="0"/>
      <w:marTop w:val="0"/>
      <w:marBottom w:val="0"/>
      <w:divBdr>
        <w:top w:val="none" w:sz="0" w:space="0" w:color="auto"/>
        <w:left w:val="none" w:sz="0" w:space="0" w:color="auto"/>
        <w:bottom w:val="none" w:sz="0" w:space="0" w:color="auto"/>
        <w:right w:val="none" w:sz="0" w:space="0" w:color="auto"/>
      </w:divBdr>
    </w:div>
    <w:div w:id="138304500">
      <w:bodyDiv w:val="1"/>
      <w:marLeft w:val="0"/>
      <w:marRight w:val="0"/>
      <w:marTop w:val="0"/>
      <w:marBottom w:val="0"/>
      <w:divBdr>
        <w:top w:val="none" w:sz="0" w:space="0" w:color="auto"/>
        <w:left w:val="none" w:sz="0" w:space="0" w:color="auto"/>
        <w:bottom w:val="none" w:sz="0" w:space="0" w:color="auto"/>
        <w:right w:val="none" w:sz="0" w:space="0" w:color="auto"/>
      </w:divBdr>
      <w:divsChild>
        <w:div w:id="1241595141">
          <w:marLeft w:val="0"/>
          <w:marRight w:val="0"/>
          <w:marTop w:val="0"/>
          <w:marBottom w:val="0"/>
          <w:divBdr>
            <w:top w:val="none" w:sz="0" w:space="0" w:color="auto"/>
            <w:left w:val="none" w:sz="0" w:space="0" w:color="auto"/>
            <w:bottom w:val="none" w:sz="0" w:space="0" w:color="auto"/>
            <w:right w:val="none" w:sz="0" w:space="0" w:color="auto"/>
          </w:divBdr>
          <w:divsChild>
            <w:div w:id="1277365832">
              <w:marLeft w:val="0"/>
              <w:marRight w:val="0"/>
              <w:marTop w:val="0"/>
              <w:marBottom w:val="0"/>
              <w:divBdr>
                <w:top w:val="none" w:sz="0" w:space="0" w:color="auto"/>
                <w:left w:val="none" w:sz="0" w:space="0" w:color="auto"/>
                <w:bottom w:val="none" w:sz="0" w:space="0" w:color="auto"/>
                <w:right w:val="none" w:sz="0" w:space="0" w:color="auto"/>
              </w:divBdr>
            </w:div>
            <w:div w:id="2046952548">
              <w:marLeft w:val="0"/>
              <w:marRight w:val="0"/>
              <w:marTop w:val="0"/>
              <w:marBottom w:val="0"/>
              <w:divBdr>
                <w:top w:val="none" w:sz="0" w:space="0" w:color="auto"/>
                <w:left w:val="none" w:sz="0" w:space="0" w:color="auto"/>
                <w:bottom w:val="none" w:sz="0" w:space="0" w:color="auto"/>
                <w:right w:val="none" w:sz="0" w:space="0" w:color="auto"/>
              </w:divBdr>
            </w:div>
            <w:div w:id="117846161">
              <w:marLeft w:val="0"/>
              <w:marRight w:val="0"/>
              <w:marTop w:val="0"/>
              <w:marBottom w:val="0"/>
              <w:divBdr>
                <w:top w:val="none" w:sz="0" w:space="0" w:color="auto"/>
                <w:left w:val="none" w:sz="0" w:space="0" w:color="auto"/>
                <w:bottom w:val="none" w:sz="0" w:space="0" w:color="auto"/>
                <w:right w:val="none" w:sz="0" w:space="0" w:color="auto"/>
              </w:divBdr>
            </w:div>
            <w:div w:id="1145925578">
              <w:marLeft w:val="0"/>
              <w:marRight w:val="0"/>
              <w:marTop w:val="0"/>
              <w:marBottom w:val="0"/>
              <w:divBdr>
                <w:top w:val="none" w:sz="0" w:space="0" w:color="auto"/>
                <w:left w:val="none" w:sz="0" w:space="0" w:color="auto"/>
                <w:bottom w:val="none" w:sz="0" w:space="0" w:color="auto"/>
                <w:right w:val="none" w:sz="0" w:space="0" w:color="auto"/>
              </w:divBdr>
            </w:div>
            <w:div w:id="1395005617">
              <w:marLeft w:val="0"/>
              <w:marRight w:val="0"/>
              <w:marTop w:val="0"/>
              <w:marBottom w:val="0"/>
              <w:divBdr>
                <w:top w:val="none" w:sz="0" w:space="0" w:color="auto"/>
                <w:left w:val="none" w:sz="0" w:space="0" w:color="auto"/>
                <w:bottom w:val="none" w:sz="0" w:space="0" w:color="auto"/>
                <w:right w:val="none" w:sz="0" w:space="0" w:color="auto"/>
              </w:divBdr>
            </w:div>
          </w:divsChild>
        </w:div>
        <w:div w:id="1088770290">
          <w:marLeft w:val="0"/>
          <w:marRight w:val="0"/>
          <w:marTop w:val="0"/>
          <w:marBottom w:val="0"/>
          <w:divBdr>
            <w:top w:val="none" w:sz="0" w:space="0" w:color="auto"/>
            <w:left w:val="none" w:sz="0" w:space="0" w:color="auto"/>
            <w:bottom w:val="none" w:sz="0" w:space="0" w:color="auto"/>
            <w:right w:val="none" w:sz="0" w:space="0" w:color="auto"/>
          </w:divBdr>
          <w:divsChild>
            <w:div w:id="903494865">
              <w:marLeft w:val="-75"/>
              <w:marRight w:val="0"/>
              <w:marTop w:val="30"/>
              <w:marBottom w:val="30"/>
              <w:divBdr>
                <w:top w:val="none" w:sz="0" w:space="0" w:color="auto"/>
                <w:left w:val="none" w:sz="0" w:space="0" w:color="auto"/>
                <w:bottom w:val="none" w:sz="0" w:space="0" w:color="auto"/>
                <w:right w:val="none" w:sz="0" w:space="0" w:color="auto"/>
              </w:divBdr>
              <w:divsChild>
                <w:div w:id="384841762">
                  <w:marLeft w:val="0"/>
                  <w:marRight w:val="0"/>
                  <w:marTop w:val="0"/>
                  <w:marBottom w:val="0"/>
                  <w:divBdr>
                    <w:top w:val="none" w:sz="0" w:space="0" w:color="auto"/>
                    <w:left w:val="none" w:sz="0" w:space="0" w:color="auto"/>
                    <w:bottom w:val="none" w:sz="0" w:space="0" w:color="auto"/>
                    <w:right w:val="none" w:sz="0" w:space="0" w:color="auto"/>
                  </w:divBdr>
                  <w:divsChild>
                    <w:div w:id="78647945">
                      <w:marLeft w:val="0"/>
                      <w:marRight w:val="0"/>
                      <w:marTop w:val="0"/>
                      <w:marBottom w:val="0"/>
                      <w:divBdr>
                        <w:top w:val="none" w:sz="0" w:space="0" w:color="auto"/>
                        <w:left w:val="none" w:sz="0" w:space="0" w:color="auto"/>
                        <w:bottom w:val="none" w:sz="0" w:space="0" w:color="auto"/>
                        <w:right w:val="none" w:sz="0" w:space="0" w:color="auto"/>
                      </w:divBdr>
                    </w:div>
                  </w:divsChild>
                </w:div>
                <w:div w:id="2019237185">
                  <w:marLeft w:val="0"/>
                  <w:marRight w:val="0"/>
                  <w:marTop w:val="0"/>
                  <w:marBottom w:val="0"/>
                  <w:divBdr>
                    <w:top w:val="none" w:sz="0" w:space="0" w:color="auto"/>
                    <w:left w:val="none" w:sz="0" w:space="0" w:color="auto"/>
                    <w:bottom w:val="none" w:sz="0" w:space="0" w:color="auto"/>
                    <w:right w:val="none" w:sz="0" w:space="0" w:color="auto"/>
                  </w:divBdr>
                  <w:divsChild>
                    <w:div w:id="1996838574">
                      <w:marLeft w:val="0"/>
                      <w:marRight w:val="0"/>
                      <w:marTop w:val="0"/>
                      <w:marBottom w:val="0"/>
                      <w:divBdr>
                        <w:top w:val="none" w:sz="0" w:space="0" w:color="auto"/>
                        <w:left w:val="none" w:sz="0" w:space="0" w:color="auto"/>
                        <w:bottom w:val="none" w:sz="0" w:space="0" w:color="auto"/>
                        <w:right w:val="none" w:sz="0" w:space="0" w:color="auto"/>
                      </w:divBdr>
                    </w:div>
                  </w:divsChild>
                </w:div>
                <w:div w:id="1534490734">
                  <w:marLeft w:val="0"/>
                  <w:marRight w:val="0"/>
                  <w:marTop w:val="0"/>
                  <w:marBottom w:val="0"/>
                  <w:divBdr>
                    <w:top w:val="none" w:sz="0" w:space="0" w:color="auto"/>
                    <w:left w:val="none" w:sz="0" w:space="0" w:color="auto"/>
                    <w:bottom w:val="none" w:sz="0" w:space="0" w:color="auto"/>
                    <w:right w:val="none" w:sz="0" w:space="0" w:color="auto"/>
                  </w:divBdr>
                  <w:divsChild>
                    <w:div w:id="1465078362">
                      <w:marLeft w:val="0"/>
                      <w:marRight w:val="0"/>
                      <w:marTop w:val="0"/>
                      <w:marBottom w:val="0"/>
                      <w:divBdr>
                        <w:top w:val="none" w:sz="0" w:space="0" w:color="auto"/>
                        <w:left w:val="none" w:sz="0" w:space="0" w:color="auto"/>
                        <w:bottom w:val="none" w:sz="0" w:space="0" w:color="auto"/>
                        <w:right w:val="none" w:sz="0" w:space="0" w:color="auto"/>
                      </w:divBdr>
                    </w:div>
                  </w:divsChild>
                </w:div>
                <w:div w:id="1881934417">
                  <w:marLeft w:val="0"/>
                  <w:marRight w:val="0"/>
                  <w:marTop w:val="0"/>
                  <w:marBottom w:val="0"/>
                  <w:divBdr>
                    <w:top w:val="none" w:sz="0" w:space="0" w:color="auto"/>
                    <w:left w:val="none" w:sz="0" w:space="0" w:color="auto"/>
                    <w:bottom w:val="none" w:sz="0" w:space="0" w:color="auto"/>
                    <w:right w:val="none" w:sz="0" w:space="0" w:color="auto"/>
                  </w:divBdr>
                  <w:divsChild>
                    <w:div w:id="115653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839279">
          <w:marLeft w:val="0"/>
          <w:marRight w:val="0"/>
          <w:marTop w:val="0"/>
          <w:marBottom w:val="0"/>
          <w:divBdr>
            <w:top w:val="none" w:sz="0" w:space="0" w:color="auto"/>
            <w:left w:val="none" w:sz="0" w:space="0" w:color="auto"/>
            <w:bottom w:val="none" w:sz="0" w:space="0" w:color="auto"/>
            <w:right w:val="none" w:sz="0" w:space="0" w:color="auto"/>
          </w:divBdr>
        </w:div>
        <w:div w:id="1253198023">
          <w:marLeft w:val="0"/>
          <w:marRight w:val="0"/>
          <w:marTop w:val="0"/>
          <w:marBottom w:val="0"/>
          <w:divBdr>
            <w:top w:val="none" w:sz="0" w:space="0" w:color="auto"/>
            <w:left w:val="none" w:sz="0" w:space="0" w:color="auto"/>
            <w:bottom w:val="none" w:sz="0" w:space="0" w:color="auto"/>
            <w:right w:val="none" w:sz="0" w:space="0" w:color="auto"/>
          </w:divBdr>
          <w:divsChild>
            <w:div w:id="1032265375">
              <w:marLeft w:val="-75"/>
              <w:marRight w:val="0"/>
              <w:marTop w:val="30"/>
              <w:marBottom w:val="30"/>
              <w:divBdr>
                <w:top w:val="none" w:sz="0" w:space="0" w:color="auto"/>
                <w:left w:val="none" w:sz="0" w:space="0" w:color="auto"/>
                <w:bottom w:val="none" w:sz="0" w:space="0" w:color="auto"/>
                <w:right w:val="none" w:sz="0" w:space="0" w:color="auto"/>
              </w:divBdr>
              <w:divsChild>
                <w:div w:id="869882954">
                  <w:marLeft w:val="0"/>
                  <w:marRight w:val="0"/>
                  <w:marTop w:val="0"/>
                  <w:marBottom w:val="0"/>
                  <w:divBdr>
                    <w:top w:val="none" w:sz="0" w:space="0" w:color="auto"/>
                    <w:left w:val="none" w:sz="0" w:space="0" w:color="auto"/>
                    <w:bottom w:val="none" w:sz="0" w:space="0" w:color="auto"/>
                    <w:right w:val="none" w:sz="0" w:space="0" w:color="auto"/>
                  </w:divBdr>
                  <w:divsChild>
                    <w:div w:id="1032001996">
                      <w:marLeft w:val="0"/>
                      <w:marRight w:val="0"/>
                      <w:marTop w:val="0"/>
                      <w:marBottom w:val="0"/>
                      <w:divBdr>
                        <w:top w:val="none" w:sz="0" w:space="0" w:color="auto"/>
                        <w:left w:val="none" w:sz="0" w:space="0" w:color="auto"/>
                        <w:bottom w:val="none" w:sz="0" w:space="0" w:color="auto"/>
                        <w:right w:val="none" w:sz="0" w:space="0" w:color="auto"/>
                      </w:divBdr>
                    </w:div>
                  </w:divsChild>
                </w:div>
                <w:div w:id="1750351379">
                  <w:marLeft w:val="0"/>
                  <w:marRight w:val="0"/>
                  <w:marTop w:val="0"/>
                  <w:marBottom w:val="0"/>
                  <w:divBdr>
                    <w:top w:val="none" w:sz="0" w:space="0" w:color="auto"/>
                    <w:left w:val="none" w:sz="0" w:space="0" w:color="auto"/>
                    <w:bottom w:val="none" w:sz="0" w:space="0" w:color="auto"/>
                    <w:right w:val="none" w:sz="0" w:space="0" w:color="auto"/>
                  </w:divBdr>
                  <w:divsChild>
                    <w:div w:id="50660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202416">
          <w:marLeft w:val="0"/>
          <w:marRight w:val="0"/>
          <w:marTop w:val="0"/>
          <w:marBottom w:val="0"/>
          <w:divBdr>
            <w:top w:val="none" w:sz="0" w:space="0" w:color="auto"/>
            <w:left w:val="none" w:sz="0" w:space="0" w:color="auto"/>
            <w:bottom w:val="none" w:sz="0" w:space="0" w:color="auto"/>
            <w:right w:val="none" w:sz="0" w:space="0" w:color="auto"/>
          </w:divBdr>
        </w:div>
        <w:div w:id="926841864">
          <w:marLeft w:val="0"/>
          <w:marRight w:val="0"/>
          <w:marTop w:val="0"/>
          <w:marBottom w:val="0"/>
          <w:divBdr>
            <w:top w:val="none" w:sz="0" w:space="0" w:color="auto"/>
            <w:left w:val="none" w:sz="0" w:space="0" w:color="auto"/>
            <w:bottom w:val="none" w:sz="0" w:space="0" w:color="auto"/>
            <w:right w:val="none" w:sz="0" w:space="0" w:color="auto"/>
          </w:divBdr>
        </w:div>
        <w:div w:id="2029601939">
          <w:marLeft w:val="0"/>
          <w:marRight w:val="0"/>
          <w:marTop w:val="0"/>
          <w:marBottom w:val="0"/>
          <w:divBdr>
            <w:top w:val="none" w:sz="0" w:space="0" w:color="auto"/>
            <w:left w:val="none" w:sz="0" w:space="0" w:color="auto"/>
            <w:bottom w:val="none" w:sz="0" w:space="0" w:color="auto"/>
            <w:right w:val="none" w:sz="0" w:space="0" w:color="auto"/>
          </w:divBdr>
        </w:div>
        <w:div w:id="1713111492">
          <w:marLeft w:val="0"/>
          <w:marRight w:val="0"/>
          <w:marTop w:val="0"/>
          <w:marBottom w:val="0"/>
          <w:divBdr>
            <w:top w:val="none" w:sz="0" w:space="0" w:color="auto"/>
            <w:left w:val="none" w:sz="0" w:space="0" w:color="auto"/>
            <w:bottom w:val="none" w:sz="0" w:space="0" w:color="auto"/>
            <w:right w:val="none" w:sz="0" w:space="0" w:color="auto"/>
          </w:divBdr>
        </w:div>
        <w:div w:id="1097097468">
          <w:marLeft w:val="0"/>
          <w:marRight w:val="0"/>
          <w:marTop w:val="0"/>
          <w:marBottom w:val="0"/>
          <w:divBdr>
            <w:top w:val="none" w:sz="0" w:space="0" w:color="auto"/>
            <w:left w:val="none" w:sz="0" w:space="0" w:color="auto"/>
            <w:bottom w:val="none" w:sz="0" w:space="0" w:color="auto"/>
            <w:right w:val="none" w:sz="0" w:space="0" w:color="auto"/>
          </w:divBdr>
          <w:divsChild>
            <w:div w:id="2092576736">
              <w:marLeft w:val="-75"/>
              <w:marRight w:val="0"/>
              <w:marTop w:val="30"/>
              <w:marBottom w:val="30"/>
              <w:divBdr>
                <w:top w:val="none" w:sz="0" w:space="0" w:color="auto"/>
                <w:left w:val="none" w:sz="0" w:space="0" w:color="auto"/>
                <w:bottom w:val="none" w:sz="0" w:space="0" w:color="auto"/>
                <w:right w:val="none" w:sz="0" w:space="0" w:color="auto"/>
              </w:divBdr>
              <w:divsChild>
                <w:div w:id="1437673744">
                  <w:marLeft w:val="0"/>
                  <w:marRight w:val="0"/>
                  <w:marTop w:val="0"/>
                  <w:marBottom w:val="0"/>
                  <w:divBdr>
                    <w:top w:val="none" w:sz="0" w:space="0" w:color="auto"/>
                    <w:left w:val="none" w:sz="0" w:space="0" w:color="auto"/>
                    <w:bottom w:val="none" w:sz="0" w:space="0" w:color="auto"/>
                    <w:right w:val="none" w:sz="0" w:space="0" w:color="auto"/>
                  </w:divBdr>
                  <w:divsChild>
                    <w:div w:id="1199704467">
                      <w:marLeft w:val="0"/>
                      <w:marRight w:val="0"/>
                      <w:marTop w:val="0"/>
                      <w:marBottom w:val="0"/>
                      <w:divBdr>
                        <w:top w:val="none" w:sz="0" w:space="0" w:color="auto"/>
                        <w:left w:val="none" w:sz="0" w:space="0" w:color="auto"/>
                        <w:bottom w:val="none" w:sz="0" w:space="0" w:color="auto"/>
                        <w:right w:val="none" w:sz="0" w:space="0" w:color="auto"/>
                      </w:divBdr>
                    </w:div>
                  </w:divsChild>
                </w:div>
                <w:div w:id="1823236175">
                  <w:marLeft w:val="0"/>
                  <w:marRight w:val="0"/>
                  <w:marTop w:val="0"/>
                  <w:marBottom w:val="0"/>
                  <w:divBdr>
                    <w:top w:val="none" w:sz="0" w:space="0" w:color="auto"/>
                    <w:left w:val="none" w:sz="0" w:space="0" w:color="auto"/>
                    <w:bottom w:val="none" w:sz="0" w:space="0" w:color="auto"/>
                    <w:right w:val="none" w:sz="0" w:space="0" w:color="auto"/>
                  </w:divBdr>
                  <w:divsChild>
                    <w:div w:id="1449548169">
                      <w:marLeft w:val="0"/>
                      <w:marRight w:val="0"/>
                      <w:marTop w:val="0"/>
                      <w:marBottom w:val="0"/>
                      <w:divBdr>
                        <w:top w:val="none" w:sz="0" w:space="0" w:color="auto"/>
                        <w:left w:val="none" w:sz="0" w:space="0" w:color="auto"/>
                        <w:bottom w:val="none" w:sz="0" w:space="0" w:color="auto"/>
                        <w:right w:val="none" w:sz="0" w:space="0" w:color="auto"/>
                      </w:divBdr>
                    </w:div>
                  </w:divsChild>
                </w:div>
                <w:div w:id="2066830890">
                  <w:marLeft w:val="0"/>
                  <w:marRight w:val="0"/>
                  <w:marTop w:val="0"/>
                  <w:marBottom w:val="0"/>
                  <w:divBdr>
                    <w:top w:val="none" w:sz="0" w:space="0" w:color="auto"/>
                    <w:left w:val="none" w:sz="0" w:space="0" w:color="auto"/>
                    <w:bottom w:val="none" w:sz="0" w:space="0" w:color="auto"/>
                    <w:right w:val="none" w:sz="0" w:space="0" w:color="auto"/>
                  </w:divBdr>
                  <w:divsChild>
                    <w:div w:id="1837573810">
                      <w:marLeft w:val="0"/>
                      <w:marRight w:val="0"/>
                      <w:marTop w:val="0"/>
                      <w:marBottom w:val="0"/>
                      <w:divBdr>
                        <w:top w:val="none" w:sz="0" w:space="0" w:color="auto"/>
                        <w:left w:val="none" w:sz="0" w:space="0" w:color="auto"/>
                        <w:bottom w:val="none" w:sz="0" w:space="0" w:color="auto"/>
                        <w:right w:val="none" w:sz="0" w:space="0" w:color="auto"/>
                      </w:divBdr>
                    </w:div>
                  </w:divsChild>
                </w:div>
                <w:div w:id="862598018">
                  <w:marLeft w:val="0"/>
                  <w:marRight w:val="0"/>
                  <w:marTop w:val="0"/>
                  <w:marBottom w:val="0"/>
                  <w:divBdr>
                    <w:top w:val="none" w:sz="0" w:space="0" w:color="auto"/>
                    <w:left w:val="none" w:sz="0" w:space="0" w:color="auto"/>
                    <w:bottom w:val="none" w:sz="0" w:space="0" w:color="auto"/>
                    <w:right w:val="none" w:sz="0" w:space="0" w:color="auto"/>
                  </w:divBdr>
                  <w:divsChild>
                    <w:div w:id="781265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7130486">
          <w:marLeft w:val="0"/>
          <w:marRight w:val="0"/>
          <w:marTop w:val="0"/>
          <w:marBottom w:val="0"/>
          <w:divBdr>
            <w:top w:val="none" w:sz="0" w:space="0" w:color="auto"/>
            <w:left w:val="none" w:sz="0" w:space="0" w:color="auto"/>
            <w:bottom w:val="none" w:sz="0" w:space="0" w:color="auto"/>
            <w:right w:val="none" w:sz="0" w:space="0" w:color="auto"/>
          </w:divBdr>
        </w:div>
        <w:div w:id="77101897">
          <w:marLeft w:val="0"/>
          <w:marRight w:val="0"/>
          <w:marTop w:val="0"/>
          <w:marBottom w:val="0"/>
          <w:divBdr>
            <w:top w:val="none" w:sz="0" w:space="0" w:color="auto"/>
            <w:left w:val="none" w:sz="0" w:space="0" w:color="auto"/>
            <w:bottom w:val="none" w:sz="0" w:space="0" w:color="auto"/>
            <w:right w:val="none" w:sz="0" w:space="0" w:color="auto"/>
          </w:divBdr>
          <w:divsChild>
            <w:div w:id="207911718">
              <w:marLeft w:val="-75"/>
              <w:marRight w:val="0"/>
              <w:marTop w:val="30"/>
              <w:marBottom w:val="30"/>
              <w:divBdr>
                <w:top w:val="none" w:sz="0" w:space="0" w:color="auto"/>
                <w:left w:val="none" w:sz="0" w:space="0" w:color="auto"/>
                <w:bottom w:val="none" w:sz="0" w:space="0" w:color="auto"/>
                <w:right w:val="none" w:sz="0" w:space="0" w:color="auto"/>
              </w:divBdr>
              <w:divsChild>
                <w:div w:id="1728456931">
                  <w:marLeft w:val="0"/>
                  <w:marRight w:val="0"/>
                  <w:marTop w:val="0"/>
                  <w:marBottom w:val="0"/>
                  <w:divBdr>
                    <w:top w:val="none" w:sz="0" w:space="0" w:color="auto"/>
                    <w:left w:val="none" w:sz="0" w:space="0" w:color="auto"/>
                    <w:bottom w:val="none" w:sz="0" w:space="0" w:color="auto"/>
                    <w:right w:val="none" w:sz="0" w:space="0" w:color="auto"/>
                  </w:divBdr>
                  <w:divsChild>
                    <w:div w:id="1334838238">
                      <w:marLeft w:val="0"/>
                      <w:marRight w:val="0"/>
                      <w:marTop w:val="0"/>
                      <w:marBottom w:val="0"/>
                      <w:divBdr>
                        <w:top w:val="none" w:sz="0" w:space="0" w:color="auto"/>
                        <w:left w:val="none" w:sz="0" w:space="0" w:color="auto"/>
                        <w:bottom w:val="none" w:sz="0" w:space="0" w:color="auto"/>
                        <w:right w:val="none" w:sz="0" w:space="0" w:color="auto"/>
                      </w:divBdr>
                    </w:div>
                  </w:divsChild>
                </w:div>
                <w:div w:id="1679229970">
                  <w:marLeft w:val="0"/>
                  <w:marRight w:val="0"/>
                  <w:marTop w:val="0"/>
                  <w:marBottom w:val="0"/>
                  <w:divBdr>
                    <w:top w:val="none" w:sz="0" w:space="0" w:color="auto"/>
                    <w:left w:val="none" w:sz="0" w:space="0" w:color="auto"/>
                    <w:bottom w:val="none" w:sz="0" w:space="0" w:color="auto"/>
                    <w:right w:val="none" w:sz="0" w:space="0" w:color="auto"/>
                  </w:divBdr>
                  <w:divsChild>
                    <w:div w:id="375356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994851">
          <w:marLeft w:val="0"/>
          <w:marRight w:val="0"/>
          <w:marTop w:val="0"/>
          <w:marBottom w:val="0"/>
          <w:divBdr>
            <w:top w:val="none" w:sz="0" w:space="0" w:color="auto"/>
            <w:left w:val="none" w:sz="0" w:space="0" w:color="auto"/>
            <w:bottom w:val="none" w:sz="0" w:space="0" w:color="auto"/>
            <w:right w:val="none" w:sz="0" w:space="0" w:color="auto"/>
          </w:divBdr>
        </w:div>
        <w:div w:id="241960356">
          <w:marLeft w:val="0"/>
          <w:marRight w:val="0"/>
          <w:marTop w:val="0"/>
          <w:marBottom w:val="0"/>
          <w:divBdr>
            <w:top w:val="none" w:sz="0" w:space="0" w:color="auto"/>
            <w:left w:val="none" w:sz="0" w:space="0" w:color="auto"/>
            <w:bottom w:val="none" w:sz="0" w:space="0" w:color="auto"/>
            <w:right w:val="none" w:sz="0" w:space="0" w:color="auto"/>
          </w:divBdr>
        </w:div>
        <w:div w:id="1639259846">
          <w:marLeft w:val="0"/>
          <w:marRight w:val="0"/>
          <w:marTop w:val="0"/>
          <w:marBottom w:val="0"/>
          <w:divBdr>
            <w:top w:val="none" w:sz="0" w:space="0" w:color="auto"/>
            <w:left w:val="none" w:sz="0" w:space="0" w:color="auto"/>
            <w:bottom w:val="none" w:sz="0" w:space="0" w:color="auto"/>
            <w:right w:val="none" w:sz="0" w:space="0" w:color="auto"/>
          </w:divBdr>
        </w:div>
        <w:div w:id="341977377">
          <w:marLeft w:val="0"/>
          <w:marRight w:val="0"/>
          <w:marTop w:val="0"/>
          <w:marBottom w:val="0"/>
          <w:divBdr>
            <w:top w:val="none" w:sz="0" w:space="0" w:color="auto"/>
            <w:left w:val="none" w:sz="0" w:space="0" w:color="auto"/>
            <w:bottom w:val="none" w:sz="0" w:space="0" w:color="auto"/>
            <w:right w:val="none" w:sz="0" w:space="0" w:color="auto"/>
          </w:divBdr>
        </w:div>
        <w:div w:id="1600094101">
          <w:marLeft w:val="0"/>
          <w:marRight w:val="0"/>
          <w:marTop w:val="0"/>
          <w:marBottom w:val="0"/>
          <w:divBdr>
            <w:top w:val="none" w:sz="0" w:space="0" w:color="auto"/>
            <w:left w:val="none" w:sz="0" w:space="0" w:color="auto"/>
            <w:bottom w:val="none" w:sz="0" w:space="0" w:color="auto"/>
            <w:right w:val="none" w:sz="0" w:space="0" w:color="auto"/>
          </w:divBdr>
          <w:divsChild>
            <w:div w:id="1400900001">
              <w:marLeft w:val="-75"/>
              <w:marRight w:val="0"/>
              <w:marTop w:val="30"/>
              <w:marBottom w:val="30"/>
              <w:divBdr>
                <w:top w:val="none" w:sz="0" w:space="0" w:color="auto"/>
                <w:left w:val="none" w:sz="0" w:space="0" w:color="auto"/>
                <w:bottom w:val="none" w:sz="0" w:space="0" w:color="auto"/>
                <w:right w:val="none" w:sz="0" w:space="0" w:color="auto"/>
              </w:divBdr>
              <w:divsChild>
                <w:div w:id="1091121428">
                  <w:marLeft w:val="0"/>
                  <w:marRight w:val="0"/>
                  <w:marTop w:val="0"/>
                  <w:marBottom w:val="0"/>
                  <w:divBdr>
                    <w:top w:val="none" w:sz="0" w:space="0" w:color="auto"/>
                    <w:left w:val="none" w:sz="0" w:space="0" w:color="auto"/>
                    <w:bottom w:val="none" w:sz="0" w:space="0" w:color="auto"/>
                    <w:right w:val="none" w:sz="0" w:space="0" w:color="auto"/>
                  </w:divBdr>
                  <w:divsChild>
                    <w:div w:id="2002737313">
                      <w:marLeft w:val="0"/>
                      <w:marRight w:val="0"/>
                      <w:marTop w:val="0"/>
                      <w:marBottom w:val="0"/>
                      <w:divBdr>
                        <w:top w:val="none" w:sz="0" w:space="0" w:color="auto"/>
                        <w:left w:val="none" w:sz="0" w:space="0" w:color="auto"/>
                        <w:bottom w:val="none" w:sz="0" w:space="0" w:color="auto"/>
                        <w:right w:val="none" w:sz="0" w:space="0" w:color="auto"/>
                      </w:divBdr>
                    </w:div>
                  </w:divsChild>
                </w:div>
                <w:div w:id="866672889">
                  <w:marLeft w:val="0"/>
                  <w:marRight w:val="0"/>
                  <w:marTop w:val="0"/>
                  <w:marBottom w:val="0"/>
                  <w:divBdr>
                    <w:top w:val="none" w:sz="0" w:space="0" w:color="auto"/>
                    <w:left w:val="none" w:sz="0" w:space="0" w:color="auto"/>
                    <w:bottom w:val="none" w:sz="0" w:space="0" w:color="auto"/>
                    <w:right w:val="none" w:sz="0" w:space="0" w:color="auto"/>
                  </w:divBdr>
                  <w:divsChild>
                    <w:div w:id="1971519756">
                      <w:marLeft w:val="0"/>
                      <w:marRight w:val="0"/>
                      <w:marTop w:val="0"/>
                      <w:marBottom w:val="0"/>
                      <w:divBdr>
                        <w:top w:val="none" w:sz="0" w:space="0" w:color="auto"/>
                        <w:left w:val="none" w:sz="0" w:space="0" w:color="auto"/>
                        <w:bottom w:val="none" w:sz="0" w:space="0" w:color="auto"/>
                        <w:right w:val="none" w:sz="0" w:space="0" w:color="auto"/>
                      </w:divBdr>
                    </w:div>
                  </w:divsChild>
                </w:div>
                <w:div w:id="599720890">
                  <w:marLeft w:val="0"/>
                  <w:marRight w:val="0"/>
                  <w:marTop w:val="0"/>
                  <w:marBottom w:val="0"/>
                  <w:divBdr>
                    <w:top w:val="none" w:sz="0" w:space="0" w:color="auto"/>
                    <w:left w:val="none" w:sz="0" w:space="0" w:color="auto"/>
                    <w:bottom w:val="none" w:sz="0" w:space="0" w:color="auto"/>
                    <w:right w:val="none" w:sz="0" w:space="0" w:color="auto"/>
                  </w:divBdr>
                  <w:divsChild>
                    <w:div w:id="1654063972">
                      <w:marLeft w:val="0"/>
                      <w:marRight w:val="0"/>
                      <w:marTop w:val="0"/>
                      <w:marBottom w:val="0"/>
                      <w:divBdr>
                        <w:top w:val="none" w:sz="0" w:space="0" w:color="auto"/>
                        <w:left w:val="none" w:sz="0" w:space="0" w:color="auto"/>
                        <w:bottom w:val="none" w:sz="0" w:space="0" w:color="auto"/>
                        <w:right w:val="none" w:sz="0" w:space="0" w:color="auto"/>
                      </w:divBdr>
                    </w:div>
                  </w:divsChild>
                </w:div>
                <w:div w:id="1160584331">
                  <w:marLeft w:val="0"/>
                  <w:marRight w:val="0"/>
                  <w:marTop w:val="0"/>
                  <w:marBottom w:val="0"/>
                  <w:divBdr>
                    <w:top w:val="none" w:sz="0" w:space="0" w:color="auto"/>
                    <w:left w:val="none" w:sz="0" w:space="0" w:color="auto"/>
                    <w:bottom w:val="none" w:sz="0" w:space="0" w:color="auto"/>
                    <w:right w:val="none" w:sz="0" w:space="0" w:color="auto"/>
                  </w:divBdr>
                  <w:divsChild>
                    <w:div w:id="262996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698623">
          <w:marLeft w:val="0"/>
          <w:marRight w:val="0"/>
          <w:marTop w:val="0"/>
          <w:marBottom w:val="0"/>
          <w:divBdr>
            <w:top w:val="none" w:sz="0" w:space="0" w:color="auto"/>
            <w:left w:val="none" w:sz="0" w:space="0" w:color="auto"/>
            <w:bottom w:val="none" w:sz="0" w:space="0" w:color="auto"/>
            <w:right w:val="none" w:sz="0" w:space="0" w:color="auto"/>
          </w:divBdr>
        </w:div>
        <w:div w:id="1300958237">
          <w:marLeft w:val="0"/>
          <w:marRight w:val="0"/>
          <w:marTop w:val="0"/>
          <w:marBottom w:val="0"/>
          <w:divBdr>
            <w:top w:val="none" w:sz="0" w:space="0" w:color="auto"/>
            <w:left w:val="none" w:sz="0" w:space="0" w:color="auto"/>
            <w:bottom w:val="none" w:sz="0" w:space="0" w:color="auto"/>
            <w:right w:val="none" w:sz="0" w:space="0" w:color="auto"/>
          </w:divBdr>
          <w:divsChild>
            <w:div w:id="1083798021">
              <w:marLeft w:val="-75"/>
              <w:marRight w:val="0"/>
              <w:marTop w:val="30"/>
              <w:marBottom w:val="30"/>
              <w:divBdr>
                <w:top w:val="none" w:sz="0" w:space="0" w:color="auto"/>
                <w:left w:val="none" w:sz="0" w:space="0" w:color="auto"/>
                <w:bottom w:val="none" w:sz="0" w:space="0" w:color="auto"/>
                <w:right w:val="none" w:sz="0" w:space="0" w:color="auto"/>
              </w:divBdr>
              <w:divsChild>
                <w:div w:id="261913413">
                  <w:marLeft w:val="0"/>
                  <w:marRight w:val="0"/>
                  <w:marTop w:val="0"/>
                  <w:marBottom w:val="0"/>
                  <w:divBdr>
                    <w:top w:val="none" w:sz="0" w:space="0" w:color="auto"/>
                    <w:left w:val="none" w:sz="0" w:space="0" w:color="auto"/>
                    <w:bottom w:val="none" w:sz="0" w:space="0" w:color="auto"/>
                    <w:right w:val="none" w:sz="0" w:space="0" w:color="auto"/>
                  </w:divBdr>
                  <w:divsChild>
                    <w:div w:id="1152411509">
                      <w:marLeft w:val="0"/>
                      <w:marRight w:val="0"/>
                      <w:marTop w:val="0"/>
                      <w:marBottom w:val="0"/>
                      <w:divBdr>
                        <w:top w:val="none" w:sz="0" w:space="0" w:color="auto"/>
                        <w:left w:val="none" w:sz="0" w:space="0" w:color="auto"/>
                        <w:bottom w:val="none" w:sz="0" w:space="0" w:color="auto"/>
                        <w:right w:val="none" w:sz="0" w:space="0" w:color="auto"/>
                      </w:divBdr>
                    </w:div>
                  </w:divsChild>
                </w:div>
                <w:div w:id="774710644">
                  <w:marLeft w:val="0"/>
                  <w:marRight w:val="0"/>
                  <w:marTop w:val="0"/>
                  <w:marBottom w:val="0"/>
                  <w:divBdr>
                    <w:top w:val="none" w:sz="0" w:space="0" w:color="auto"/>
                    <w:left w:val="none" w:sz="0" w:space="0" w:color="auto"/>
                    <w:bottom w:val="none" w:sz="0" w:space="0" w:color="auto"/>
                    <w:right w:val="none" w:sz="0" w:space="0" w:color="auto"/>
                  </w:divBdr>
                  <w:divsChild>
                    <w:div w:id="815991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242021">
          <w:marLeft w:val="0"/>
          <w:marRight w:val="0"/>
          <w:marTop w:val="0"/>
          <w:marBottom w:val="0"/>
          <w:divBdr>
            <w:top w:val="none" w:sz="0" w:space="0" w:color="auto"/>
            <w:left w:val="none" w:sz="0" w:space="0" w:color="auto"/>
            <w:bottom w:val="none" w:sz="0" w:space="0" w:color="auto"/>
            <w:right w:val="none" w:sz="0" w:space="0" w:color="auto"/>
          </w:divBdr>
          <w:divsChild>
            <w:div w:id="306782878">
              <w:marLeft w:val="0"/>
              <w:marRight w:val="0"/>
              <w:marTop w:val="0"/>
              <w:marBottom w:val="0"/>
              <w:divBdr>
                <w:top w:val="none" w:sz="0" w:space="0" w:color="auto"/>
                <w:left w:val="none" w:sz="0" w:space="0" w:color="auto"/>
                <w:bottom w:val="none" w:sz="0" w:space="0" w:color="auto"/>
                <w:right w:val="none" w:sz="0" w:space="0" w:color="auto"/>
              </w:divBdr>
            </w:div>
            <w:div w:id="225604204">
              <w:marLeft w:val="0"/>
              <w:marRight w:val="0"/>
              <w:marTop w:val="0"/>
              <w:marBottom w:val="0"/>
              <w:divBdr>
                <w:top w:val="none" w:sz="0" w:space="0" w:color="auto"/>
                <w:left w:val="none" w:sz="0" w:space="0" w:color="auto"/>
                <w:bottom w:val="none" w:sz="0" w:space="0" w:color="auto"/>
                <w:right w:val="none" w:sz="0" w:space="0" w:color="auto"/>
              </w:divBdr>
            </w:div>
            <w:div w:id="836308734">
              <w:marLeft w:val="0"/>
              <w:marRight w:val="0"/>
              <w:marTop w:val="0"/>
              <w:marBottom w:val="0"/>
              <w:divBdr>
                <w:top w:val="none" w:sz="0" w:space="0" w:color="auto"/>
                <w:left w:val="none" w:sz="0" w:space="0" w:color="auto"/>
                <w:bottom w:val="none" w:sz="0" w:space="0" w:color="auto"/>
                <w:right w:val="none" w:sz="0" w:space="0" w:color="auto"/>
              </w:divBdr>
            </w:div>
            <w:div w:id="846529254">
              <w:marLeft w:val="0"/>
              <w:marRight w:val="0"/>
              <w:marTop w:val="0"/>
              <w:marBottom w:val="0"/>
              <w:divBdr>
                <w:top w:val="none" w:sz="0" w:space="0" w:color="auto"/>
                <w:left w:val="none" w:sz="0" w:space="0" w:color="auto"/>
                <w:bottom w:val="none" w:sz="0" w:space="0" w:color="auto"/>
                <w:right w:val="none" w:sz="0" w:space="0" w:color="auto"/>
              </w:divBdr>
            </w:div>
            <w:div w:id="948044886">
              <w:marLeft w:val="0"/>
              <w:marRight w:val="0"/>
              <w:marTop w:val="0"/>
              <w:marBottom w:val="0"/>
              <w:divBdr>
                <w:top w:val="none" w:sz="0" w:space="0" w:color="auto"/>
                <w:left w:val="none" w:sz="0" w:space="0" w:color="auto"/>
                <w:bottom w:val="none" w:sz="0" w:space="0" w:color="auto"/>
                <w:right w:val="none" w:sz="0" w:space="0" w:color="auto"/>
              </w:divBdr>
            </w:div>
            <w:div w:id="1751003382">
              <w:marLeft w:val="0"/>
              <w:marRight w:val="0"/>
              <w:marTop w:val="0"/>
              <w:marBottom w:val="0"/>
              <w:divBdr>
                <w:top w:val="none" w:sz="0" w:space="0" w:color="auto"/>
                <w:left w:val="none" w:sz="0" w:space="0" w:color="auto"/>
                <w:bottom w:val="none" w:sz="0" w:space="0" w:color="auto"/>
                <w:right w:val="none" w:sz="0" w:space="0" w:color="auto"/>
              </w:divBdr>
            </w:div>
            <w:div w:id="1821388102">
              <w:marLeft w:val="0"/>
              <w:marRight w:val="0"/>
              <w:marTop w:val="0"/>
              <w:marBottom w:val="0"/>
              <w:divBdr>
                <w:top w:val="none" w:sz="0" w:space="0" w:color="auto"/>
                <w:left w:val="none" w:sz="0" w:space="0" w:color="auto"/>
                <w:bottom w:val="none" w:sz="0" w:space="0" w:color="auto"/>
                <w:right w:val="none" w:sz="0" w:space="0" w:color="auto"/>
              </w:divBdr>
            </w:div>
            <w:div w:id="1496149060">
              <w:marLeft w:val="0"/>
              <w:marRight w:val="0"/>
              <w:marTop w:val="0"/>
              <w:marBottom w:val="0"/>
              <w:divBdr>
                <w:top w:val="none" w:sz="0" w:space="0" w:color="auto"/>
                <w:left w:val="none" w:sz="0" w:space="0" w:color="auto"/>
                <w:bottom w:val="none" w:sz="0" w:space="0" w:color="auto"/>
                <w:right w:val="none" w:sz="0" w:space="0" w:color="auto"/>
              </w:divBdr>
            </w:div>
            <w:div w:id="67003743">
              <w:marLeft w:val="0"/>
              <w:marRight w:val="0"/>
              <w:marTop w:val="0"/>
              <w:marBottom w:val="0"/>
              <w:divBdr>
                <w:top w:val="none" w:sz="0" w:space="0" w:color="auto"/>
                <w:left w:val="none" w:sz="0" w:space="0" w:color="auto"/>
                <w:bottom w:val="none" w:sz="0" w:space="0" w:color="auto"/>
                <w:right w:val="none" w:sz="0" w:space="0" w:color="auto"/>
              </w:divBdr>
            </w:div>
            <w:div w:id="579826640">
              <w:marLeft w:val="0"/>
              <w:marRight w:val="0"/>
              <w:marTop w:val="0"/>
              <w:marBottom w:val="0"/>
              <w:divBdr>
                <w:top w:val="none" w:sz="0" w:space="0" w:color="auto"/>
                <w:left w:val="none" w:sz="0" w:space="0" w:color="auto"/>
                <w:bottom w:val="none" w:sz="0" w:space="0" w:color="auto"/>
                <w:right w:val="none" w:sz="0" w:space="0" w:color="auto"/>
              </w:divBdr>
            </w:div>
            <w:div w:id="1611626738">
              <w:marLeft w:val="0"/>
              <w:marRight w:val="0"/>
              <w:marTop w:val="0"/>
              <w:marBottom w:val="0"/>
              <w:divBdr>
                <w:top w:val="none" w:sz="0" w:space="0" w:color="auto"/>
                <w:left w:val="none" w:sz="0" w:space="0" w:color="auto"/>
                <w:bottom w:val="none" w:sz="0" w:space="0" w:color="auto"/>
                <w:right w:val="none" w:sz="0" w:space="0" w:color="auto"/>
              </w:divBdr>
            </w:div>
            <w:div w:id="89785285">
              <w:marLeft w:val="0"/>
              <w:marRight w:val="0"/>
              <w:marTop w:val="0"/>
              <w:marBottom w:val="0"/>
              <w:divBdr>
                <w:top w:val="none" w:sz="0" w:space="0" w:color="auto"/>
                <w:left w:val="none" w:sz="0" w:space="0" w:color="auto"/>
                <w:bottom w:val="none" w:sz="0" w:space="0" w:color="auto"/>
                <w:right w:val="none" w:sz="0" w:space="0" w:color="auto"/>
              </w:divBdr>
            </w:div>
            <w:div w:id="728381547">
              <w:marLeft w:val="0"/>
              <w:marRight w:val="0"/>
              <w:marTop w:val="0"/>
              <w:marBottom w:val="0"/>
              <w:divBdr>
                <w:top w:val="none" w:sz="0" w:space="0" w:color="auto"/>
                <w:left w:val="none" w:sz="0" w:space="0" w:color="auto"/>
                <w:bottom w:val="none" w:sz="0" w:space="0" w:color="auto"/>
                <w:right w:val="none" w:sz="0" w:space="0" w:color="auto"/>
              </w:divBdr>
            </w:div>
            <w:div w:id="2075007407">
              <w:marLeft w:val="0"/>
              <w:marRight w:val="0"/>
              <w:marTop w:val="0"/>
              <w:marBottom w:val="0"/>
              <w:divBdr>
                <w:top w:val="none" w:sz="0" w:space="0" w:color="auto"/>
                <w:left w:val="none" w:sz="0" w:space="0" w:color="auto"/>
                <w:bottom w:val="none" w:sz="0" w:space="0" w:color="auto"/>
                <w:right w:val="none" w:sz="0" w:space="0" w:color="auto"/>
              </w:divBdr>
            </w:div>
            <w:div w:id="1309506821">
              <w:marLeft w:val="0"/>
              <w:marRight w:val="0"/>
              <w:marTop w:val="0"/>
              <w:marBottom w:val="0"/>
              <w:divBdr>
                <w:top w:val="none" w:sz="0" w:space="0" w:color="auto"/>
                <w:left w:val="none" w:sz="0" w:space="0" w:color="auto"/>
                <w:bottom w:val="none" w:sz="0" w:space="0" w:color="auto"/>
                <w:right w:val="none" w:sz="0" w:space="0" w:color="auto"/>
              </w:divBdr>
            </w:div>
            <w:div w:id="1317487884">
              <w:marLeft w:val="0"/>
              <w:marRight w:val="0"/>
              <w:marTop w:val="0"/>
              <w:marBottom w:val="0"/>
              <w:divBdr>
                <w:top w:val="none" w:sz="0" w:space="0" w:color="auto"/>
                <w:left w:val="none" w:sz="0" w:space="0" w:color="auto"/>
                <w:bottom w:val="none" w:sz="0" w:space="0" w:color="auto"/>
                <w:right w:val="none" w:sz="0" w:space="0" w:color="auto"/>
              </w:divBdr>
            </w:div>
            <w:div w:id="2019650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57162">
      <w:bodyDiv w:val="1"/>
      <w:marLeft w:val="0"/>
      <w:marRight w:val="0"/>
      <w:marTop w:val="0"/>
      <w:marBottom w:val="0"/>
      <w:divBdr>
        <w:top w:val="none" w:sz="0" w:space="0" w:color="auto"/>
        <w:left w:val="none" w:sz="0" w:space="0" w:color="auto"/>
        <w:bottom w:val="none" w:sz="0" w:space="0" w:color="auto"/>
        <w:right w:val="none" w:sz="0" w:space="0" w:color="auto"/>
      </w:divBdr>
    </w:div>
    <w:div w:id="183982903">
      <w:bodyDiv w:val="1"/>
      <w:marLeft w:val="0"/>
      <w:marRight w:val="0"/>
      <w:marTop w:val="0"/>
      <w:marBottom w:val="0"/>
      <w:divBdr>
        <w:top w:val="none" w:sz="0" w:space="0" w:color="auto"/>
        <w:left w:val="none" w:sz="0" w:space="0" w:color="auto"/>
        <w:bottom w:val="none" w:sz="0" w:space="0" w:color="auto"/>
        <w:right w:val="none" w:sz="0" w:space="0" w:color="auto"/>
      </w:divBdr>
    </w:div>
    <w:div w:id="223638641">
      <w:bodyDiv w:val="1"/>
      <w:marLeft w:val="0"/>
      <w:marRight w:val="0"/>
      <w:marTop w:val="0"/>
      <w:marBottom w:val="0"/>
      <w:divBdr>
        <w:top w:val="none" w:sz="0" w:space="0" w:color="auto"/>
        <w:left w:val="none" w:sz="0" w:space="0" w:color="auto"/>
        <w:bottom w:val="none" w:sz="0" w:space="0" w:color="auto"/>
        <w:right w:val="none" w:sz="0" w:space="0" w:color="auto"/>
      </w:divBdr>
    </w:div>
    <w:div w:id="230194187">
      <w:bodyDiv w:val="1"/>
      <w:marLeft w:val="0"/>
      <w:marRight w:val="0"/>
      <w:marTop w:val="0"/>
      <w:marBottom w:val="0"/>
      <w:divBdr>
        <w:top w:val="none" w:sz="0" w:space="0" w:color="auto"/>
        <w:left w:val="none" w:sz="0" w:space="0" w:color="auto"/>
        <w:bottom w:val="none" w:sz="0" w:space="0" w:color="auto"/>
        <w:right w:val="none" w:sz="0" w:space="0" w:color="auto"/>
      </w:divBdr>
    </w:div>
    <w:div w:id="239339586">
      <w:bodyDiv w:val="1"/>
      <w:marLeft w:val="0"/>
      <w:marRight w:val="0"/>
      <w:marTop w:val="0"/>
      <w:marBottom w:val="0"/>
      <w:divBdr>
        <w:top w:val="none" w:sz="0" w:space="0" w:color="auto"/>
        <w:left w:val="none" w:sz="0" w:space="0" w:color="auto"/>
        <w:bottom w:val="none" w:sz="0" w:space="0" w:color="auto"/>
        <w:right w:val="none" w:sz="0" w:space="0" w:color="auto"/>
      </w:divBdr>
    </w:div>
    <w:div w:id="302927604">
      <w:bodyDiv w:val="1"/>
      <w:marLeft w:val="0"/>
      <w:marRight w:val="0"/>
      <w:marTop w:val="0"/>
      <w:marBottom w:val="0"/>
      <w:divBdr>
        <w:top w:val="none" w:sz="0" w:space="0" w:color="auto"/>
        <w:left w:val="none" w:sz="0" w:space="0" w:color="auto"/>
        <w:bottom w:val="none" w:sz="0" w:space="0" w:color="auto"/>
        <w:right w:val="none" w:sz="0" w:space="0" w:color="auto"/>
      </w:divBdr>
    </w:div>
    <w:div w:id="370761660">
      <w:bodyDiv w:val="1"/>
      <w:marLeft w:val="0"/>
      <w:marRight w:val="0"/>
      <w:marTop w:val="0"/>
      <w:marBottom w:val="0"/>
      <w:divBdr>
        <w:top w:val="none" w:sz="0" w:space="0" w:color="auto"/>
        <w:left w:val="none" w:sz="0" w:space="0" w:color="auto"/>
        <w:bottom w:val="none" w:sz="0" w:space="0" w:color="auto"/>
        <w:right w:val="none" w:sz="0" w:space="0" w:color="auto"/>
      </w:divBdr>
    </w:div>
    <w:div w:id="397172266">
      <w:bodyDiv w:val="1"/>
      <w:marLeft w:val="0"/>
      <w:marRight w:val="0"/>
      <w:marTop w:val="0"/>
      <w:marBottom w:val="0"/>
      <w:divBdr>
        <w:top w:val="none" w:sz="0" w:space="0" w:color="auto"/>
        <w:left w:val="none" w:sz="0" w:space="0" w:color="auto"/>
        <w:bottom w:val="none" w:sz="0" w:space="0" w:color="auto"/>
        <w:right w:val="none" w:sz="0" w:space="0" w:color="auto"/>
      </w:divBdr>
    </w:div>
    <w:div w:id="436950852">
      <w:bodyDiv w:val="1"/>
      <w:marLeft w:val="0"/>
      <w:marRight w:val="0"/>
      <w:marTop w:val="0"/>
      <w:marBottom w:val="0"/>
      <w:divBdr>
        <w:top w:val="none" w:sz="0" w:space="0" w:color="auto"/>
        <w:left w:val="none" w:sz="0" w:space="0" w:color="auto"/>
        <w:bottom w:val="none" w:sz="0" w:space="0" w:color="auto"/>
        <w:right w:val="none" w:sz="0" w:space="0" w:color="auto"/>
      </w:divBdr>
      <w:divsChild>
        <w:div w:id="1219440805">
          <w:marLeft w:val="0"/>
          <w:marRight w:val="0"/>
          <w:marTop w:val="0"/>
          <w:marBottom w:val="0"/>
          <w:divBdr>
            <w:top w:val="none" w:sz="0" w:space="0" w:color="auto"/>
            <w:left w:val="none" w:sz="0" w:space="0" w:color="auto"/>
            <w:bottom w:val="none" w:sz="0" w:space="0" w:color="auto"/>
            <w:right w:val="none" w:sz="0" w:space="0" w:color="auto"/>
          </w:divBdr>
        </w:div>
        <w:div w:id="944188944">
          <w:marLeft w:val="0"/>
          <w:marRight w:val="0"/>
          <w:marTop w:val="0"/>
          <w:marBottom w:val="0"/>
          <w:divBdr>
            <w:top w:val="none" w:sz="0" w:space="0" w:color="auto"/>
            <w:left w:val="none" w:sz="0" w:space="0" w:color="auto"/>
            <w:bottom w:val="none" w:sz="0" w:space="0" w:color="auto"/>
            <w:right w:val="none" w:sz="0" w:space="0" w:color="auto"/>
          </w:divBdr>
        </w:div>
        <w:div w:id="796874719">
          <w:marLeft w:val="0"/>
          <w:marRight w:val="0"/>
          <w:marTop w:val="0"/>
          <w:marBottom w:val="0"/>
          <w:divBdr>
            <w:top w:val="none" w:sz="0" w:space="0" w:color="auto"/>
            <w:left w:val="none" w:sz="0" w:space="0" w:color="auto"/>
            <w:bottom w:val="none" w:sz="0" w:space="0" w:color="auto"/>
            <w:right w:val="none" w:sz="0" w:space="0" w:color="auto"/>
          </w:divBdr>
        </w:div>
        <w:div w:id="683095631">
          <w:marLeft w:val="0"/>
          <w:marRight w:val="0"/>
          <w:marTop w:val="0"/>
          <w:marBottom w:val="0"/>
          <w:divBdr>
            <w:top w:val="none" w:sz="0" w:space="0" w:color="auto"/>
            <w:left w:val="none" w:sz="0" w:space="0" w:color="auto"/>
            <w:bottom w:val="none" w:sz="0" w:space="0" w:color="auto"/>
            <w:right w:val="none" w:sz="0" w:space="0" w:color="auto"/>
          </w:divBdr>
        </w:div>
      </w:divsChild>
    </w:div>
    <w:div w:id="462504900">
      <w:bodyDiv w:val="1"/>
      <w:marLeft w:val="0"/>
      <w:marRight w:val="0"/>
      <w:marTop w:val="0"/>
      <w:marBottom w:val="0"/>
      <w:divBdr>
        <w:top w:val="none" w:sz="0" w:space="0" w:color="auto"/>
        <w:left w:val="none" w:sz="0" w:space="0" w:color="auto"/>
        <w:bottom w:val="none" w:sz="0" w:space="0" w:color="auto"/>
        <w:right w:val="none" w:sz="0" w:space="0" w:color="auto"/>
      </w:divBdr>
    </w:div>
    <w:div w:id="472334041">
      <w:bodyDiv w:val="1"/>
      <w:marLeft w:val="0"/>
      <w:marRight w:val="0"/>
      <w:marTop w:val="0"/>
      <w:marBottom w:val="0"/>
      <w:divBdr>
        <w:top w:val="none" w:sz="0" w:space="0" w:color="auto"/>
        <w:left w:val="none" w:sz="0" w:space="0" w:color="auto"/>
        <w:bottom w:val="none" w:sz="0" w:space="0" w:color="auto"/>
        <w:right w:val="none" w:sz="0" w:space="0" w:color="auto"/>
      </w:divBdr>
    </w:div>
    <w:div w:id="478115149">
      <w:bodyDiv w:val="1"/>
      <w:marLeft w:val="0"/>
      <w:marRight w:val="0"/>
      <w:marTop w:val="0"/>
      <w:marBottom w:val="0"/>
      <w:divBdr>
        <w:top w:val="none" w:sz="0" w:space="0" w:color="auto"/>
        <w:left w:val="none" w:sz="0" w:space="0" w:color="auto"/>
        <w:bottom w:val="none" w:sz="0" w:space="0" w:color="auto"/>
        <w:right w:val="none" w:sz="0" w:space="0" w:color="auto"/>
      </w:divBdr>
    </w:div>
    <w:div w:id="498543433">
      <w:bodyDiv w:val="1"/>
      <w:marLeft w:val="0"/>
      <w:marRight w:val="0"/>
      <w:marTop w:val="0"/>
      <w:marBottom w:val="0"/>
      <w:divBdr>
        <w:top w:val="none" w:sz="0" w:space="0" w:color="auto"/>
        <w:left w:val="none" w:sz="0" w:space="0" w:color="auto"/>
        <w:bottom w:val="none" w:sz="0" w:space="0" w:color="auto"/>
        <w:right w:val="none" w:sz="0" w:space="0" w:color="auto"/>
      </w:divBdr>
    </w:div>
    <w:div w:id="634991978">
      <w:bodyDiv w:val="1"/>
      <w:marLeft w:val="0"/>
      <w:marRight w:val="0"/>
      <w:marTop w:val="0"/>
      <w:marBottom w:val="0"/>
      <w:divBdr>
        <w:top w:val="none" w:sz="0" w:space="0" w:color="auto"/>
        <w:left w:val="none" w:sz="0" w:space="0" w:color="auto"/>
        <w:bottom w:val="none" w:sz="0" w:space="0" w:color="auto"/>
        <w:right w:val="none" w:sz="0" w:space="0" w:color="auto"/>
      </w:divBdr>
    </w:div>
    <w:div w:id="657348643">
      <w:bodyDiv w:val="1"/>
      <w:marLeft w:val="0"/>
      <w:marRight w:val="0"/>
      <w:marTop w:val="0"/>
      <w:marBottom w:val="0"/>
      <w:divBdr>
        <w:top w:val="none" w:sz="0" w:space="0" w:color="auto"/>
        <w:left w:val="none" w:sz="0" w:space="0" w:color="auto"/>
        <w:bottom w:val="none" w:sz="0" w:space="0" w:color="auto"/>
        <w:right w:val="none" w:sz="0" w:space="0" w:color="auto"/>
      </w:divBdr>
    </w:div>
    <w:div w:id="672949853">
      <w:bodyDiv w:val="1"/>
      <w:marLeft w:val="0"/>
      <w:marRight w:val="0"/>
      <w:marTop w:val="0"/>
      <w:marBottom w:val="0"/>
      <w:divBdr>
        <w:top w:val="none" w:sz="0" w:space="0" w:color="auto"/>
        <w:left w:val="none" w:sz="0" w:space="0" w:color="auto"/>
        <w:bottom w:val="none" w:sz="0" w:space="0" w:color="auto"/>
        <w:right w:val="none" w:sz="0" w:space="0" w:color="auto"/>
      </w:divBdr>
    </w:div>
    <w:div w:id="719675686">
      <w:bodyDiv w:val="1"/>
      <w:marLeft w:val="0"/>
      <w:marRight w:val="0"/>
      <w:marTop w:val="0"/>
      <w:marBottom w:val="0"/>
      <w:divBdr>
        <w:top w:val="none" w:sz="0" w:space="0" w:color="auto"/>
        <w:left w:val="none" w:sz="0" w:space="0" w:color="auto"/>
        <w:bottom w:val="none" w:sz="0" w:space="0" w:color="auto"/>
        <w:right w:val="none" w:sz="0" w:space="0" w:color="auto"/>
      </w:divBdr>
    </w:div>
    <w:div w:id="742411855">
      <w:bodyDiv w:val="1"/>
      <w:marLeft w:val="0"/>
      <w:marRight w:val="0"/>
      <w:marTop w:val="0"/>
      <w:marBottom w:val="0"/>
      <w:divBdr>
        <w:top w:val="none" w:sz="0" w:space="0" w:color="auto"/>
        <w:left w:val="none" w:sz="0" w:space="0" w:color="auto"/>
        <w:bottom w:val="none" w:sz="0" w:space="0" w:color="auto"/>
        <w:right w:val="none" w:sz="0" w:space="0" w:color="auto"/>
      </w:divBdr>
    </w:div>
    <w:div w:id="872576705">
      <w:bodyDiv w:val="1"/>
      <w:marLeft w:val="0"/>
      <w:marRight w:val="0"/>
      <w:marTop w:val="0"/>
      <w:marBottom w:val="0"/>
      <w:divBdr>
        <w:top w:val="none" w:sz="0" w:space="0" w:color="auto"/>
        <w:left w:val="none" w:sz="0" w:space="0" w:color="auto"/>
        <w:bottom w:val="none" w:sz="0" w:space="0" w:color="auto"/>
        <w:right w:val="none" w:sz="0" w:space="0" w:color="auto"/>
      </w:divBdr>
    </w:div>
    <w:div w:id="955719985">
      <w:bodyDiv w:val="1"/>
      <w:marLeft w:val="0"/>
      <w:marRight w:val="0"/>
      <w:marTop w:val="0"/>
      <w:marBottom w:val="0"/>
      <w:divBdr>
        <w:top w:val="none" w:sz="0" w:space="0" w:color="auto"/>
        <w:left w:val="none" w:sz="0" w:space="0" w:color="auto"/>
        <w:bottom w:val="none" w:sz="0" w:space="0" w:color="auto"/>
        <w:right w:val="none" w:sz="0" w:space="0" w:color="auto"/>
      </w:divBdr>
    </w:div>
    <w:div w:id="977301004">
      <w:bodyDiv w:val="1"/>
      <w:marLeft w:val="0"/>
      <w:marRight w:val="0"/>
      <w:marTop w:val="0"/>
      <w:marBottom w:val="0"/>
      <w:divBdr>
        <w:top w:val="none" w:sz="0" w:space="0" w:color="auto"/>
        <w:left w:val="none" w:sz="0" w:space="0" w:color="auto"/>
        <w:bottom w:val="none" w:sz="0" w:space="0" w:color="auto"/>
        <w:right w:val="none" w:sz="0" w:space="0" w:color="auto"/>
      </w:divBdr>
    </w:div>
    <w:div w:id="983853935">
      <w:bodyDiv w:val="1"/>
      <w:marLeft w:val="0"/>
      <w:marRight w:val="0"/>
      <w:marTop w:val="0"/>
      <w:marBottom w:val="0"/>
      <w:divBdr>
        <w:top w:val="none" w:sz="0" w:space="0" w:color="auto"/>
        <w:left w:val="none" w:sz="0" w:space="0" w:color="auto"/>
        <w:bottom w:val="none" w:sz="0" w:space="0" w:color="auto"/>
        <w:right w:val="none" w:sz="0" w:space="0" w:color="auto"/>
      </w:divBdr>
    </w:div>
    <w:div w:id="1008218334">
      <w:bodyDiv w:val="1"/>
      <w:marLeft w:val="0"/>
      <w:marRight w:val="0"/>
      <w:marTop w:val="0"/>
      <w:marBottom w:val="0"/>
      <w:divBdr>
        <w:top w:val="none" w:sz="0" w:space="0" w:color="auto"/>
        <w:left w:val="none" w:sz="0" w:space="0" w:color="auto"/>
        <w:bottom w:val="none" w:sz="0" w:space="0" w:color="auto"/>
        <w:right w:val="none" w:sz="0" w:space="0" w:color="auto"/>
      </w:divBdr>
    </w:div>
    <w:div w:id="1090200469">
      <w:bodyDiv w:val="1"/>
      <w:marLeft w:val="0"/>
      <w:marRight w:val="0"/>
      <w:marTop w:val="0"/>
      <w:marBottom w:val="0"/>
      <w:divBdr>
        <w:top w:val="none" w:sz="0" w:space="0" w:color="auto"/>
        <w:left w:val="none" w:sz="0" w:space="0" w:color="auto"/>
        <w:bottom w:val="none" w:sz="0" w:space="0" w:color="auto"/>
        <w:right w:val="none" w:sz="0" w:space="0" w:color="auto"/>
      </w:divBdr>
    </w:div>
    <w:div w:id="1131242432">
      <w:bodyDiv w:val="1"/>
      <w:marLeft w:val="0"/>
      <w:marRight w:val="0"/>
      <w:marTop w:val="0"/>
      <w:marBottom w:val="0"/>
      <w:divBdr>
        <w:top w:val="none" w:sz="0" w:space="0" w:color="auto"/>
        <w:left w:val="none" w:sz="0" w:space="0" w:color="auto"/>
        <w:bottom w:val="none" w:sz="0" w:space="0" w:color="auto"/>
        <w:right w:val="none" w:sz="0" w:space="0" w:color="auto"/>
      </w:divBdr>
    </w:div>
    <w:div w:id="1170869497">
      <w:bodyDiv w:val="1"/>
      <w:marLeft w:val="0"/>
      <w:marRight w:val="0"/>
      <w:marTop w:val="0"/>
      <w:marBottom w:val="0"/>
      <w:divBdr>
        <w:top w:val="none" w:sz="0" w:space="0" w:color="auto"/>
        <w:left w:val="none" w:sz="0" w:space="0" w:color="auto"/>
        <w:bottom w:val="none" w:sz="0" w:space="0" w:color="auto"/>
        <w:right w:val="none" w:sz="0" w:space="0" w:color="auto"/>
      </w:divBdr>
    </w:div>
    <w:div w:id="1180776432">
      <w:bodyDiv w:val="1"/>
      <w:marLeft w:val="0"/>
      <w:marRight w:val="0"/>
      <w:marTop w:val="0"/>
      <w:marBottom w:val="0"/>
      <w:divBdr>
        <w:top w:val="none" w:sz="0" w:space="0" w:color="auto"/>
        <w:left w:val="none" w:sz="0" w:space="0" w:color="auto"/>
        <w:bottom w:val="none" w:sz="0" w:space="0" w:color="auto"/>
        <w:right w:val="none" w:sz="0" w:space="0" w:color="auto"/>
      </w:divBdr>
    </w:div>
    <w:div w:id="1263803455">
      <w:bodyDiv w:val="1"/>
      <w:marLeft w:val="0"/>
      <w:marRight w:val="0"/>
      <w:marTop w:val="0"/>
      <w:marBottom w:val="0"/>
      <w:divBdr>
        <w:top w:val="none" w:sz="0" w:space="0" w:color="auto"/>
        <w:left w:val="none" w:sz="0" w:space="0" w:color="auto"/>
        <w:bottom w:val="none" w:sz="0" w:space="0" w:color="auto"/>
        <w:right w:val="none" w:sz="0" w:space="0" w:color="auto"/>
      </w:divBdr>
    </w:div>
    <w:div w:id="1284579568">
      <w:bodyDiv w:val="1"/>
      <w:marLeft w:val="0"/>
      <w:marRight w:val="0"/>
      <w:marTop w:val="0"/>
      <w:marBottom w:val="0"/>
      <w:divBdr>
        <w:top w:val="none" w:sz="0" w:space="0" w:color="auto"/>
        <w:left w:val="none" w:sz="0" w:space="0" w:color="auto"/>
        <w:bottom w:val="none" w:sz="0" w:space="0" w:color="auto"/>
        <w:right w:val="none" w:sz="0" w:space="0" w:color="auto"/>
      </w:divBdr>
    </w:div>
    <w:div w:id="1288394266">
      <w:bodyDiv w:val="1"/>
      <w:marLeft w:val="0"/>
      <w:marRight w:val="0"/>
      <w:marTop w:val="0"/>
      <w:marBottom w:val="0"/>
      <w:divBdr>
        <w:top w:val="none" w:sz="0" w:space="0" w:color="auto"/>
        <w:left w:val="none" w:sz="0" w:space="0" w:color="auto"/>
        <w:bottom w:val="none" w:sz="0" w:space="0" w:color="auto"/>
        <w:right w:val="none" w:sz="0" w:space="0" w:color="auto"/>
      </w:divBdr>
    </w:div>
    <w:div w:id="1322075909">
      <w:bodyDiv w:val="1"/>
      <w:marLeft w:val="0"/>
      <w:marRight w:val="0"/>
      <w:marTop w:val="0"/>
      <w:marBottom w:val="0"/>
      <w:divBdr>
        <w:top w:val="none" w:sz="0" w:space="0" w:color="auto"/>
        <w:left w:val="none" w:sz="0" w:space="0" w:color="auto"/>
        <w:bottom w:val="none" w:sz="0" w:space="0" w:color="auto"/>
        <w:right w:val="none" w:sz="0" w:space="0" w:color="auto"/>
      </w:divBdr>
    </w:div>
    <w:div w:id="1420902437">
      <w:bodyDiv w:val="1"/>
      <w:marLeft w:val="0"/>
      <w:marRight w:val="0"/>
      <w:marTop w:val="0"/>
      <w:marBottom w:val="0"/>
      <w:divBdr>
        <w:top w:val="none" w:sz="0" w:space="0" w:color="auto"/>
        <w:left w:val="none" w:sz="0" w:space="0" w:color="auto"/>
        <w:bottom w:val="none" w:sz="0" w:space="0" w:color="auto"/>
        <w:right w:val="none" w:sz="0" w:space="0" w:color="auto"/>
      </w:divBdr>
    </w:div>
    <w:div w:id="1422945561">
      <w:bodyDiv w:val="1"/>
      <w:marLeft w:val="0"/>
      <w:marRight w:val="0"/>
      <w:marTop w:val="0"/>
      <w:marBottom w:val="0"/>
      <w:divBdr>
        <w:top w:val="none" w:sz="0" w:space="0" w:color="auto"/>
        <w:left w:val="none" w:sz="0" w:space="0" w:color="auto"/>
        <w:bottom w:val="none" w:sz="0" w:space="0" w:color="auto"/>
        <w:right w:val="none" w:sz="0" w:space="0" w:color="auto"/>
      </w:divBdr>
    </w:div>
    <w:div w:id="1508861237">
      <w:bodyDiv w:val="1"/>
      <w:marLeft w:val="0"/>
      <w:marRight w:val="0"/>
      <w:marTop w:val="0"/>
      <w:marBottom w:val="0"/>
      <w:divBdr>
        <w:top w:val="none" w:sz="0" w:space="0" w:color="auto"/>
        <w:left w:val="none" w:sz="0" w:space="0" w:color="auto"/>
        <w:bottom w:val="none" w:sz="0" w:space="0" w:color="auto"/>
        <w:right w:val="none" w:sz="0" w:space="0" w:color="auto"/>
      </w:divBdr>
    </w:div>
    <w:div w:id="1660499785">
      <w:bodyDiv w:val="1"/>
      <w:marLeft w:val="0"/>
      <w:marRight w:val="0"/>
      <w:marTop w:val="0"/>
      <w:marBottom w:val="0"/>
      <w:divBdr>
        <w:top w:val="none" w:sz="0" w:space="0" w:color="auto"/>
        <w:left w:val="none" w:sz="0" w:space="0" w:color="auto"/>
        <w:bottom w:val="none" w:sz="0" w:space="0" w:color="auto"/>
        <w:right w:val="none" w:sz="0" w:space="0" w:color="auto"/>
      </w:divBdr>
    </w:div>
    <w:div w:id="1792089087">
      <w:bodyDiv w:val="1"/>
      <w:marLeft w:val="0"/>
      <w:marRight w:val="0"/>
      <w:marTop w:val="0"/>
      <w:marBottom w:val="0"/>
      <w:divBdr>
        <w:top w:val="none" w:sz="0" w:space="0" w:color="auto"/>
        <w:left w:val="none" w:sz="0" w:space="0" w:color="auto"/>
        <w:bottom w:val="none" w:sz="0" w:space="0" w:color="auto"/>
        <w:right w:val="none" w:sz="0" w:space="0" w:color="auto"/>
      </w:divBdr>
    </w:div>
    <w:div w:id="1821731224">
      <w:bodyDiv w:val="1"/>
      <w:marLeft w:val="0"/>
      <w:marRight w:val="0"/>
      <w:marTop w:val="0"/>
      <w:marBottom w:val="0"/>
      <w:divBdr>
        <w:top w:val="none" w:sz="0" w:space="0" w:color="auto"/>
        <w:left w:val="none" w:sz="0" w:space="0" w:color="auto"/>
        <w:bottom w:val="none" w:sz="0" w:space="0" w:color="auto"/>
        <w:right w:val="none" w:sz="0" w:space="0" w:color="auto"/>
      </w:divBdr>
    </w:div>
    <w:div w:id="1828133152">
      <w:bodyDiv w:val="1"/>
      <w:marLeft w:val="0"/>
      <w:marRight w:val="0"/>
      <w:marTop w:val="0"/>
      <w:marBottom w:val="0"/>
      <w:divBdr>
        <w:top w:val="none" w:sz="0" w:space="0" w:color="auto"/>
        <w:left w:val="none" w:sz="0" w:space="0" w:color="auto"/>
        <w:bottom w:val="none" w:sz="0" w:space="0" w:color="auto"/>
        <w:right w:val="none" w:sz="0" w:space="0" w:color="auto"/>
      </w:divBdr>
    </w:div>
    <w:div w:id="1830633421">
      <w:bodyDiv w:val="1"/>
      <w:marLeft w:val="0"/>
      <w:marRight w:val="0"/>
      <w:marTop w:val="0"/>
      <w:marBottom w:val="0"/>
      <w:divBdr>
        <w:top w:val="none" w:sz="0" w:space="0" w:color="auto"/>
        <w:left w:val="none" w:sz="0" w:space="0" w:color="auto"/>
        <w:bottom w:val="none" w:sz="0" w:space="0" w:color="auto"/>
        <w:right w:val="none" w:sz="0" w:space="0" w:color="auto"/>
      </w:divBdr>
    </w:div>
    <w:div w:id="1832717406">
      <w:bodyDiv w:val="1"/>
      <w:marLeft w:val="0"/>
      <w:marRight w:val="0"/>
      <w:marTop w:val="0"/>
      <w:marBottom w:val="0"/>
      <w:divBdr>
        <w:top w:val="none" w:sz="0" w:space="0" w:color="auto"/>
        <w:left w:val="none" w:sz="0" w:space="0" w:color="auto"/>
        <w:bottom w:val="none" w:sz="0" w:space="0" w:color="auto"/>
        <w:right w:val="none" w:sz="0" w:space="0" w:color="auto"/>
      </w:divBdr>
    </w:div>
    <w:div w:id="1956478059">
      <w:bodyDiv w:val="1"/>
      <w:marLeft w:val="0"/>
      <w:marRight w:val="0"/>
      <w:marTop w:val="0"/>
      <w:marBottom w:val="0"/>
      <w:divBdr>
        <w:top w:val="none" w:sz="0" w:space="0" w:color="auto"/>
        <w:left w:val="none" w:sz="0" w:space="0" w:color="auto"/>
        <w:bottom w:val="none" w:sz="0" w:space="0" w:color="auto"/>
        <w:right w:val="none" w:sz="0" w:space="0" w:color="auto"/>
      </w:divBdr>
    </w:div>
    <w:div w:id="1994332699">
      <w:bodyDiv w:val="1"/>
      <w:marLeft w:val="0"/>
      <w:marRight w:val="0"/>
      <w:marTop w:val="0"/>
      <w:marBottom w:val="0"/>
      <w:divBdr>
        <w:top w:val="none" w:sz="0" w:space="0" w:color="auto"/>
        <w:left w:val="none" w:sz="0" w:space="0" w:color="auto"/>
        <w:bottom w:val="none" w:sz="0" w:space="0" w:color="auto"/>
        <w:right w:val="none" w:sz="0" w:space="0" w:color="auto"/>
      </w:divBdr>
    </w:div>
    <w:div w:id="1996644794">
      <w:bodyDiv w:val="1"/>
      <w:marLeft w:val="0"/>
      <w:marRight w:val="0"/>
      <w:marTop w:val="0"/>
      <w:marBottom w:val="0"/>
      <w:divBdr>
        <w:top w:val="none" w:sz="0" w:space="0" w:color="auto"/>
        <w:left w:val="none" w:sz="0" w:space="0" w:color="auto"/>
        <w:bottom w:val="none" w:sz="0" w:space="0" w:color="auto"/>
        <w:right w:val="none" w:sz="0" w:space="0" w:color="auto"/>
      </w:divBdr>
    </w:div>
    <w:div w:id="2018388477">
      <w:bodyDiv w:val="1"/>
      <w:marLeft w:val="0"/>
      <w:marRight w:val="0"/>
      <w:marTop w:val="0"/>
      <w:marBottom w:val="0"/>
      <w:divBdr>
        <w:top w:val="none" w:sz="0" w:space="0" w:color="auto"/>
        <w:left w:val="none" w:sz="0" w:space="0" w:color="auto"/>
        <w:bottom w:val="none" w:sz="0" w:space="0" w:color="auto"/>
        <w:right w:val="none" w:sz="0" w:space="0" w:color="auto"/>
      </w:divBdr>
    </w:div>
    <w:div w:id="2026663810">
      <w:bodyDiv w:val="1"/>
      <w:marLeft w:val="0"/>
      <w:marRight w:val="0"/>
      <w:marTop w:val="0"/>
      <w:marBottom w:val="0"/>
      <w:divBdr>
        <w:top w:val="none" w:sz="0" w:space="0" w:color="auto"/>
        <w:left w:val="none" w:sz="0" w:space="0" w:color="auto"/>
        <w:bottom w:val="none" w:sz="0" w:space="0" w:color="auto"/>
        <w:right w:val="none" w:sz="0" w:space="0" w:color="auto"/>
      </w:divBdr>
    </w:div>
    <w:div w:id="2101020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s://law-tracker.europa.eu/procedure/2025_825?lang=nl" TargetMode="External"/><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yperlink" Target="https://sdgs.un.org/goals/goal8"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s://commission.europa.eu/publications/european-competitiveness-fund_en" TargetMode="External"/><Relationship Id="rId29"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hyperlink" Target="https://sdgs.un.org/goals/goal13"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https://sdgs.un.org/goals/goal12" TargetMode="External"/><Relationship Id="rId28" Type="http://schemas.openxmlformats.org/officeDocument/2006/relationships/footer" Target="footer5.xml"/><Relationship Id="rId10" Type="http://schemas.openxmlformats.org/officeDocument/2006/relationships/endnotes" Target="endnotes.xml"/><Relationship Id="rId19" Type="http://schemas.openxmlformats.org/officeDocument/2006/relationships/hyperlink" Target="https://eur-lex.europa.eu/legal-content/NL/TXT/PDF/?uri=CELEX:52025PC0555"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sdgs.un.org/goals/goal9" TargetMode="External"/><Relationship Id="rId27" Type="http://schemas.openxmlformats.org/officeDocument/2006/relationships/footer" Target="footer4.xml"/><Relationship Id="rId30" Type="http://schemas.openxmlformats.org/officeDocument/2006/relationships/footer" Target="footer6.xml"/></Relationships>
</file>

<file path=word/_rels/footnotes.xml.rels><?xml version="1.0" encoding="UTF-8" standalone="yes"?>
<Relationships xmlns="http://schemas.openxmlformats.org/package/2006/relationships"><Relationship Id="rId8" Type="http://schemas.openxmlformats.org/officeDocument/2006/relationships/hyperlink" Target="https://eur-lex.europa.eu/eli/C/2025/2004/oj?eliuri=eli%3AC%3A2024%3A878%3Aoj&amp;locale=nl" TargetMode="External"/><Relationship Id="rId13" Type="http://schemas.openxmlformats.org/officeDocument/2006/relationships/hyperlink" Target="https://eur-lex.europa.eu/legal-content/NL/ALL/?uri=CELEX%3A52016AE3274" TargetMode="External"/><Relationship Id="rId18" Type="http://schemas.openxmlformats.org/officeDocument/2006/relationships/hyperlink" Target="https://eur-lex.europa.eu/legal-content/NL/TXT/?uri=CELEX%3A52021IE3668" TargetMode="External"/><Relationship Id="rId3" Type="http://schemas.openxmlformats.org/officeDocument/2006/relationships/hyperlink" Target="https://eur-lex.europa.eu/legal-content/NL/TXT/?uri=CELEX%3A52024AE1783" TargetMode="External"/><Relationship Id="rId21" Type="http://schemas.openxmlformats.org/officeDocument/2006/relationships/hyperlink" Target="https://eur-lex.europa.eu/legal-content/EN/TXT/PDF/?uri=CELEX:52025PC0555" TargetMode="External"/><Relationship Id="rId7" Type="http://schemas.openxmlformats.org/officeDocument/2006/relationships/hyperlink" Target="https://www.eesc.europa.eu/nl/our-work/opinions-information-reports/opinions/strengthening-enforcement-single-market-rules-revision-current-tools-and-framework" TargetMode="External"/><Relationship Id="rId12" Type="http://schemas.openxmlformats.org/officeDocument/2006/relationships/hyperlink" Target="https://eur-lex.europa.eu/legal-content/NL/ALL/?uri=CELEX%3A52018AE3007" TargetMode="External"/><Relationship Id="rId17" Type="http://schemas.openxmlformats.org/officeDocument/2006/relationships/hyperlink" Target="https://eur-lex.europa.eu/legal-content/NL/TXT/?uri=CELEX%3A52022IE1049" TargetMode="External"/><Relationship Id="rId2" Type="http://schemas.openxmlformats.org/officeDocument/2006/relationships/hyperlink" Target="https://eur-lex.europa.eu/legal-content/NL/TXT/?uri=CELEX%3A52021IE3668" TargetMode="External"/><Relationship Id="rId16" Type="http://schemas.openxmlformats.org/officeDocument/2006/relationships/hyperlink" Target="https://eur-lex.europa.eu/legal-content/EN/TXT/PDF/?uri=CELEX:52025PC0555" TargetMode="External"/><Relationship Id="rId20" Type="http://schemas.openxmlformats.org/officeDocument/2006/relationships/hyperlink" Target="https://eur-lex.europa.eu/eli/C/2025/4212/oj?eliuri=eli%3AC%3A2024%3A878%3Aoj&amp;locale=nl" TargetMode="External"/><Relationship Id="rId1" Type="http://schemas.openxmlformats.org/officeDocument/2006/relationships/hyperlink" Target="https://eur-lex.europa.eu/legal-content/NL/TXT/?uri=CELEX%3A52022IE1049" TargetMode="External"/><Relationship Id="rId6" Type="http://schemas.openxmlformats.org/officeDocument/2006/relationships/hyperlink" Target="https://www.eesc.europa.eu/nl/our-work/opinions-information-reports/opinions/single-market-strategy" TargetMode="External"/><Relationship Id="rId11" Type="http://schemas.openxmlformats.org/officeDocument/2006/relationships/hyperlink" Target="http://data.europa.eu/eli/C/2024/6874/oj" TargetMode="External"/><Relationship Id="rId24" Type="http://schemas.openxmlformats.org/officeDocument/2006/relationships/hyperlink" Target="https://eur-lex.europa.eu/legal-content/EN/TXT/PDF/?uri=CELEX:52025PC0555" TargetMode="External"/><Relationship Id="rId5" Type="http://schemas.openxmlformats.org/officeDocument/2006/relationships/hyperlink" Target="https://eur-lex.europa.eu/eli/C/2025/4212/oj?eliuri=eli%3AC%3A2024%3A878%3Aoj&amp;locale=nl" TargetMode="External"/><Relationship Id="rId15" Type="http://schemas.openxmlformats.org/officeDocument/2006/relationships/hyperlink" Target="https://eur-lex.europa.eu/legal-content/EN/TXT/PDF/?uri=CELEX:52025PC0555" TargetMode="External"/><Relationship Id="rId23" Type="http://schemas.openxmlformats.org/officeDocument/2006/relationships/hyperlink" Target="https://eur-lex.europa.eu/legal-content/EN/TXT/PDF/?uri=CELEX:52025PC0555" TargetMode="External"/><Relationship Id="rId10" Type="http://schemas.openxmlformats.org/officeDocument/2006/relationships/hyperlink" Target="https://commission.europa.eu/publications/multiannual-financial-framework_en" TargetMode="External"/><Relationship Id="rId19" Type="http://schemas.openxmlformats.org/officeDocument/2006/relationships/hyperlink" Target="https://eur-lex.europa.eu/legal-content/NL/TXT/?uri=CELEX%3A52024AE1783" TargetMode="External"/><Relationship Id="rId4" Type="http://schemas.openxmlformats.org/officeDocument/2006/relationships/hyperlink" Target="https://eur-lex.europa.eu/eli/C/2025/3189/oj?eliuri=eli%3AC%3A2024%3A878%3Aoj&amp;locale=nl" TargetMode="External"/><Relationship Id="rId9" Type="http://schemas.openxmlformats.org/officeDocument/2006/relationships/hyperlink" Target="https://commission.europa.eu/topics/budget/eu-budget-2028-2034-explained_nl" TargetMode="External"/><Relationship Id="rId14" Type="http://schemas.openxmlformats.org/officeDocument/2006/relationships/hyperlink" Target="https://eur-lex.europa.eu/legal-content/EN/TXT/PDF/?uri=CELEX:52025PC0555" TargetMode="External"/><Relationship Id="rId22" Type="http://schemas.openxmlformats.org/officeDocument/2006/relationships/hyperlink" Target="https://eur-lex.europa.eu/legal-content/EN/TXT/PDF/?uri=CELEX:52025PC055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1a33af13-4045-4f88-9d7b-618e30f79918">A6WAAD5KZT2Q-235352946-8687</_dlc_DocId>
    <_dlc_DocIdUrl xmlns="1a33af13-4045-4f88-9d7b-618e30f79918">
      <Url>http://dm/eesc/2025/_layouts/15/DocIdRedir.aspx?ID=A6WAAD5KZT2Q-235352946-8687</Url>
      <Description>A6WAAD5KZT2Q-235352946-8687</Description>
    </_dlc_DocIdUrl>
    <Procedure xmlns="1a33af13-4045-4f88-9d7b-618e30f79918">2025/0555(COD)</Procedure>
    <DocumentType_0 xmlns="http://schemas.microsoft.com/sharepoint/v3/fields">
      <Terms xmlns="http://schemas.microsoft.com/office/infopath/2007/PartnerControls">
        <TermInfo xmlns="http://schemas.microsoft.com/office/infopath/2007/PartnerControls">
          <TermName xmlns="http://schemas.microsoft.com/office/infopath/2007/PartnerControls">AS</TermName>
          <TermId xmlns="http://schemas.microsoft.com/office/infopath/2007/PartnerControls">c7a748eb-f6f2-4d9d-8b5a-af0cafebc224</TermId>
        </TermInfo>
      </Terms>
    </DocumentType_0>
    <DocumentSource_0 xmlns="http://schemas.microsoft.com/sharepoint/v3/fields">
      <Terms xmlns="http://schemas.microsoft.com/office/infopath/2007/PartnerControls">
        <TermInfo xmlns="http://schemas.microsoft.com/office/infopath/2007/PartnerControls">
          <TermName xmlns="http://schemas.microsoft.com/office/infopath/2007/PartnerControls">EESC</TermName>
          <TermId xmlns="http://schemas.microsoft.com/office/infopath/2007/PartnerControls">422833ec-8d7e-4e65-8e4e-8bed07ffb729</TermId>
        </TermInfo>
      </Terms>
    </DocumentSource_0>
    <ProductionDate xmlns="1a33af13-4045-4f88-9d7b-618e30f79918">2025-11-20T12:00:00+00:00</ProductionDate>
    <DocumentNumber xmlns="a3e83899-37aa-47c6-ba54-4ea80e9c17cf">2576</DocumentNumber>
    <FicheYear xmlns="1a33af13-4045-4f88-9d7b-618e30f79918" xsi:nil="true"/>
    <DossierNumber xmlns="1a33af13-4045-4f88-9d7b-618e30f79918">1101</DossierNumber>
    <Confidentiality_0 xmlns="http://schemas.microsoft.com/sharepoint/v3/fields">
      <Terms xmlns="http://schemas.microsoft.com/office/infopath/2007/PartnerControls">
        <TermInfo xmlns="http://schemas.microsoft.com/office/infopath/2007/PartnerControls">
          <TermName xmlns="http://schemas.microsoft.com/office/infopath/2007/PartnerControls">Unrestricted</TermName>
          <TermId xmlns="http://schemas.microsoft.com/office/infopath/2007/PartnerControls">826e22d7-d029-4ec0-a450-0c28ff673572</TermId>
        </TermInfo>
      </Terms>
    </Confidentiality_0>
    <MeetingDate xmlns="1a33af13-4045-4f88-9d7b-618e30f79918">2025-12-03T12:00:00+00:00</MeetingDate>
    <TaxCatchAll xmlns="1a33af13-4045-4f88-9d7b-618e30f79918">
      <Value>67</Value>
      <Value>51</Value>
      <Value>50</Value>
      <Value>47</Value>
      <Value>46</Value>
      <Value>43</Value>
      <Value>42</Value>
      <Value>41</Value>
      <Value>40</Value>
      <Value>39</Value>
      <Value>37</Value>
      <Value>36</Value>
      <Value>35</Value>
      <Value>34</Value>
      <Value>33</Value>
      <Value>32</Value>
      <Value>31</Value>
      <Value>30</Value>
      <Value>29</Value>
      <Value>28</Value>
      <Value>27</Value>
      <Value>24</Value>
      <Value>23</Value>
      <Value>16</Value>
      <Value>15</Value>
      <Value>13</Value>
      <Value>12</Value>
      <Value>8</Value>
      <Value>5</Value>
      <Value>126</Value>
      <Value>1</Value>
    </TaxCatchAll>
    <DocumentLanguage_0 xmlns="http://schemas.microsoft.com/sharepoint/v3/fields">
      <Terms xmlns="http://schemas.microsoft.com/office/infopath/2007/PartnerControls">
        <TermInfo xmlns="http://schemas.microsoft.com/office/infopath/2007/PartnerControls">
          <TermName xmlns="http://schemas.microsoft.com/office/infopath/2007/PartnerControls">NL</TermName>
          <TermId xmlns="http://schemas.microsoft.com/office/infopath/2007/PartnerControls">55c6556c-b4f4-441d-9acf-c498d4f838bd</TermId>
        </TermInfo>
      </Terms>
    </DocumentLanguage_0>
    <Rapporteur xmlns="1a33af13-4045-4f88-9d7b-618e30f79918">ANGELOVA</Rapporteur>
    <VersionStatus_0 xmlns="http://schemas.microsoft.com/sharepoint/v3/fields">
      <Terms xmlns="http://schemas.microsoft.com/office/infopath/2007/PartnerControls">
        <TermInfo xmlns="http://schemas.microsoft.com/office/infopath/2007/PartnerControls">
          <TermName xmlns="http://schemas.microsoft.com/office/infopath/2007/PartnerControls">Final</TermName>
          <TermId xmlns="http://schemas.microsoft.com/office/infopath/2007/PartnerControls">ea5e6674-7b27-4bac-b091-73adbb394efe</TermId>
        </TermInfo>
      </Terms>
    </VersionStatus_0>
    <DocumentYear xmlns="1a33af13-4045-4f88-9d7b-618e30f79918">2025</DocumentYear>
    <FicheNumber xmlns="1a33af13-4045-4f88-9d7b-618e30f79918">296703</FicheNumber>
    <OriginalSender xmlns="1a33af13-4045-4f88-9d7b-618e30f79918">
      <UserInfo>
        <DisplayName>Bialkowska Anna Maria</DisplayName>
        <AccountId>1525</AccountId>
        <AccountType/>
      </UserInfo>
    </OriginalSender>
    <DocumentPart xmlns="1a33af13-4045-4f88-9d7b-618e30f79918">0</DocumentPart>
    <AdoptionDate xmlns="1a33af13-4045-4f88-9d7b-618e30f79918" xsi:nil="true"/>
    <RequestingService xmlns="1a33af13-4045-4f88-9d7b-618e30f79918">Marché unique, production, consommation</RequestingService>
    <MeetingName_0 xmlns="http://schemas.microsoft.com/sharepoint/v3/fields">
      <Terms xmlns="http://schemas.microsoft.com/office/infopath/2007/PartnerControls">
        <TermInfo xmlns="http://schemas.microsoft.com/office/infopath/2007/PartnerControls">
          <TermName xmlns="http://schemas.microsoft.com/office/infopath/2007/PartnerControls">SPL-CES</TermName>
          <TermId xmlns="http://schemas.microsoft.com/office/infopath/2007/PartnerControls">32d8cb1f-c9ec-4365-95c7-8385a18618ac</TermId>
        </TermInfo>
      </Terms>
    </MeetingName_0>
    <AvailableTranslations_0 xmlns="http://schemas.microsoft.com/sharepoint/v3/fields">
      <Terms xmlns="http://schemas.microsoft.com/office/infopath/2007/PartnerControls">
        <TermInfo xmlns="http://schemas.microsoft.com/office/infopath/2007/PartnerControls">
          <TermName xmlns="http://schemas.microsoft.com/office/infopath/2007/PartnerControls">DA</TermName>
          <TermId xmlns="http://schemas.microsoft.com/office/infopath/2007/PartnerControls">5d49c027-8956-412b-aa16-e85a0f96ad0e</TermId>
        </TermInfo>
        <TermInfo xmlns="http://schemas.microsoft.com/office/infopath/2007/PartnerControls">
          <TermName xmlns="http://schemas.microsoft.com/office/infopath/2007/PartnerControls">EL</TermName>
          <TermId xmlns="http://schemas.microsoft.com/office/infopath/2007/PartnerControls">6d4f4d51-af9b-4650-94b4-4276bee85c91</TermId>
        </TermInfo>
        <TermInfo xmlns="http://schemas.microsoft.com/office/infopath/2007/PartnerControls">
          <TermName xmlns="http://schemas.microsoft.com/office/infopath/2007/PartnerControls">LT</TermName>
          <TermId xmlns="http://schemas.microsoft.com/office/infopath/2007/PartnerControls">a7ff5ce7-6123-4f68-865a-a57c31810414</TermId>
        </TermInfo>
        <TermInfo xmlns="http://schemas.microsoft.com/office/infopath/2007/PartnerControls">
          <TermName xmlns="http://schemas.microsoft.com/office/infopath/2007/PartnerControls">DE</TermName>
          <TermId xmlns="http://schemas.microsoft.com/office/infopath/2007/PartnerControls">f6b31e5a-26fa-4935-b661-318e46daf27e</TermId>
        </TermInfo>
        <TermInfo xmlns="http://schemas.microsoft.com/office/infopath/2007/PartnerControls">
          <TermName xmlns="http://schemas.microsoft.com/office/infopath/2007/PartnerControls">GA</TermName>
          <TermId xmlns="http://schemas.microsoft.com/office/infopath/2007/PartnerControls">762d2456-c427-4ecb-b312-af3dad8e258c</TermId>
        </TermInfo>
        <TermInfo xmlns="http://schemas.microsoft.com/office/infopath/2007/PartnerControls">
          <TermName xmlns="http://schemas.microsoft.com/office/infopath/2007/PartnerControls">IT</TermName>
          <TermId xmlns="http://schemas.microsoft.com/office/infopath/2007/PartnerControls">0774613c-01ed-4e5d-a25d-11d2388de825</TermId>
        </TermInfo>
        <TermInfo xmlns="http://schemas.microsoft.com/office/infopath/2007/PartnerControls">
          <TermName xmlns="http://schemas.microsoft.com/office/infopath/2007/PartnerControls">SK</TermName>
          <TermId xmlns="http://schemas.microsoft.com/office/infopath/2007/PartnerControls">46d9fce0-ef79-4f71-b89b-cd6aa82426b8</TermId>
        </TermInfo>
        <TermInfo xmlns="http://schemas.microsoft.com/office/infopath/2007/PartnerControls">
          <TermName xmlns="http://schemas.microsoft.com/office/infopath/2007/PartnerControls">SV</TermName>
          <TermId xmlns="http://schemas.microsoft.com/office/infopath/2007/PartnerControls">c2ed69e7-a339-43d7-8f22-d93680a92aa0</TermId>
        </TermInfo>
        <TermInfo xmlns="http://schemas.microsoft.com/office/infopath/2007/PartnerControls">
          <TermName xmlns="http://schemas.microsoft.com/office/infopath/2007/PartnerControls">RO</TermName>
          <TermId xmlns="http://schemas.microsoft.com/office/infopath/2007/PartnerControls">feb747a2-64cd-4299-af12-4833ddc30497</TermId>
        </TermInfo>
        <TermInfo xmlns="http://schemas.microsoft.com/office/infopath/2007/PartnerControls">
          <TermName xmlns="http://schemas.microsoft.com/office/infopath/2007/PartnerControls">ET</TermName>
          <TermId xmlns="http://schemas.microsoft.com/office/infopath/2007/PartnerControls">ff6c3f4c-b02c-4c3c-ab07-2c37995a7a0a</TermId>
        </TermInfo>
        <TermInfo xmlns="http://schemas.microsoft.com/office/infopath/2007/PartnerControls">
          <TermName xmlns="http://schemas.microsoft.com/office/infopath/2007/PartnerControls">ES</TermName>
          <TermId xmlns="http://schemas.microsoft.com/office/infopath/2007/PartnerControls">e7a6b05b-ae16-40c8-add9-68b64b03aeba</TermId>
        </TermInfo>
        <TermInfo xmlns="http://schemas.microsoft.com/office/infopath/2007/PartnerControls">
          <TermName xmlns="http://schemas.microsoft.com/office/infopath/2007/PartnerControls">EN</TermName>
          <TermId xmlns="http://schemas.microsoft.com/office/infopath/2007/PartnerControls">f2175f21-25d7-44a3-96da-d6a61b075e1b</TermId>
        </TermInfo>
        <TermInfo xmlns="http://schemas.microsoft.com/office/infopath/2007/PartnerControls">
          <TermName xmlns="http://schemas.microsoft.com/office/infopath/2007/PartnerControls">NL</TermName>
          <TermId xmlns="http://schemas.microsoft.com/office/infopath/2007/PartnerControls">55c6556c-b4f4-441d-9acf-c498d4f838bd</TermId>
        </TermInfo>
        <TermInfo xmlns="http://schemas.microsoft.com/office/infopath/2007/PartnerControls">
          <TermName xmlns="http://schemas.microsoft.com/office/infopath/2007/PartnerControls">FR</TermName>
          <TermId xmlns="http://schemas.microsoft.com/office/infopath/2007/PartnerControls">d2afafd3-4c81-4f60-8f52-ee33f2f54ff3</TermId>
        </TermInfo>
        <TermInfo xmlns="http://schemas.microsoft.com/office/infopath/2007/PartnerControls">
          <TermName xmlns="http://schemas.microsoft.com/office/infopath/2007/PartnerControls">PT</TermName>
          <TermId xmlns="http://schemas.microsoft.com/office/infopath/2007/PartnerControls">50ccc04a-eadd-42ae-a0cb-acaf45f812ba</TermId>
        </TermInfo>
        <TermInfo xmlns="http://schemas.microsoft.com/office/infopath/2007/PartnerControls">
          <TermName xmlns="http://schemas.microsoft.com/office/infopath/2007/PartnerControls">HU</TermName>
          <TermId xmlns="http://schemas.microsoft.com/office/infopath/2007/PartnerControls">6b229040-c589-4408-b4c1-4285663d20a8</TermId>
        </TermInfo>
        <TermInfo xmlns="http://schemas.microsoft.com/office/infopath/2007/PartnerControls">
          <TermName xmlns="http://schemas.microsoft.com/office/infopath/2007/PartnerControls">HR</TermName>
          <TermId xmlns="http://schemas.microsoft.com/office/infopath/2007/PartnerControls">2f555653-ed1a-4fe6-8362-9082d95989e5</TermId>
        </TermInfo>
        <TermInfo xmlns="http://schemas.microsoft.com/office/infopath/2007/PartnerControls">
          <TermName xmlns="http://schemas.microsoft.com/office/infopath/2007/PartnerControls">FI</TermName>
          <TermId xmlns="http://schemas.microsoft.com/office/infopath/2007/PartnerControls">87606a43-d45f-42d6-b8c9-e1a3457db5b7</TermId>
        </TermInfo>
        <TermInfo xmlns="http://schemas.microsoft.com/office/infopath/2007/PartnerControls">
          <TermName xmlns="http://schemas.microsoft.com/office/infopath/2007/PartnerControls">PL</TermName>
          <TermId xmlns="http://schemas.microsoft.com/office/infopath/2007/PartnerControls">1e03da61-4678-4e07-b136-b5024ca9197b</TermId>
        </TermInfo>
        <TermInfo xmlns="http://schemas.microsoft.com/office/infopath/2007/PartnerControls">
          <TermName xmlns="http://schemas.microsoft.com/office/infopath/2007/PartnerControls">BG</TermName>
          <TermId xmlns="http://schemas.microsoft.com/office/infopath/2007/PartnerControls">1a1b3951-7821-4e6a-85f5-5673fc08bd2c</TermId>
        </TermInfo>
        <TermInfo xmlns="http://schemas.microsoft.com/office/infopath/2007/PartnerControls">
          <TermName xmlns="http://schemas.microsoft.com/office/infopath/2007/PartnerControls">CS</TermName>
          <TermId xmlns="http://schemas.microsoft.com/office/infopath/2007/PartnerControls">72f9705b-0217-4fd3-bea2-cbc7ed80e26e</TermId>
        </TermInfo>
        <TermInfo xmlns="http://schemas.microsoft.com/office/infopath/2007/PartnerControls">
          <TermName xmlns="http://schemas.microsoft.com/office/infopath/2007/PartnerControls">MT</TermName>
          <TermId xmlns="http://schemas.microsoft.com/office/infopath/2007/PartnerControls">7df99101-6854-4a26-b53a-b88c0da02c26</TermId>
        </TermInfo>
        <TermInfo xmlns="http://schemas.microsoft.com/office/infopath/2007/PartnerControls">
          <TermName xmlns="http://schemas.microsoft.com/office/infopath/2007/PartnerControls">LV</TermName>
          <TermId xmlns="http://schemas.microsoft.com/office/infopath/2007/PartnerControls">46f7e311-5d9f-4663-b433-18aeccb7ace7</TermId>
        </TermInfo>
        <TermInfo xmlns="http://schemas.microsoft.com/office/infopath/2007/PartnerControls">
          <TermName xmlns="http://schemas.microsoft.com/office/infopath/2007/PartnerControls">SL</TermName>
          <TermId xmlns="http://schemas.microsoft.com/office/infopath/2007/PartnerControls">98a412ae-eb01-49e9-ae3d-585a81724cfc</TermId>
        </TermInfo>
      </Terms>
    </AvailableTranslations_0>
    <DocumentStatus_0 xmlns="http://schemas.microsoft.com/sharepoint/v3/fields">
      <Terms xmlns="http://schemas.microsoft.com/office/infopath/2007/PartnerControls">
        <TermInfo xmlns="http://schemas.microsoft.com/office/infopath/2007/PartnerControls">
          <TermName xmlns="http://schemas.microsoft.com/office/infopath/2007/PartnerControls">TRA</TermName>
          <TermId xmlns="http://schemas.microsoft.com/office/infopath/2007/PartnerControls">150d2a88-1431-44e6-a8ca-0bb753ab8672</TermId>
        </TermInfo>
      </Terms>
    </DocumentStatus_0>
    <OriginalLanguage_0 xmlns="http://schemas.microsoft.com/sharepoint/v3/fields">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f2175f21-25d7-44a3-96da-d6a61b075e1b</TermId>
        </TermInfo>
      </Terms>
    </OriginalLanguage_0>
    <MeetingNumber xmlns="a3e83899-37aa-47c6-ba54-4ea80e9c17cf">601</MeetingNumber>
    <DossierName_0 xmlns="http://schemas.microsoft.com/sharepoint/v3/fields">
      <Terms xmlns="http://schemas.microsoft.com/office/infopath/2007/PartnerControls">
        <TermInfo xmlns="http://schemas.microsoft.com/office/infopath/2007/PartnerControls">
          <TermName xmlns="http://schemas.microsoft.com/office/infopath/2007/PartnerControls">INT</TermName>
          <TermId xmlns="http://schemas.microsoft.com/office/infopath/2007/PartnerControls">e1edfecb-ed43-427b-bb02-d45fe6645386</TermId>
        </TermInfo>
      </Terms>
    </DossierName_0>
    <DocumentVersion xmlns="1a33af13-4045-4f88-9d7b-618e30f79918">1</DocumentVersion>
  </documentManagement>
</p:properties>
</file>

<file path=customXml/item3.xml><?xml version="1.0" encoding="utf-8"?>
<ct:contentTypeSchema xmlns:ct="http://schemas.microsoft.com/office/2006/metadata/contentType" xmlns:ma="http://schemas.microsoft.com/office/2006/metadata/properties/metaAttributes" ct:_="" ma:_="" ma:contentTypeName="DM Document" ma:contentTypeID="0x010100EA97B91038054C99906057A708A1480A004B94E0CD93B68F4F96D67EEBEC8A7176" ma:contentTypeVersion="4" ma:contentTypeDescription="Defines the documents for Document Manager V2" ma:contentTypeScope="" ma:versionID="56661591a508277d6262203e4557b8ae">
  <xsd:schema xmlns:xsd="http://www.w3.org/2001/XMLSchema" xmlns:xs="http://www.w3.org/2001/XMLSchema" xmlns:p="http://schemas.microsoft.com/office/2006/metadata/properties" xmlns:ns2="1a33af13-4045-4f88-9d7b-618e30f79918" xmlns:ns3="http://schemas.microsoft.com/sharepoint/v3/fields" xmlns:ns4="a3e83899-37aa-47c6-ba54-4ea80e9c17cf" targetNamespace="http://schemas.microsoft.com/office/2006/metadata/properties" ma:root="true" ma:fieldsID="1ddc428e300a307dc1c6e67e6931f8cc" ns2:_="" ns3:_="" ns4:_="">
    <xsd:import namespace="1a33af13-4045-4f88-9d7b-618e30f79918"/>
    <xsd:import namespace="http://schemas.microsoft.com/sharepoint/v3/fields"/>
    <xsd:import namespace="a3e83899-37aa-47c6-ba54-4ea80e9c17cf"/>
    <xsd:element name="properties">
      <xsd:complexType>
        <xsd:sequence>
          <xsd:element name="documentManagement">
            <xsd:complexType>
              <xsd:all>
                <xsd:element ref="ns2:_dlc_DocId" minOccurs="0"/>
                <xsd:element ref="ns2:_dlc_DocIdUrl" minOccurs="0"/>
                <xsd:element ref="ns2:_dlc_DocIdPersistId" minOccurs="0"/>
                <xsd:element ref="ns2:ProductionDate" minOccurs="0"/>
                <xsd:element ref="ns2:OriginalSender" minOccurs="0"/>
                <xsd:element ref="ns3:DocumentLanguage_0" minOccurs="0"/>
                <xsd:element ref="ns2:DossierNumber" minOccurs="0"/>
                <xsd:element ref="ns4:MeetingNumber" minOccurs="0"/>
                <xsd:element ref="ns2:Rapporteur" minOccurs="0"/>
                <xsd:element ref="ns2:AdoptionDate" minOccurs="0"/>
                <xsd:element ref="ns3:Confidentiality_0" minOccurs="0"/>
                <xsd:element ref="ns2:TaxCatchAll" minOccurs="0"/>
                <xsd:element ref="ns2:TaxCatchAllLabel" minOccurs="0"/>
                <xsd:element ref="ns3:DocumentSource_0" minOccurs="0"/>
                <xsd:element ref="ns4:DocumentNumber" minOccurs="0"/>
                <xsd:element ref="ns2:MeetingDate" minOccurs="0"/>
                <xsd:element ref="ns3:OriginalLanguage_0" minOccurs="0"/>
                <xsd:element ref="ns2:Procedure" minOccurs="0"/>
                <xsd:element ref="ns3:VersionStatus_0" minOccurs="0"/>
                <xsd:element ref="ns3:DocumentStatus_0" minOccurs="0"/>
                <xsd:element ref="ns2:DocumentYear"/>
                <xsd:element ref="ns3:DocumentType_0" minOccurs="0"/>
                <xsd:element ref="ns2:DocumentPart" minOccurs="0"/>
                <xsd:element ref="ns3:MeetingName_0" minOccurs="0"/>
                <xsd:element ref="ns3:AvailableTranslations_0" minOccurs="0"/>
                <xsd:element ref="ns2:FicheYear" minOccurs="0"/>
                <xsd:element ref="ns2:RequestingService" minOccurs="0"/>
                <xsd:element ref="ns2:FicheNumber" minOccurs="0"/>
                <xsd:element ref="ns3:DossierName_0" minOccurs="0"/>
                <xsd:element ref="ns2:Documen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33af13-4045-4f88-9d7b-618e30f7991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ProductionDate" ma:index="12" nillable="true" ma:displayName="Production Date" ma:format="DateOnly" ma:internalName="ProductionDate">
      <xsd:simpleType>
        <xsd:restriction base="dms:DateTime"/>
      </xsd:simpleType>
    </xsd:element>
    <xsd:element name="OriginalSender" ma:index="13" nillable="true" ma:displayName="Original Sender" ma:internalName="OriginalSend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ssierNumber" ma:index="15" nillable="true" ma:displayName="Dossier Number" ma:decimals="0" ma:internalName="DossierNumber">
      <xsd:simpleType>
        <xsd:restriction base="dms:Unknown"/>
      </xsd:simpleType>
    </xsd:element>
    <xsd:element name="Rapporteur" ma:index="17" nillable="true" ma:displayName="Rapporteur" ma:internalName="Rapporteur">
      <xsd:simpleType>
        <xsd:restriction base="dms:Text"/>
      </xsd:simpleType>
    </xsd:element>
    <xsd:element name="AdoptionDate" ma:index="18" nillable="true" ma:displayName="Adoption Date" ma:format="DateOnly" ma:internalName="AdoptionDate">
      <xsd:simpleType>
        <xsd:restriction base="dms:DateTime"/>
      </xsd:simpleType>
    </xsd:element>
    <xsd:element name="TaxCatchAll" ma:index="20" nillable="true" ma:displayName="Taxonomy Catch All Column" ma:hidden="true" ma:list="{c795c8aa-ad9d-4177-b7c3-7e58e1f2dfdf}" ma:internalName="TaxCatchAll" ma:showField="CatchAllData"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TaxCatchAllLabel" ma:index="21" nillable="true" ma:displayName="Taxonomy Catch All Column1" ma:hidden="true" ma:list="{c795c8aa-ad9d-4177-b7c3-7e58e1f2dfdf}" ma:internalName="TaxCatchAllLabel" ma:readOnly="true" ma:showField="CatchAllDataLabel"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MeetingDate" ma:index="26" nillable="true" ma:displayName="Meeting Date" ma:format="DateOnly" ma:internalName="MeetingDate">
      <xsd:simpleType>
        <xsd:restriction base="dms:DateTime"/>
      </xsd:simpleType>
    </xsd:element>
    <xsd:element name="Procedure" ma:index="29" nillable="true" ma:displayName="Procedure" ma:internalName="Procedure">
      <xsd:simpleType>
        <xsd:restriction base="dms:Text"/>
      </xsd:simpleType>
    </xsd:element>
    <xsd:element name="DocumentYear" ma:index="34" ma:displayName="Document Year" ma:decimals="0" ma:internalName="DocumentYear">
      <xsd:simpleType>
        <xsd:restriction base="dms:Unknown"/>
      </xsd:simpleType>
    </xsd:element>
    <xsd:element name="DocumentPart" ma:index="37" nillable="true" ma:displayName="Document Part" ma:decimals="0" ma:internalName="DocumentPart">
      <xsd:simpleType>
        <xsd:restriction base="dms:Unknown"/>
      </xsd:simpleType>
    </xsd:element>
    <xsd:element name="FicheYear" ma:index="42" nillable="true" ma:displayName="Fiche Year" ma:decimals="0" ma:internalName="FicheYear">
      <xsd:simpleType>
        <xsd:restriction base="dms:Unknown"/>
      </xsd:simpleType>
    </xsd:element>
    <xsd:element name="RequestingService" ma:index="43" nillable="true" ma:displayName="Requesting Service" ma:internalName="RequestingService">
      <xsd:simpleType>
        <xsd:restriction base="dms:Text"/>
      </xsd:simpleType>
    </xsd:element>
    <xsd:element name="FicheNumber" ma:index="44" nillable="true" ma:displayName="Fiche Number" ma:decimals="0" ma:internalName="FicheNumber">
      <xsd:simpleType>
        <xsd:restriction base="dms:Unknown"/>
      </xsd:simpleType>
    </xsd:element>
    <xsd:element name="DocumentVersion" ma:index="47" nillable="true" ma:displayName="Document Version" ma:decimals="0" ma:internalName="DocumentVersion">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DocumentLanguage_0" ma:index="14" nillable="true" ma:taxonomy="true" ma:internalName="DocumentLanguage_0" ma:taxonomyFieldName="DocumentLanguage" ma:displayName="Document Language" ma:fieldId="{ee5c55ab-e8dd-441f-8840-fdce66906fe3}"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Confidentiality_0" ma:index="19" nillable="true" ma:taxonomy="true" ma:internalName="Confidentiality_0" ma:taxonomyFieldName="Confidentiality" ma:displayName="Confidentiality" ma:fieldId="{ee5c4bfe-2b62-4831-9131-22edf8f3665c}" ma:sspId="5004ddca-ed1a-45fa-b2df-508b3c5dfc98" ma:termSetId="11d040ac-3a9a-4d4c-b9cf-922342a701d6" ma:anchorId="00000000-0000-0000-0000-000000000000" ma:open="false" ma:isKeyword="false">
      <xsd:complexType>
        <xsd:sequence>
          <xsd:element ref="pc:Terms" minOccurs="0" maxOccurs="1"/>
        </xsd:sequence>
      </xsd:complexType>
    </xsd:element>
    <xsd:element name="DocumentSource_0" ma:index="23" ma:taxonomy="true" ma:internalName="DocumentSource_0" ma:taxonomyFieldName="DocumentSource" ma:displayName="Document Source" ma:fieldId="{ee5c1c29-f257-4aae-8e5e-529c0040e17a}" ma:sspId="5004ddca-ed1a-45fa-b2df-508b3c5dfc98" ma:termSetId="ca143256-a90d-4d26-b249-02646b17c0c5" ma:anchorId="00000000-0000-0000-0000-000000000000" ma:open="false" ma:isKeyword="false">
      <xsd:complexType>
        <xsd:sequence>
          <xsd:element ref="pc:Terms" minOccurs="0" maxOccurs="1"/>
        </xsd:sequence>
      </xsd:complexType>
    </xsd:element>
    <xsd:element name="OriginalLanguage_0" ma:index="27" nillable="true" ma:taxonomy="true" ma:internalName="OriginalLanguage_0" ma:taxonomyFieldName="OriginalLanguage" ma:displayName="Original Language" ma:fieldId="{ee5ce750-ff6c-4875-8192-ef11fb51efba}"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VersionStatus_0" ma:index="30" ma:taxonomy="true" ma:internalName="VersionStatus_0" ma:taxonomyFieldName="VersionStatus" ma:displayName="Version Status" ma:indexed="true" ma:fieldId="{ee5cb94b-3df1-4df3-b49b-6e47ce2a7e87}" ma:sspId="5004ddca-ed1a-45fa-b2df-508b3c5dfc98" ma:termSetId="adeca67b-2bdd-4d0f-b3af-a690b4c6d95d" ma:anchorId="00000000-0000-0000-0000-000000000000" ma:open="false" ma:isKeyword="false">
      <xsd:complexType>
        <xsd:sequence>
          <xsd:element ref="pc:Terms" minOccurs="0" maxOccurs="1"/>
        </xsd:sequence>
      </xsd:complexType>
    </xsd:element>
    <xsd:element name="DocumentStatus_0" ma:index="32" nillable="true" ma:taxonomy="true" ma:internalName="DocumentStatus_0" ma:taxonomyFieldName="DocumentStatus" ma:displayName="Document Status" ma:fieldId="{ee5cab93-ac4d-4e2f-b298-e5342324388c}" ma:sspId="5004ddca-ed1a-45fa-b2df-508b3c5dfc98" ma:termSetId="54b85ca4-9023-4cbf-8e96-81af7735228f" ma:anchorId="00000000-0000-0000-0000-000000000000" ma:open="false" ma:isKeyword="false">
      <xsd:complexType>
        <xsd:sequence>
          <xsd:element ref="pc:Terms" minOccurs="0" maxOccurs="1"/>
        </xsd:sequence>
      </xsd:complexType>
    </xsd:element>
    <xsd:element name="DocumentType_0" ma:index="35" nillable="true" ma:taxonomy="true" ma:internalName="DocumentType_0" ma:taxonomyFieldName="DocumentType" ma:displayName="Document Type" ma:indexed="true" ma:fieldId="{ee5cf431-2d10-41e6-bd88-1b6bd5b84f5f}" ma:sspId="5004ddca-ed1a-45fa-b2df-508b3c5dfc98" ma:termSetId="67a76952-94e0-437b-9a60-5085083dde02" ma:anchorId="00000000-0000-0000-0000-000000000000" ma:open="false" ma:isKeyword="false">
      <xsd:complexType>
        <xsd:sequence>
          <xsd:element ref="pc:Terms" minOccurs="0" maxOccurs="1"/>
        </xsd:sequence>
      </xsd:complexType>
    </xsd:element>
    <xsd:element name="MeetingName_0" ma:index="38" nillable="true" ma:taxonomy="true" ma:internalName="MeetingName_0" ma:taxonomyFieldName="MeetingName" ma:displayName="Meeting Name" ma:indexed="true" ma:fieldId="{ee5c9b55-8403-4f9e-a156-b6ce5b7b9456}" ma:sspId="5004ddca-ed1a-45fa-b2df-508b3c5dfc98" ma:termSetId="a04e9634-de73-4a41-8cb5-e1efdb89060c" ma:anchorId="00000000-0000-0000-0000-000000000000" ma:open="false" ma:isKeyword="false">
      <xsd:complexType>
        <xsd:sequence>
          <xsd:element ref="pc:Terms" minOccurs="0" maxOccurs="1"/>
        </xsd:sequence>
      </xsd:complexType>
    </xsd:element>
    <xsd:element name="AvailableTranslations_0" ma:index="40" nillable="true" ma:taxonomy="true" ma:internalName="AvailableTranslations_0" ma:taxonomyFieldName="AvailableTranslations" ma:displayName="Available Translations" ma:fieldId="{ee5c7c01-1a65-4138-aa64-80e01e34d799}"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DossierName_0" ma:index="45" nillable="true" ma:taxonomy="true" ma:internalName="DossierName_0" ma:taxonomyFieldName="DossierName" ma:displayName="Dossier Name" ma:fieldId="{ee5cf7da-503b-4593-8db2-4f0e09c901fd}" ma:sspId="5004ddca-ed1a-45fa-b2df-508b3c5dfc98" ma:termSetId="2b392f04-1222-4352-87c1-6fd60ec33b64"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e83899-37aa-47c6-ba54-4ea80e9c17cf" elementFormDefault="qualified">
    <xsd:import namespace="http://schemas.microsoft.com/office/2006/documentManagement/types"/>
    <xsd:import namespace="http://schemas.microsoft.com/office/infopath/2007/PartnerControls"/>
    <xsd:element name="MeetingNumber" ma:index="16" nillable="true" ma:displayName="Meeting Number" ma:decimals="0" ma:indexed="true" ma:internalName="MeetingNumber">
      <xsd:simpleType>
        <xsd:restriction base="dms:Unknown"/>
      </xsd:simpleType>
    </xsd:element>
    <xsd:element name="DocumentNumber" ma:index="25" nillable="true" ma:displayName="Document Number" ma:decimals="0" ma:indexed="true" ma:internalName="DocumentNumber">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26F3AFE3-F37D-4802-B885-E2B379E8164F}">
  <ds:schemaRefs>
    <ds:schemaRef ds:uri="http://schemas.microsoft.com/sharepoint/v3/contenttype/forms"/>
  </ds:schemaRefs>
</ds:datastoreItem>
</file>

<file path=customXml/itemProps2.xml><?xml version="1.0" encoding="utf-8"?>
<ds:datastoreItem xmlns:ds="http://schemas.openxmlformats.org/officeDocument/2006/customXml" ds:itemID="{20C32586-58A2-426E-8B89-8C1533FDA79C}">
  <ds:schemaRefs>
    <ds:schemaRef ds:uri="http://schemas.microsoft.com/office/2006/metadata/properties"/>
    <ds:schemaRef ds:uri="http://schemas.microsoft.com/office/infopath/2007/PartnerControls"/>
    <ds:schemaRef ds:uri="1a33af13-4045-4f88-9d7b-618e30f79918"/>
    <ds:schemaRef ds:uri="http://schemas.microsoft.com/sharepoint/v3/fields"/>
    <ds:schemaRef ds:uri="a3e83899-37aa-47c6-ba54-4ea80e9c17cf"/>
  </ds:schemaRefs>
</ds:datastoreItem>
</file>

<file path=customXml/itemProps3.xml><?xml version="1.0" encoding="utf-8"?>
<ds:datastoreItem xmlns:ds="http://schemas.openxmlformats.org/officeDocument/2006/customXml" ds:itemID="{FCA905F1-5954-4B36-B0A9-491C3CF99F38}"/>
</file>

<file path=customXml/itemProps4.xml><?xml version="1.0" encoding="utf-8"?>
<ds:datastoreItem xmlns:ds="http://schemas.openxmlformats.org/officeDocument/2006/customXml" ds:itemID="{F2536821-B2C7-4A5E-AAE0-36EC2E2269F7}">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4369</Words>
  <Characters>27499</Characters>
  <Application>Microsoft Office Word</Application>
  <DocSecurity>0</DocSecurity>
  <Lines>229</Lines>
  <Paragraphs>63</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Competitiveness fund</vt:lpstr>
      <vt:lpstr>Competitiveness fund</vt:lpstr>
    </vt:vector>
  </TitlesOfParts>
  <Manager/>
  <Company/>
  <LinksUpToDate>false</LinksUpToDate>
  <CharactersWithSpaces>31805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Europees Fonds voor concurrentievermogen</dc:title>
  <dc:subject>Section opinion</dc:subject>
  <dc:creator/>
  <cp:keywords>EESC-2025-02576-00-00-AS-TRA-EN</cp:keywords>
  <dc:description>Rapporteur: - ANGELOVA Original language: - EN Date of document: - 18/11/2025 Date of meeting: - 03/12/2025 External documents: - COM(2025)555- final Administrator responsible: - Mme STAFFA Silvia</dc:description>
  <cp:lastModifiedBy/>
  <cp:revision>9</cp:revision>
  <cp:lastPrinted>2025-08-04T07:25:00Z</cp:lastPrinted>
  <dcterms:created xsi:type="dcterms:W3CDTF">2025-11-19T12:58:00Z</dcterms:created>
  <dcterms:modified xsi:type="dcterms:W3CDTF">2025-11-20T13:26:00Z</dcterms:modified>
  <cp:category>INT/1101</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ef_formatted">
    <vt:bool>true</vt:bool>
  </property>
  <property fmtid="{D5CDD505-2E9C-101B-9397-08002B2CF9AE}" pid="3" name="Pref_Date">
    <vt:lpwstr>19/11/2025, 18/11/2025, 03/11/2025, 08/10/2025, 07/10/2025, 22/08/2025, 03-07-2025, 12/04/2024, 03/04/2024, 11/03/2024, 04/03/2024, 04/03/2024, 04/03/2024, 20/12/2023, 17/05/2022, 04/11/2015, 27/10/2015, 19/10/2015, 09/10/2015, 05/10/2015, 05/10/2015, 26/</vt:lpwstr>
  </property>
  <property fmtid="{D5CDD505-2E9C-101B-9397-08002B2CF9AE}" pid="4" name="Pref_Time">
    <vt:lpwstr>13:58:09, 17:35:46, 17:02:00, 16:38:51, 09:40:47, 15:01:46, 08:56:40, 11:59:36, 08:10:26, 12:03:24, 12:56:55, 12:41:08, 11:08:50, 07:02:01, 13:02:32, 12/10/07, 14:44:02, 16/04/16, 14:09:30, 16:24:55, 16:04:02, 08:56:14, 07:27:56, 17:31:53</vt:lpwstr>
  </property>
  <property fmtid="{D5CDD505-2E9C-101B-9397-08002B2CF9AE}" pid="5" name="Pref_User">
    <vt:lpwstr>pacup, jhvi, pacup, amett, amett, pacup, pacup, enied, enied, enied, enied, enied, enied, enied, enied, ssex, enied, amett, tvoc, mreg, mreg, amett, enied, ssex</vt:lpwstr>
  </property>
  <property fmtid="{D5CDD505-2E9C-101B-9397-08002B2CF9AE}" pid="6" name="Pref_FileName">
    <vt:lpwstr>EESC-2025-02576-00-01-AS-ORI.docx, EESC-2025-02576-00-00-AS-TRA-EN-CRR.docx, EESC-2025-02576-00-00-PA-ORI.docx, EESC-2025-02576-00-01-APA-ORI.docx, EESC-2025-02576-00-00-APA-ORI.docx, EESC-2025-02576-00-00-DT-ORI.docx, EESC-2025-01910-00-00-DT-ORI.docx, C</vt:lpwstr>
  </property>
  <property fmtid="{D5CDD505-2E9C-101B-9397-08002B2CF9AE}" pid="7" name="ContentTypeId">
    <vt:lpwstr>0x010100EA97B91038054C99906057A708A1480A004B94E0CD93B68F4F96D67EEBEC8A7176</vt:lpwstr>
  </property>
  <property fmtid="{D5CDD505-2E9C-101B-9397-08002B2CF9AE}" pid="8" name="_dlc_DocIdItemGuid">
    <vt:lpwstr>b8bc72d7-19fd-44ec-8ac2-8b69771814a4</vt:lpwstr>
  </property>
  <property fmtid="{D5CDD505-2E9C-101B-9397-08002B2CF9AE}" pid="9" name="Procedure">
    <vt:lpwstr>2025/0555(COD)</vt:lpwstr>
  </property>
  <property fmtid="{D5CDD505-2E9C-101B-9397-08002B2CF9AE}" pid="10" name="AvailableTranslations">
    <vt:lpwstr>40;#DA|5d49c027-8956-412b-aa16-e85a0f96ad0e;#42;#EL|6d4f4d51-af9b-4650-94b4-4276bee85c91;#30;#LT|a7ff5ce7-6123-4f68-865a-a57c31810414;#23;#DE|f6b31e5a-26fa-4935-b661-318e46daf27e;#43;#GA|762d2456-c427-4ecb-b312-af3dad8e258c;#34;#IT|0774613c-01ed-4e5d-a25d-11d2388de825;#46;#SK|46d9fce0-ef79-4f71-b89b-cd6aa82426b8;#28;#SV|c2ed69e7-a339-43d7-8f22-d93680a92aa0;#36;#RO|feb747a2-64cd-4299-af12-4833ddc30497;#41;#ET|ff6c3f4c-b02c-4c3c-ab07-2c37995a7a0a;#16;#ES|e7a6b05b-ae16-40c8-add9-68b64b03aeba;#5;#EN|f2175f21-25d7-44a3-96da-d6a61b075e1b;#27;#NL|55c6556c-b4f4-441d-9acf-c498d4f838bd;#12;#FR|d2afafd3-4c81-4f60-8f52-ee33f2f54ff3;#33;#PT|50ccc04a-eadd-42ae-a0cb-acaf45f812ba;#37;#HU|6b229040-c589-4408-b4c1-4285663d20a8;#50;#HR|2f555653-ed1a-4fe6-8362-9082d95989e5;#35;#FI|87606a43-d45f-42d6-b8c9-e1a3457db5b7;#24;#PL|1e03da61-4678-4e07-b136-b5024ca9197b;#47;#BG|1a1b3951-7821-4e6a-85f5-5673fc08bd2c;#29;#CS|72f9705b-0217-4fd3-bea2-cbc7ed80e26e;#32;#MT|7df99101-6854-4a26-b53a-b88c0da02c26;#39;#LV|46f7e311-5d9f-4663-b433-18aeccb7ace7;#31;#SL|98a412ae-eb01-49e9-ae3d-585a81724cfc</vt:lpwstr>
  </property>
  <property fmtid="{D5CDD505-2E9C-101B-9397-08002B2CF9AE}" pid="11" name="DocumentType_0">
    <vt:lpwstr>AS|c7a748eb-f6f2-4d9d-8b5a-af0cafebc224</vt:lpwstr>
  </property>
  <property fmtid="{D5CDD505-2E9C-101B-9397-08002B2CF9AE}" pid="12" name="MeetingNumber">
    <vt:i4>601</vt:i4>
  </property>
  <property fmtid="{D5CDD505-2E9C-101B-9397-08002B2CF9AE}" pid="13" name="DossierName_0">
    <vt:lpwstr>INT|e1edfecb-ed43-427b-bb02-d45fe6645386</vt:lpwstr>
  </property>
  <property fmtid="{D5CDD505-2E9C-101B-9397-08002B2CF9AE}" pid="14" name="DocumentSource_0">
    <vt:lpwstr>EESC|422833ec-8d7e-4e65-8e4e-8bed07ffb729</vt:lpwstr>
  </property>
  <property fmtid="{D5CDD505-2E9C-101B-9397-08002B2CF9AE}" pid="15" name="DocumentNumber">
    <vt:i4>2576</vt:i4>
  </property>
  <property fmtid="{D5CDD505-2E9C-101B-9397-08002B2CF9AE}" pid="16" name="FicheYear">
    <vt:i4>2025</vt:i4>
  </property>
  <property fmtid="{D5CDD505-2E9C-101B-9397-08002B2CF9AE}" pid="17" name="DocumentVersion">
    <vt:i4>1</vt:i4>
  </property>
  <property fmtid="{D5CDD505-2E9C-101B-9397-08002B2CF9AE}" pid="18" name="DossierNumber">
    <vt:i4>1101</vt:i4>
  </property>
  <property fmtid="{D5CDD505-2E9C-101B-9397-08002B2CF9AE}" pid="19" name="DocumentStatus">
    <vt:lpwstr>13;#TRA|150d2a88-1431-44e6-a8ca-0bb753ab8672</vt:lpwstr>
  </property>
  <property fmtid="{D5CDD505-2E9C-101B-9397-08002B2CF9AE}" pid="20" name="DossierName">
    <vt:lpwstr>51;#INT|e1edfecb-ed43-427b-bb02-d45fe6645386</vt:lpwstr>
  </property>
  <property fmtid="{D5CDD505-2E9C-101B-9397-08002B2CF9AE}" pid="21" name="RequestingService">
    <vt:lpwstr>Marché unique, production, consommation</vt:lpwstr>
  </property>
  <property fmtid="{D5CDD505-2E9C-101B-9397-08002B2CF9AE}" pid="22" name="Confidentiality">
    <vt:lpwstr>15;#Unrestricted|826e22d7-d029-4ec0-a450-0c28ff673572</vt:lpwstr>
  </property>
  <property fmtid="{D5CDD505-2E9C-101B-9397-08002B2CF9AE}" pid="23" name="MeetingName_0">
    <vt:lpwstr>SPL-CES|32d8cb1f-c9ec-4365-95c7-8385a18618ac</vt:lpwstr>
  </property>
  <property fmtid="{D5CDD505-2E9C-101B-9397-08002B2CF9AE}" pid="24" name="Confidentiality_0">
    <vt:lpwstr>Unrestricted|826e22d7-d029-4ec0-a450-0c28ff673572</vt:lpwstr>
  </property>
  <property fmtid="{D5CDD505-2E9C-101B-9397-08002B2CF9AE}" pid="25" name="OriginalLanguage">
    <vt:lpwstr>5;#EN|f2175f21-25d7-44a3-96da-d6a61b075e1b</vt:lpwstr>
  </property>
  <property fmtid="{D5CDD505-2E9C-101B-9397-08002B2CF9AE}" pid="26" name="MeetingName">
    <vt:lpwstr>67;#SPL-CES|32d8cb1f-c9ec-4365-95c7-8385a18618ac</vt:lpwstr>
  </property>
  <property fmtid="{D5CDD505-2E9C-101B-9397-08002B2CF9AE}" pid="27" name="MeetingDate">
    <vt:filetime>2025-12-03T12:00:00Z</vt:filetime>
  </property>
  <property fmtid="{D5CDD505-2E9C-101B-9397-08002B2CF9AE}" pid="28" name="AvailableTranslations_0">
    <vt:lpwstr>DA|5d49c027-8956-412b-aa16-e85a0f96ad0e;DE|f6b31e5a-26fa-4935-b661-318e46daf27e;GA|762d2456-c427-4ecb-b312-af3dad8e258c;IT|0774613c-01ed-4e5d-a25d-11d2388de825;SK|46d9fce0-ef79-4f71-b89b-cd6aa82426b8;EN|f2175f21-25d7-44a3-96da-d6a61b075e1b;FR|d2afafd3-4c81-4f60-8f52-ee33f2f54ff3;PT|50ccc04a-eadd-42ae-a0cb-acaf45f812ba;PL|1e03da61-4678-4e07-b136-b5024ca9197b;BG|1a1b3951-7821-4e6a-85f5-5673fc08bd2c;MT|7df99101-6854-4a26-b53a-b88c0da02c26;LV|46f7e311-5d9f-4663-b433-18aeccb7ace7</vt:lpwstr>
  </property>
  <property fmtid="{D5CDD505-2E9C-101B-9397-08002B2CF9AE}" pid="29" name="DocumentStatus_0">
    <vt:lpwstr>TRA|150d2a88-1431-44e6-a8ca-0bb753ab8672</vt:lpwstr>
  </property>
  <property fmtid="{D5CDD505-2E9C-101B-9397-08002B2CF9AE}" pid="30" name="OriginalLanguage_0">
    <vt:lpwstr>EN|f2175f21-25d7-44a3-96da-d6a61b075e1b</vt:lpwstr>
  </property>
  <property fmtid="{D5CDD505-2E9C-101B-9397-08002B2CF9AE}" pid="31" name="TaxCatchAll">
    <vt:lpwstr>34;#IT|0774613c-01ed-4e5d-a25d-11d2388de825;#33;#PT|50ccc04a-eadd-42ae-a0cb-acaf45f812ba;#32;#MT|7df99101-6854-4a26-b53a-b88c0da02c26;#67;#SPL-CES|32d8cb1f-c9ec-4365-95c7-8385a18618ac;#24;#PL|1e03da61-4678-4e07-b136-b5024ca9197b;#23;#DE|f6b31e5a-26fa-4935-b661-318e46daf27e;#15;#Unrestricted|826e22d7-d029-4ec0-a450-0c28ff673572;#126;#AS|c7a748eb-f6f2-4d9d-8b5a-af0cafebc224;#51;#INT|e1edfecb-ed43-427b-bb02-d45fe6645386;#13;#TRA|150d2a88-1431-44e6-a8ca-0bb753ab8672;#12;#FR|d2afafd3-4c81-4f60-8f52-ee33f2f54ff3;#47;#BG|1a1b3951-7821-4e6a-85f5-5673fc08bd2c;#46;#SK|46d9fce0-ef79-4f71-b89b-cd6aa82426b8;#8;#Final|ea5e6674-7b27-4bac-b091-73adbb394efe;#43;#GA|762d2456-c427-4ecb-b312-af3dad8e258c;#5;#EN|f2175f21-25d7-44a3-96da-d6a61b075e1b;#40;#DA|5d49c027-8956-412b-aa16-e85a0f96ad0e;#39;#LV|46f7e311-5d9f-4663-b433-18aeccb7ace7;#1;#EESC|422833ec-8d7e-4e65-8e4e-8bed07ffb729</vt:lpwstr>
  </property>
  <property fmtid="{D5CDD505-2E9C-101B-9397-08002B2CF9AE}" pid="32" name="Rapporteur">
    <vt:lpwstr>ANGELOVA</vt:lpwstr>
  </property>
  <property fmtid="{D5CDD505-2E9C-101B-9397-08002B2CF9AE}" pid="33" name="VersionStatus_0">
    <vt:lpwstr>Final|ea5e6674-7b27-4bac-b091-73adbb394efe</vt:lpwstr>
  </property>
  <property fmtid="{D5CDD505-2E9C-101B-9397-08002B2CF9AE}" pid="34" name="VersionStatus">
    <vt:lpwstr>8;#Final|ea5e6674-7b27-4bac-b091-73adbb394efe</vt:lpwstr>
  </property>
  <property fmtid="{D5CDD505-2E9C-101B-9397-08002B2CF9AE}" pid="35" name="DocumentYear">
    <vt:i4>2025</vt:i4>
  </property>
  <property fmtid="{D5CDD505-2E9C-101B-9397-08002B2CF9AE}" pid="36" name="FicheNumber">
    <vt:i4>296703</vt:i4>
  </property>
  <property fmtid="{D5CDD505-2E9C-101B-9397-08002B2CF9AE}" pid="37" name="DocumentPart">
    <vt:i4>0</vt:i4>
  </property>
  <property fmtid="{D5CDD505-2E9C-101B-9397-08002B2CF9AE}" pid="38" name="DocumentSource">
    <vt:lpwstr>1;#EESC|422833ec-8d7e-4e65-8e4e-8bed07ffb729</vt:lpwstr>
  </property>
  <property fmtid="{D5CDD505-2E9C-101B-9397-08002B2CF9AE}" pid="39" name="DocumentType">
    <vt:lpwstr>126;#AS|c7a748eb-f6f2-4d9d-8b5a-af0cafebc224</vt:lpwstr>
  </property>
  <property fmtid="{D5CDD505-2E9C-101B-9397-08002B2CF9AE}" pid="40" name="DocumentLanguage">
    <vt:lpwstr>27;#NL|55c6556c-b4f4-441d-9acf-c498d4f838bd</vt:lpwstr>
  </property>
  <property fmtid="{D5CDD505-2E9C-101B-9397-08002B2CF9AE}" pid="41" name="_docset_NoMedatataSyncRequired">
    <vt:lpwstr>False</vt:lpwstr>
  </property>
  <property fmtid="{D5CDD505-2E9C-101B-9397-08002B2CF9AE}" pid="42" name="DocumentLanguage_0">
    <vt:lpwstr>EN|f2175f21-25d7-44a3-96da-d6a61b075e1b</vt:lpwstr>
  </property>
</Properties>
</file>