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CB517" w14:textId="36D3B694" w:rsidR="0090606C" w:rsidRPr="0036350D" w:rsidRDefault="00FD4E6A">
      <w:pPr>
        <w:jc w:val="center"/>
      </w:pPr>
      <w:r>
        <w:rPr>
          <w:noProof/>
        </w:rPr>
        <w:drawing>
          <wp:inline distT="0" distB="0" distL="0" distR="0" wp14:anchorId="51A3A240" wp14:editId="71ADE268">
            <wp:extent cx="1792605" cy="1239520"/>
            <wp:effectExtent l="0" t="0" r="0" b="0"/>
            <wp:docPr id="1" name="Picture 1" title="EESCLogo_FR"/>
            <wp:cNvGraphicFramePr/>
            <a:graphic xmlns:a="http://schemas.openxmlformats.org/drawingml/2006/main">
              <a:graphicData uri="http://schemas.openxmlformats.org/drawingml/2006/picture">
                <pic:pic xmlns:pic="http://schemas.openxmlformats.org/drawingml/2006/picture">
                  <pic:nvPicPr>
                    <pic:cNvPr id="1" name="Picture 1" title="EESCLogo_FR"/>
                    <pic:cNvPicPr/>
                  </pic:nvPicPr>
                  <pic:blipFill>
                    <a:blip r:embed="rId11"/>
                    <a:stretch>
                      <a:fillRect/>
                    </a:stretch>
                  </pic:blipFill>
                  <pic:spPr>
                    <a:xfrm>
                      <a:off x="0" y="0"/>
                      <a:ext cx="1792605" cy="1239520"/>
                    </a:xfrm>
                    <a:prstGeom prst="rect">
                      <a:avLst/>
                    </a:prstGeom>
                  </pic:spPr>
                </pic:pic>
              </a:graphicData>
            </a:graphic>
          </wp:inline>
        </w:drawing>
      </w:r>
      <w:r w:rsidR="00601604">
        <w:rPr>
          <w:noProof/>
          <w:sz w:val="20"/>
        </w:rPr>
        <mc:AlternateContent>
          <mc:Choice Requires="wps">
            <w:drawing>
              <wp:anchor distT="0" distB="0" distL="114300" distR="114300" simplePos="0" relativeHeight="251658240" behindDoc="1" locked="0" layoutInCell="0" allowOverlap="1" wp14:anchorId="03DC7385" wp14:editId="73101CE9">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F93A4D" w14:textId="77777777" w:rsidR="0090606C" w:rsidRDefault="00601604">
                            <w:pPr>
                              <w:jc w:val="center"/>
                              <w:rPr>
                                <w:rFonts w:ascii="Arial" w:hAnsi="Arial" w:cs="Arial"/>
                                <w:b/>
                                <w:bCs/>
                                <w:sz w:val="48"/>
                              </w:rPr>
                            </w:pPr>
                            <w:r>
                              <w:rPr>
                                <w:rFonts w:ascii="Arial" w:hAnsi="Arial"/>
                                <w:b/>
                                <w:sz w:val="48"/>
                              </w:rPr>
                              <w:t>FR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DC7385"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2CF93A4D" w14:textId="77777777" w:rsidR="0090606C" w:rsidRDefault="00601604">
                      <w:pPr>
                        <w:jc w:val="center"/>
                        <w:rPr>
                          <w:rFonts w:ascii="Arial" w:hAnsi="Arial" w:cs="Arial"/>
                          <w:b/>
                          <w:bCs/>
                          <w:sz w:val="48"/>
                        </w:rPr>
                      </w:pPr>
                      <w:r>
                        <w:rPr>
                          <w:rFonts w:ascii="Arial" w:hAnsi="Arial"/>
                          <w:b/>
                          <w:sz w:val="48"/>
                        </w:rPr>
                        <w:t>FR</w:t>
                      </w:r>
                    </w:p>
                  </w:txbxContent>
                </v:textbox>
                <w10:wrap anchorx="page" anchory="page"/>
              </v:shape>
            </w:pict>
          </mc:Fallback>
        </mc:AlternateContent>
      </w:r>
    </w:p>
    <w:p w14:paraId="7DEC2BE9" w14:textId="77777777" w:rsidR="0090606C" w:rsidRPr="0036350D" w:rsidRDefault="0090606C">
      <w:pPr>
        <w:jc w:val="left"/>
        <w:rPr>
          <w:lang w:val="en-GB"/>
        </w:rPr>
      </w:pPr>
    </w:p>
    <w:p w14:paraId="685D93E3" w14:textId="77777777" w:rsidR="0090606C" w:rsidRPr="0036350D" w:rsidRDefault="00601604">
      <w:pPr>
        <w:jc w:val="right"/>
      </w:pPr>
      <w:r>
        <w:rPr>
          <w:b/>
        </w:rPr>
        <w:t>INT/1101</w:t>
      </w:r>
    </w:p>
    <w:p w14:paraId="68FF4A3F" w14:textId="77777777" w:rsidR="0090606C" w:rsidRPr="0036350D" w:rsidRDefault="00601604">
      <w:pPr>
        <w:jc w:val="right"/>
      </w:pPr>
      <w:r>
        <w:rPr>
          <w:b/>
        </w:rPr>
        <w:t>Fonds pour la compétitivité</w:t>
      </w:r>
    </w:p>
    <w:p w14:paraId="24D04A79" w14:textId="77777777" w:rsidR="0090606C" w:rsidRPr="0036350D" w:rsidRDefault="0090606C">
      <w:pPr>
        <w:rPr>
          <w:lang w:val="en-GB"/>
        </w:rPr>
      </w:pPr>
    </w:p>
    <w:p w14:paraId="65C5D9E6" w14:textId="77777777" w:rsidR="0090606C" w:rsidRPr="0036350D" w:rsidRDefault="0090606C">
      <w:pPr>
        <w:rPr>
          <w:lang w:val="en-GB"/>
        </w:rPr>
      </w:pPr>
    </w:p>
    <w:p w14:paraId="72453381" w14:textId="219B9A27" w:rsidR="0090606C" w:rsidRPr="0036350D" w:rsidRDefault="00601604">
      <w:pPr>
        <w:jc w:val="center"/>
        <w:rPr>
          <w:b/>
          <w:bCs/>
          <w:sz w:val="28"/>
          <w:szCs w:val="28"/>
        </w:rPr>
      </w:pPr>
      <w:r>
        <w:rPr>
          <w:b/>
          <w:sz w:val="28"/>
        </w:rPr>
        <w:t>AVIS</w:t>
      </w:r>
    </w:p>
    <w:p w14:paraId="63D5CBBB" w14:textId="77777777" w:rsidR="0090606C" w:rsidRPr="0036350D" w:rsidRDefault="0090606C">
      <w:pPr>
        <w:jc w:val="center"/>
        <w:rPr>
          <w:lang w:val="en-GB"/>
        </w:rPr>
      </w:pPr>
    </w:p>
    <w:p w14:paraId="1BF5A61E" w14:textId="77777777" w:rsidR="0090606C" w:rsidRPr="0036350D" w:rsidRDefault="00601604">
      <w:pPr>
        <w:jc w:val="center"/>
      </w:pPr>
      <w:r>
        <w:t>Section</w:t>
      </w:r>
      <w:proofErr w:type="gramStart"/>
      <w:r>
        <w:t xml:space="preserve"> «Marché</w:t>
      </w:r>
      <w:proofErr w:type="gramEnd"/>
      <w:r>
        <w:t xml:space="preserve"> unique, production et consommation»</w:t>
      </w:r>
    </w:p>
    <w:p w14:paraId="39F296EE" w14:textId="77777777" w:rsidR="0090606C" w:rsidRPr="0036350D" w:rsidRDefault="0090606C">
      <w:pPr>
        <w:jc w:val="center"/>
        <w:rPr>
          <w:lang w:val="en-GB"/>
        </w:rPr>
      </w:pPr>
    </w:p>
    <w:p w14:paraId="2A94ED9F" w14:textId="77777777" w:rsidR="0090606C" w:rsidRPr="0036350D" w:rsidRDefault="00601604">
      <w:pPr>
        <w:ind w:left="360"/>
        <w:jc w:val="center"/>
        <w:rPr>
          <w:b/>
          <w:bCs/>
        </w:rPr>
      </w:pPr>
      <w:r>
        <w:rPr>
          <w:b/>
        </w:rPr>
        <w:t>Proposition de règlement du Parlement européen et du Conseil sur l’établissement du Fonds européen pour la compétitivité, comprenant le programme spécifique pour les activités de recherche et développement en matière de défense, abrogeant les règlements (UE) 2021/522, (UE) 2021/694, (UE) 2021/697 et (UE) 2021/783, et modifiant les règlements (UE) 2021/696, (UE) 2023/588 et (UE) [programme pour l’industrie européenne de la défense]</w:t>
      </w:r>
    </w:p>
    <w:p w14:paraId="2E6CB957" w14:textId="77777777" w:rsidR="0090606C" w:rsidRPr="0036350D" w:rsidRDefault="00601604">
      <w:pPr>
        <w:jc w:val="center"/>
      </w:pPr>
      <w:r>
        <w:t>[</w:t>
      </w:r>
      <w:proofErr w:type="gramStart"/>
      <w:r>
        <w:t>COM(</w:t>
      </w:r>
      <w:proofErr w:type="gramEnd"/>
      <w:r>
        <w:t>2025) 555 final — 2025/0555 (COD)]</w:t>
      </w:r>
    </w:p>
    <w:p w14:paraId="1C0F0A83" w14:textId="77777777" w:rsidR="0090606C" w:rsidRPr="0036350D" w:rsidRDefault="0090606C">
      <w:pPr>
        <w:jc w:val="center"/>
        <w:rPr>
          <w:lang w:val="en-GB"/>
        </w:rPr>
      </w:pPr>
    </w:p>
    <w:tbl>
      <w:tblPr>
        <w:tblpPr w:leftFromText="181" w:rightFromText="181" w:tblpYSpec="bottom"/>
        <w:tblOverlap w:val="never"/>
        <w:tblW w:w="9289" w:type="dxa"/>
        <w:tblLayout w:type="fixed"/>
        <w:tblLook w:val="04A0" w:firstRow="1" w:lastRow="0" w:firstColumn="1" w:lastColumn="0" w:noHBand="0" w:noVBand="1"/>
      </w:tblPr>
      <w:tblGrid>
        <w:gridCol w:w="3119"/>
        <w:gridCol w:w="6170"/>
      </w:tblGrid>
      <w:tr w:rsidR="0090606C" w:rsidRPr="0036350D" w14:paraId="3C076D4A" w14:textId="77777777">
        <w:tc>
          <w:tcPr>
            <w:tcW w:w="3119" w:type="dxa"/>
          </w:tcPr>
          <w:p w14:paraId="4FCD4D20" w14:textId="77777777" w:rsidR="0090606C" w:rsidRPr="0036350D" w:rsidRDefault="00601604">
            <w:r>
              <w:t>Administratrice</w:t>
            </w:r>
          </w:p>
        </w:tc>
        <w:tc>
          <w:tcPr>
            <w:tcW w:w="6170" w:type="dxa"/>
          </w:tcPr>
          <w:p w14:paraId="12149E3E" w14:textId="77777777" w:rsidR="0090606C" w:rsidRPr="0036350D" w:rsidRDefault="00601604">
            <w:pPr>
              <w:jc w:val="left"/>
            </w:pPr>
            <w:r>
              <w:t>Silvia STAFFA</w:t>
            </w:r>
          </w:p>
        </w:tc>
      </w:tr>
      <w:tr w:rsidR="0090606C" w:rsidRPr="0036350D" w14:paraId="4D6908BE" w14:textId="77777777">
        <w:tc>
          <w:tcPr>
            <w:tcW w:w="3119" w:type="dxa"/>
          </w:tcPr>
          <w:p w14:paraId="03F895A4" w14:textId="77777777" w:rsidR="0090606C" w:rsidRPr="0036350D" w:rsidRDefault="00601604">
            <w:r>
              <w:t>Date du document</w:t>
            </w:r>
          </w:p>
        </w:tc>
        <w:tc>
          <w:tcPr>
            <w:tcW w:w="6170" w:type="dxa"/>
          </w:tcPr>
          <w:p w14:paraId="72915B50" w14:textId="5DBAB995" w:rsidR="0090606C" w:rsidRPr="0036350D" w:rsidRDefault="0036350D">
            <w:pPr>
              <w:jc w:val="left"/>
            </w:pPr>
            <w:r>
              <w:t>20/11/2025</w:t>
            </w:r>
          </w:p>
        </w:tc>
      </w:tr>
    </w:tbl>
    <w:p w14:paraId="51814474" w14:textId="77777777" w:rsidR="0090606C" w:rsidRPr="0036350D" w:rsidRDefault="00601604">
      <w:pPr>
        <w:jc w:val="center"/>
        <w:rPr>
          <w:b/>
          <w:bCs/>
        </w:rPr>
      </w:pPr>
      <w:proofErr w:type="spellStart"/>
      <w:proofErr w:type="gramStart"/>
      <w:r>
        <w:t>Rapporteure</w:t>
      </w:r>
      <w:proofErr w:type="spellEnd"/>
      <w:r>
        <w:t>:</w:t>
      </w:r>
      <w:proofErr w:type="gramEnd"/>
      <w:r>
        <w:t xml:space="preserve"> </w:t>
      </w:r>
      <w:r>
        <w:rPr>
          <w:b/>
        </w:rPr>
        <w:t>Milena ANGELOVA</w:t>
      </w:r>
    </w:p>
    <w:p w14:paraId="672BF167" w14:textId="77777777" w:rsidR="0090606C" w:rsidRPr="0036350D" w:rsidRDefault="0090606C">
      <w:pPr>
        <w:rPr>
          <w:lang w:val="en-GB"/>
        </w:rPr>
      </w:pPr>
    </w:p>
    <w:p w14:paraId="1BD8DF67" w14:textId="77777777" w:rsidR="0090606C" w:rsidRPr="0036350D" w:rsidRDefault="0090606C">
      <w:pPr>
        <w:rPr>
          <w:lang w:val="en-GB"/>
        </w:rPr>
        <w:sectPr w:rsidR="0090606C" w:rsidRPr="0036350D" w:rsidSect="00432D8E">
          <w:headerReference w:type="even" r:id="rId12"/>
          <w:headerReference w:type="default" r:id="rId13"/>
          <w:footerReference w:type="even" r:id="rId14"/>
          <w:footerReference w:type="default" r:id="rId15"/>
          <w:headerReference w:type="first" r:id="rId16"/>
          <w:footerReference w:type="first" r:id="rId17"/>
          <w:pgSz w:w="11907" w:h="16839" w:code="9"/>
          <w:pgMar w:top="1417" w:right="1417" w:bottom="1417" w:left="1417" w:header="709" w:footer="709" w:gutter="0"/>
          <w:pgNumType w:start="1"/>
          <w:cols w:space="720"/>
          <w:docGrid w:linePitch="299"/>
        </w:sectPr>
      </w:pPr>
    </w:p>
    <w:p w14:paraId="6E6EA355" w14:textId="77777777" w:rsidR="0090606C" w:rsidRPr="0036350D" w:rsidRDefault="0090606C">
      <w:pPr>
        <w:rPr>
          <w:lang w:val="en-GB"/>
        </w:rPr>
      </w:pPr>
    </w:p>
    <w:tbl>
      <w:tblPr>
        <w:tblW w:w="0" w:type="auto"/>
        <w:tblLook w:val="04A0" w:firstRow="1" w:lastRow="0" w:firstColumn="1" w:lastColumn="0" w:noHBand="0" w:noVBand="1"/>
      </w:tblPr>
      <w:tblGrid>
        <w:gridCol w:w="3055"/>
        <w:gridCol w:w="6018"/>
      </w:tblGrid>
      <w:tr w:rsidR="0090606C" w:rsidRPr="003906A8" w14:paraId="2751D80C" w14:textId="77777777">
        <w:tc>
          <w:tcPr>
            <w:tcW w:w="3055" w:type="dxa"/>
          </w:tcPr>
          <w:p w14:paraId="257CF595" w14:textId="77777777" w:rsidR="0090606C" w:rsidRPr="0036350D" w:rsidRDefault="00601604">
            <w:pPr>
              <w:jc w:val="left"/>
            </w:pPr>
            <w:r>
              <w:t>Conseillère</w:t>
            </w:r>
          </w:p>
        </w:tc>
        <w:tc>
          <w:tcPr>
            <w:tcW w:w="6018" w:type="dxa"/>
          </w:tcPr>
          <w:p w14:paraId="45E618CA" w14:textId="77777777" w:rsidR="0090606C" w:rsidRPr="00557D20" w:rsidRDefault="00601604">
            <w:pPr>
              <w:jc w:val="left"/>
            </w:pPr>
            <w:proofErr w:type="spellStart"/>
            <w:r>
              <w:t>Tellervo</w:t>
            </w:r>
            <w:proofErr w:type="spellEnd"/>
            <w:r>
              <w:t xml:space="preserve"> KYLÄ-HARAKKA-RUONALA (pour la </w:t>
            </w:r>
            <w:proofErr w:type="spellStart"/>
            <w:r>
              <w:t>rapporteure</w:t>
            </w:r>
            <w:proofErr w:type="spellEnd"/>
            <w:r>
              <w:t>)</w:t>
            </w:r>
          </w:p>
        </w:tc>
      </w:tr>
      <w:tr w:rsidR="0090606C" w:rsidRPr="0036350D" w14:paraId="3F2D69F2" w14:textId="77777777">
        <w:tc>
          <w:tcPr>
            <w:tcW w:w="3055" w:type="dxa"/>
          </w:tcPr>
          <w:p w14:paraId="09DA15F6" w14:textId="77777777" w:rsidR="0090606C" w:rsidRPr="0036350D" w:rsidRDefault="00601604">
            <w:pPr>
              <w:jc w:val="left"/>
            </w:pPr>
            <w:r>
              <w:t>Procédure législative</w:t>
            </w:r>
          </w:p>
        </w:tc>
        <w:tc>
          <w:tcPr>
            <w:tcW w:w="6018" w:type="dxa"/>
          </w:tcPr>
          <w:p w14:paraId="0E892A6E" w14:textId="77777777" w:rsidR="0090606C" w:rsidRPr="0036350D" w:rsidRDefault="001B31E2">
            <w:pPr>
              <w:pStyle w:val="ListParagraph"/>
              <w:ind w:left="0"/>
              <w:jc w:val="left"/>
              <w:rPr>
                <w:rStyle w:val="Hyperlink"/>
                <w:u w:val="none"/>
              </w:rPr>
            </w:pPr>
            <w:hyperlink r:id="rId18" w:history="1">
              <w:r w:rsidR="00FD4E6A">
                <w:rPr>
                  <w:rStyle w:val="Hyperlink"/>
                </w:rPr>
                <w:t>EU Law Tracker</w:t>
              </w:r>
            </w:hyperlink>
          </w:p>
        </w:tc>
      </w:tr>
      <w:tr w:rsidR="0090606C" w:rsidRPr="0036350D" w14:paraId="4C3DDA3C" w14:textId="77777777">
        <w:tc>
          <w:tcPr>
            <w:tcW w:w="3055" w:type="dxa"/>
          </w:tcPr>
          <w:p w14:paraId="4C46344B" w14:textId="77777777" w:rsidR="0090606C" w:rsidRPr="0036350D" w:rsidRDefault="00601604">
            <w:pPr>
              <w:jc w:val="left"/>
            </w:pPr>
            <w:r>
              <w:t>Consultations</w:t>
            </w:r>
          </w:p>
        </w:tc>
        <w:tc>
          <w:tcPr>
            <w:tcW w:w="6018" w:type="dxa"/>
          </w:tcPr>
          <w:p w14:paraId="3C50F0BF" w14:textId="09E120C5" w:rsidR="0090606C" w:rsidRPr="0036350D" w:rsidRDefault="00601604">
            <w:pPr>
              <w:pStyle w:val="ListParagraph"/>
              <w:ind w:left="0"/>
              <w:jc w:val="left"/>
            </w:pPr>
            <w:r>
              <w:t>Parlement européen, 12/11/2025</w:t>
            </w:r>
          </w:p>
          <w:p w14:paraId="08309E84" w14:textId="77777777" w:rsidR="0090606C" w:rsidRPr="0036350D" w:rsidRDefault="00601604">
            <w:pPr>
              <w:pStyle w:val="ListParagraph"/>
              <w:ind w:left="0"/>
              <w:jc w:val="left"/>
            </w:pPr>
            <w:r>
              <w:t>Conseil de l’Union européenne, 22/9/2025</w:t>
            </w:r>
          </w:p>
        </w:tc>
      </w:tr>
      <w:tr w:rsidR="0090606C" w:rsidRPr="0036350D" w14:paraId="648C7F5B" w14:textId="77777777">
        <w:trPr>
          <w:trHeight w:val="251"/>
        </w:trPr>
        <w:tc>
          <w:tcPr>
            <w:tcW w:w="3055" w:type="dxa"/>
          </w:tcPr>
          <w:p w14:paraId="7BEA170B" w14:textId="77777777" w:rsidR="0090606C" w:rsidRPr="0036350D" w:rsidRDefault="00601604">
            <w:pPr>
              <w:jc w:val="left"/>
            </w:pPr>
            <w:r>
              <w:t>Base juridique</w:t>
            </w:r>
          </w:p>
        </w:tc>
        <w:tc>
          <w:tcPr>
            <w:tcW w:w="6018" w:type="dxa"/>
          </w:tcPr>
          <w:p w14:paraId="5E830CBC" w14:textId="77777777" w:rsidR="0090606C" w:rsidRPr="0036350D" w:rsidRDefault="00601604">
            <w:pPr>
              <w:jc w:val="left"/>
            </w:pPr>
            <w:r>
              <w:t>Articles 43, paragraphe 2, 168, paragraphe 5, 172, 173, paragraphe 3, 175, 182, paragraphe 4, 188, 192, paragraphe 1, et 194, paragraphe 2 du traité sur le fonctionnement de l’Union européenne</w:t>
            </w:r>
          </w:p>
        </w:tc>
      </w:tr>
      <w:tr w:rsidR="0090606C" w:rsidRPr="0036350D" w14:paraId="69577C0C" w14:textId="77777777">
        <w:tc>
          <w:tcPr>
            <w:tcW w:w="3055" w:type="dxa"/>
          </w:tcPr>
          <w:p w14:paraId="7CFEB7F2" w14:textId="77777777" w:rsidR="0090606C" w:rsidRPr="0036350D" w:rsidRDefault="00601604">
            <w:pPr>
              <w:spacing w:after="240"/>
              <w:jc w:val="left"/>
            </w:pPr>
            <w:r>
              <w:t>Documents de la Commission</w:t>
            </w:r>
          </w:p>
        </w:tc>
        <w:tc>
          <w:tcPr>
            <w:tcW w:w="6018" w:type="dxa"/>
            <w:vAlign w:val="bottom"/>
          </w:tcPr>
          <w:p w14:paraId="52E3C2B6" w14:textId="77777777" w:rsidR="0090606C" w:rsidRPr="0036350D" w:rsidRDefault="001B31E2">
            <w:pPr>
              <w:jc w:val="left"/>
            </w:pPr>
            <w:hyperlink r:id="rId19" w:history="1">
              <w:proofErr w:type="gramStart"/>
              <w:r w:rsidR="00FD4E6A">
                <w:rPr>
                  <w:rStyle w:val="Hyperlink"/>
                </w:rPr>
                <w:t>COM(</w:t>
              </w:r>
              <w:proofErr w:type="gramEnd"/>
              <w:r w:rsidR="00FD4E6A">
                <w:rPr>
                  <w:rStyle w:val="Hyperlink"/>
                </w:rPr>
                <w:t>2025) 555 final — 2025/0555 (COD)</w:t>
              </w:r>
            </w:hyperlink>
          </w:p>
          <w:p w14:paraId="06B1AD71" w14:textId="77777777" w:rsidR="0090606C" w:rsidRPr="0036350D" w:rsidRDefault="001B31E2">
            <w:pPr>
              <w:jc w:val="left"/>
              <w:rPr>
                <w:color w:val="0000FF"/>
                <w:u w:val="single"/>
              </w:rPr>
            </w:pPr>
            <w:hyperlink r:id="rId20" w:history="1">
              <w:r w:rsidR="00FD4E6A">
                <w:rPr>
                  <w:rStyle w:val="Hyperlink"/>
                </w:rPr>
                <w:t>Fonds européen pour la compétitivité</w:t>
              </w:r>
            </w:hyperlink>
          </w:p>
        </w:tc>
      </w:tr>
      <w:tr w:rsidR="0090606C" w:rsidRPr="0036350D" w14:paraId="16B95346" w14:textId="77777777">
        <w:tc>
          <w:tcPr>
            <w:tcW w:w="3055" w:type="dxa"/>
          </w:tcPr>
          <w:p w14:paraId="5C3EDACF" w14:textId="77777777" w:rsidR="0090606C" w:rsidRPr="0036350D" w:rsidRDefault="00601604">
            <w:pPr>
              <w:jc w:val="left"/>
            </w:pPr>
            <w:r>
              <w:t>Objectifs de développement durable (ODD) pertinents</w:t>
            </w:r>
          </w:p>
        </w:tc>
        <w:tc>
          <w:tcPr>
            <w:tcW w:w="6018" w:type="dxa"/>
            <w:vAlign w:val="bottom"/>
          </w:tcPr>
          <w:p w14:paraId="725D1A1A" w14:textId="77777777" w:rsidR="0090606C" w:rsidRPr="0036350D" w:rsidRDefault="001B31E2">
            <w:pPr>
              <w:jc w:val="left"/>
            </w:pPr>
            <w:hyperlink r:id="rId21" w:history="1">
              <w:r w:rsidR="00FD4E6A">
                <w:rPr>
                  <w:rStyle w:val="Hyperlink"/>
                </w:rPr>
                <w:t>ODD 8 — Travail décent et croissance économique</w:t>
              </w:r>
            </w:hyperlink>
            <w:r w:rsidR="00FD4E6A">
              <w:t xml:space="preserve"> </w:t>
            </w:r>
          </w:p>
          <w:p w14:paraId="78BF4EA7" w14:textId="77777777" w:rsidR="0090606C" w:rsidRPr="0036350D" w:rsidRDefault="001B31E2">
            <w:pPr>
              <w:jc w:val="left"/>
            </w:pPr>
            <w:hyperlink r:id="rId22" w:history="1">
              <w:r w:rsidR="00FD4E6A">
                <w:rPr>
                  <w:rStyle w:val="Hyperlink"/>
                </w:rPr>
                <w:t>ODD 9 — Industrie, innovation et infrastructure</w:t>
              </w:r>
            </w:hyperlink>
          </w:p>
          <w:p w14:paraId="5E395C92" w14:textId="77777777" w:rsidR="0090606C" w:rsidRPr="0036350D" w:rsidRDefault="001B31E2">
            <w:pPr>
              <w:jc w:val="left"/>
            </w:pPr>
            <w:hyperlink r:id="rId23" w:history="1">
              <w:r w:rsidR="00FD4E6A">
                <w:rPr>
                  <w:rStyle w:val="Hyperlink"/>
                </w:rPr>
                <w:t>ODD 12 — Consommation et production durables</w:t>
              </w:r>
            </w:hyperlink>
          </w:p>
          <w:p w14:paraId="59A12946" w14:textId="77777777" w:rsidR="0090606C" w:rsidRPr="0036350D" w:rsidRDefault="001B31E2">
            <w:pPr>
              <w:jc w:val="left"/>
              <w:rPr>
                <w:rStyle w:val="Hyperlink"/>
                <w:highlight w:val="yellow"/>
              </w:rPr>
            </w:pPr>
            <w:hyperlink r:id="rId24" w:history="1">
              <w:r w:rsidR="00FD4E6A">
                <w:rPr>
                  <w:rStyle w:val="Hyperlink"/>
                </w:rPr>
                <w:t>ODD 13 — Lutte contre les changements climatiques</w:t>
              </w:r>
            </w:hyperlink>
          </w:p>
        </w:tc>
      </w:tr>
      <w:tr w:rsidR="0090606C" w:rsidRPr="0036350D" w14:paraId="5C447F32" w14:textId="77777777">
        <w:tc>
          <w:tcPr>
            <w:tcW w:w="3055" w:type="dxa"/>
          </w:tcPr>
          <w:p w14:paraId="5EBC6D09" w14:textId="77777777" w:rsidR="0090606C" w:rsidRPr="0036350D" w:rsidRDefault="00601604">
            <w:pPr>
              <w:jc w:val="left"/>
            </w:pPr>
            <w:r>
              <w:t>Compétence</w:t>
            </w:r>
          </w:p>
        </w:tc>
        <w:tc>
          <w:tcPr>
            <w:tcW w:w="6018" w:type="dxa"/>
          </w:tcPr>
          <w:p w14:paraId="7DAFCC7B" w14:textId="77777777" w:rsidR="0090606C" w:rsidRPr="0036350D" w:rsidRDefault="00601604">
            <w:pPr>
              <w:jc w:val="left"/>
            </w:pPr>
            <w:r>
              <w:t>Section</w:t>
            </w:r>
            <w:proofErr w:type="gramStart"/>
            <w:r>
              <w:t xml:space="preserve"> «Marché</w:t>
            </w:r>
            <w:proofErr w:type="gramEnd"/>
            <w:r>
              <w:t xml:space="preserve"> unique, production et consommation»</w:t>
            </w:r>
          </w:p>
        </w:tc>
      </w:tr>
      <w:tr w:rsidR="0090606C" w:rsidRPr="0036350D" w14:paraId="38E3D44B" w14:textId="77777777">
        <w:tc>
          <w:tcPr>
            <w:tcW w:w="3055" w:type="dxa"/>
          </w:tcPr>
          <w:p w14:paraId="4AD08C63" w14:textId="77777777" w:rsidR="0090606C" w:rsidRPr="0036350D" w:rsidRDefault="00601604">
            <w:pPr>
              <w:jc w:val="left"/>
            </w:pPr>
            <w:r>
              <w:t>Adoption en section</w:t>
            </w:r>
          </w:p>
        </w:tc>
        <w:tc>
          <w:tcPr>
            <w:tcW w:w="6018" w:type="dxa"/>
          </w:tcPr>
          <w:p w14:paraId="3DA68908" w14:textId="70269CF0" w:rsidR="0090606C" w:rsidRPr="0036350D" w:rsidRDefault="005622A4">
            <w:pPr>
              <w:jc w:val="left"/>
            </w:pPr>
            <w:r>
              <w:t>14/11/2025</w:t>
            </w:r>
          </w:p>
        </w:tc>
      </w:tr>
      <w:tr w:rsidR="0090606C" w:rsidRPr="0036350D" w14:paraId="330D333A" w14:textId="77777777">
        <w:tc>
          <w:tcPr>
            <w:tcW w:w="3055" w:type="dxa"/>
          </w:tcPr>
          <w:p w14:paraId="175419AA" w14:textId="77777777" w:rsidR="0090606C" w:rsidRPr="0036350D" w:rsidRDefault="00601604">
            <w:pPr>
              <w:jc w:val="left"/>
            </w:pPr>
            <w:r>
              <w:t>Résultat du vote</w:t>
            </w:r>
            <w:r>
              <w:br/>
              <w:t>(pour/contre/abstentions)</w:t>
            </w:r>
          </w:p>
        </w:tc>
        <w:tc>
          <w:tcPr>
            <w:tcW w:w="6018" w:type="dxa"/>
            <w:vAlign w:val="bottom"/>
          </w:tcPr>
          <w:p w14:paraId="10694F20" w14:textId="098F6E62" w:rsidR="0090606C" w:rsidRPr="0036350D" w:rsidRDefault="00CD267B">
            <w:pPr>
              <w:jc w:val="left"/>
            </w:pPr>
            <w:r>
              <w:t>83/2/3</w:t>
            </w:r>
          </w:p>
        </w:tc>
      </w:tr>
      <w:tr w:rsidR="0090606C" w:rsidRPr="0036350D" w14:paraId="597A3926" w14:textId="77777777">
        <w:tc>
          <w:tcPr>
            <w:tcW w:w="3055" w:type="dxa"/>
          </w:tcPr>
          <w:p w14:paraId="1C72FF2E" w14:textId="77777777" w:rsidR="0090606C" w:rsidRPr="0036350D" w:rsidRDefault="00601604">
            <w:pPr>
              <w:jc w:val="left"/>
            </w:pPr>
            <w:r>
              <w:t>Adoption en session plénière</w:t>
            </w:r>
          </w:p>
        </w:tc>
        <w:tc>
          <w:tcPr>
            <w:tcW w:w="6018" w:type="dxa"/>
          </w:tcPr>
          <w:p w14:paraId="02B449A7" w14:textId="77777777" w:rsidR="0090606C" w:rsidRPr="0036350D" w:rsidRDefault="00601604">
            <w:pPr>
              <w:jc w:val="left"/>
            </w:pPr>
            <w:r>
              <w:t>J/M/AAAA</w:t>
            </w:r>
          </w:p>
        </w:tc>
      </w:tr>
      <w:tr w:rsidR="0090606C" w:rsidRPr="0036350D" w14:paraId="59FDC766" w14:textId="77777777">
        <w:tc>
          <w:tcPr>
            <w:tcW w:w="3055" w:type="dxa"/>
          </w:tcPr>
          <w:p w14:paraId="40EF4A76" w14:textId="77777777" w:rsidR="0090606C" w:rsidRPr="0036350D" w:rsidRDefault="00601604">
            <w:pPr>
              <w:jc w:val="left"/>
            </w:pPr>
            <w:r>
              <w:t>Session plénière nº</w:t>
            </w:r>
          </w:p>
        </w:tc>
        <w:tc>
          <w:tcPr>
            <w:tcW w:w="6018" w:type="dxa"/>
          </w:tcPr>
          <w:p w14:paraId="370871AD" w14:textId="77777777" w:rsidR="0090606C" w:rsidRPr="0036350D" w:rsidRDefault="00601604">
            <w:pPr>
              <w:jc w:val="left"/>
            </w:pPr>
            <w:r>
              <w:t>…</w:t>
            </w:r>
          </w:p>
        </w:tc>
      </w:tr>
      <w:tr w:rsidR="0090606C" w:rsidRPr="0036350D" w14:paraId="02B07CDD" w14:textId="77777777">
        <w:tc>
          <w:tcPr>
            <w:tcW w:w="3055" w:type="dxa"/>
          </w:tcPr>
          <w:p w14:paraId="77D76DD1" w14:textId="77777777" w:rsidR="0090606C" w:rsidRPr="0036350D" w:rsidRDefault="00601604">
            <w:pPr>
              <w:jc w:val="left"/>
            </w:pPr>
            <w:r>
              <w:t>Résultat du vote</w:t>
            </w:r>
            <w:r>
              <w:br/>
              <w:t>(pour/contre/abstentions)</w:t>
            </w:r>
          </w:p>
        </w:tc>
        <w:tc>
          <w:tcPr>
            <w:tcW w:w="6018" w:type="dxa"/>
            <w:vAlign w:val="bottom"/>
          </w:tcPr>
          <w:p w14:paraId="1E9CDBFF" w14:textId="77777777" w:rsidR="0090606C" w:rsidRPr="0036350D" w:rsidRDefault="00601604">
            <w:pPr>
              <w:jc w:val="left"/>
            </w:pPr>
            <w:r>
              <w:t>…/…/…</w:t>
            </w:r>
          </w:p>
        </w:tc>
      </w:tr>
    </w:tbl>
    <w:p w14:paraId="47B2D8BE" w14:textId="77777777" w:rsidR="0090606C" w:rsidRPr="0036350D" w:rsidRDefault="00601604">
      <w:pPr>
        <w:rPr>
          <w:sz w:val="16"/>
          <w:szCs w:val="16"/>
        </w:rPr>
      </w:pPr>
      <w:r>
        <w:br w:type="page"/>
      </w:r>
    </w:p>
    <w:p w14:paraId="3331BC2E" w14:textId="77777777" w:rsidR="0090606C" w:rsidRPr="0036350D" w:rsidRDefault="00601604">
      <w:pPr>
        <w:pStyle w:val="Heading1"/>
      </w:pPr>
      <w:r>
        <w:rPr>
          <w:b/>
        </w:rPr>
        <w:lastRenderedPageBreak/>
        <w:t>RECOMMANDATIONS</w:t>
      </w:r>
    </w:p>
    <w:p w14:paraId="160D0250" w14:textId="77777777" w:rsidR="0090606C" w:rsidRPr="0036350D" w:rsidRDefault="0090606C">
      <w:pPr>
        <w:jc w:val="left"/>
        <w:rPr>
          <w:lang w:val="en-GB"/>
        </w:rPr>
      </w:pPr>
    </w:p>
    <w:p w14:paraId="0C1E6320" w14:textId="77777777" w:rsidR="0090606C" w:rsidRPr="0036350D" w:rsidRDefault="00601604">
      <w:pPr>
        <w:jc w:val="left"/>
        <w:rPr>
          <w:i/>
          <w:iCs/>
        </w:rPr>
      </w:pPr>
      <w:r>
        <w:t>Le Comité économique et social européen (CESE</w:t>
      </w:r>
      <w:proofErr w:type="gramStart"/>
      <w:r>
        <w:t>):</w:t>
      </w:r>
      <w:proofErr w:type="gramEnd"/>
    </w:p>
    <w:p w14:paraId="04CD6E9D" w14:textId="77777777" w:rsidR="0090606C" w:rsidRPr="0036350D" w:rsidRDefault="0090606C">
      <w:pPr>
        <w:ind w:left="142" w:hanging="142"/>
        <w:jc w:val="left"/>
        <w:rPr>
          <w:lang w:val="en-GB"/>
        </w:rPr>
      </w:pPr>
    </w:p>
    <w:p w14:paraId="5819220C" w14:textId="596D6B41" w:rsidR="0090606C" w:rsidRPr="0036350D" w:rsidRDefault="00601604">
      <w:pPr>
        <w:pStyle w:val="Heading2"/>
      </w:pPr>
      <w:r>
        <w:rPr>
          <w:b/>
        </w:rPr>
        <w:t>se félicite</w:t>
      </w:r>
      <w:r>
        <w:t xml:space="preserve"> de la proposition d’introduire un Fonds européen pour la compétitivité (FEC) dans le cadre du nouveau cadre financier pluriannuel (CFP), et souligne son rôle de catalyseur pour bien d’autres objectifs de l’Union, amplifié par les synergies avec d’autres fonds; suggère que le FEC soit dénommé Fonds pour la compétitivité et la sécurité (la sécurité dans l’acception la plus large du terme), puisqu’une part considérable dudit Fonds est consacrée à cette dernière, et que les liens entre la compétitivité et les différentes dimensions de la sécurité sont multiples;</w:t>
      </w:r>
    </w:p>
    <w:p w14:paraId="573C1C38" w14:textId="77777777" w:rsidR="0090606C" w:rsidRPr="0036350D" w:rsidRDefault="0090606C">
      <w:pPr>
        <w:ind w:left="567" w:hanging="567"/>
        <w:rPr>
          <w:lang w:val="en-GB"/>
        </w:rPr>
      </w:pPr>
    </w:p>
    <w:p w14:paraId="381385D5" w14:textId="08A0C59F" w:rsidR="0090606C" w:rsidRPr="0036350D" w:rsidRDefault="00601604">
      <w:pPr>
        <w:pStyle w:val="Heading2"/>
      </w:pPr>
      <w:proofErr w:type="gramStart"/>
      <w:r>
        <w:rPr>
          <w:b/>
        </w:rPr>
        <w:t>se</w:t>
      </w:r>
      <w:proofErr w:type="gramEnd"/>
      <w:r>
        <w:rPr>
          <w:b/>
        </w:rPr>
        <w:t xml:space="preserve"> félicite</w:t>
      </w:r>
      <w:r>
        <w:t xml:space="preserve"> de l’approche intégrée et axée sur les résultats consistant à combiner plusieurs programmes existants en quatre </w:t>
      </w:r>
      <w:r>
        <w:rPr>
          <w:i/>
        </w:rPr>
        <w:t>volets d’action</w:t>
      </w:r>
      <w:r>
        <w:t xml:space="preserve"> couvrant les principaux enjeux communs, mais demande que les liens entre les volets eux-mêmes soient dûment reconnus et que leur bon équilibre soit assuré pour que l’on soit en mesure de répondre à la </w:t>
      </w:r>
      <w:proofErr w:type="spellStart"/>
      <w:r>
        <w:t>polycrise</w:t>
      </w:r>
      <w:proofErr w:type="spellEnd"/>
      <w:r>
        <w:t>, aux transformations à long terme et aux défis qui émergent rapidement;</w:t>
      </w:r>
    </w:p>
    <w:p w14:paraId="60020F06" w14:textId="77777777" w:rsidR="0090606C" w:rsidRPr="0036350D" w:rsidRDefault="0090606C">
      <w:pPr>
        <w:ind w:left="567" w:hanging="567"/>
        <w:rPr>
          <w:lang w:val="en-GB"/>
        </w:rPr>
      </w:pPr>
    </w:p>
    <w:p w14:paraId="4A07406E" w14:textId="7D954FF9" w:rsidR="0090606C" w:rsidRPr="0036350D" w:rsidRDefault="00601604">
      <w:pPr>
        <w:pStyle w:val="Heading2"/>
      </w:pPr>
      <w:r>
        <w:rPr>
          <w:b/>
        </w:rPr>
        <w:t>préconise</w:t>
      </w:r>
      <w:r>
        <w:t xml:space="preserve"> la définition de </w:t>
      </w:r>
      <w:r>
        <w:rPr>
          <w:i/>
        </w:rPr>
        <w:t>critères d’attribution généraux</w:t>
      </w:r>
      <w:r>
        <w:t xml:space="preserve"> communs à tous les volets, découlant de l’objectif de compétitivité, et mettant en avant l’excellence, l’orientation future et le potentiel économique en tant que critères de référence principaux, accompagnés de critères propres à chaque volet en fonction des résultats escomptés dans le domaine thématique concerné, dans le respect du modèle européen d’économie sociale de marché et de la durabilité globale, y compris la pleine conformité avec la législation sociale et environnementale en vigueur;</w:t>
      </w:r>
    </w:p>
    <w:p w14:paraId="0B1D573B" w14:textId="77777777" w:rsidR="0090606C" w:rsidRPr="0036350D" w:rsidRDefault="0090606C">
      <w:pPr>
        <w:rPr>
          <w:lang w:val="en-GB"/>
        </w:rPr>
      </w:pPr>
    </w:p>
    <w:p w14:paraId="73528FD4" w14:textId="0B13DBEF" w:rsidR="0090606C" w:rsidRPr="0036350D" w:rsidRDefault="00601604">
      <w:pPr>
        <w:pStyle w:val="Heading2"/>
      </w:pPr>
      <w:r>
        <w:rPr>
          <w:b/>
        </w:rPr>
        <w:t xml:space="preserve">a la certitude </w:t>
      </w:r>
      <w:r>
        <w:t xml:space="preserve">qu’il est utile de fournir un financement </w:t>
      </w:r>
      <w:r>
        <w:rPr>
          <w:i/>
        </w:rPr>
        <w:t>spécifique et ciblé</w:t>
      </w:r>
      <w:r>
        <w:t xml:space="preserve"> aux activités et aux acteurs jouant un rôle crucial pour améliorer la compétitivité et la résilience, mais demande la mise en place de critères de sélection clairs afin de garantir la transparence et une concurrence authentique, et insiste sur la nécessité d’éviter de fausser le marché en sélectionnant d’emblée les technologies, entreprises et chaînes de valeur gagnantes, ou en creusant les disparités entre les États membres; demande que les projets d’importance locale et régionale bénéficient eux aussi d’un soutien approprié, notamment pour répondre aux menaces pour la sécurité auxquelles sont confrontés les pays frontaliers de l’Union (ceux qui bordent la Russie et la Biélorussie par voie terrestre et maritime, ainsi que la Grèce et Chypre); demande un financement spécifique pour traiter les problèmes liés à l’eau, comme le préconise la déclaration du CESE sur le pacte bleu</w:t>
      </w:r>
      <w:r w:rsidR="006F7338" w:rsidRPr="00FA5329">
        <w:rPr>
          <w:rStyle w:val="FootnoteReference"/>
          <w:iCs/>
          <w:lang w:val="en-GB"/>
        </w:rPr>
        <w:footnoteReference w:id="1"/>
      </w:r>
      <w:r>
        <w:t xml:space="preserve">. Les investissements stratégiques en faveur de la résilience dans le domaine de l’eau permettront d’améliorer tant la préparation que la </w:t>
      </w:r>
      <w:proofErr w:type="gramStart"/>
      <w:r>
        <w:t>compétitivité;</w:t>
      </w:r>
      <w:proofErr w:type="gramEnd"/>
    </w:p>
    <w:p w14:paraId="4164A509" w14:textId="77777777" w:rsidR="0090606C" w:rsidRPr="0036350D" w:rsidRDefault="0090606C">
      <w:pPr>
        <w:rPr>
          <w:lang w:val="en-GB"/>
        </w:rPr>
      </w:pPr>
    </w:p>
    <w:p w14:paraId="4D1C2F33" w14:textId="5C6CB989" w:rsidR="0090606C" w:rsidRPr="0036350D" w:rsidRDefault="00601604">
      <w:pPr>
        <w:pStyle w:val="Heading2"/>
      </w:pPr>
      <w:r>
        <w:rPr>
          <w:b/>
        </w:rPr>
        <w:t>estime</w:t>
      </w:r>
      <w:r>
        <w:t xml:space="preserve"> qu’il est essentiel de répondre aux besoins de toutes les </w:t>
      </w:r>
      <w:r>
        <w:rPr>
          <w:i/>
        </w:rPr>
        <w:t xml:space="preserve">phases d’investissement </w:t>
      </w:r>
      <w:r>
        <w:t>depuis la recherche et l’innovation jusqu’à l’activité à grande échelle, d’une manière intégrée, en allouant des fonds spécifiques à l’investissement dans les qualifications et la formation des travailleurs, et en mettant en avant le travail décent; préconise d’encourager l’innovation et les écosystèmes économiques transfrontières, tout comme de progresser vers l’égalité d’accès au marché unique et aux chaînes de valeur européennes sur l’ensemble du territoire de l’Union;</w:t>
      </w:r>
    </w:p>
    <w:p w14:paraId="5216B03C" w14:textId="77777777" w:rsidR="00B2203F" w:rsidRPr="0036350D" w:rsidRDefault="00B2203F" w:rsidP="00FA5329">
      <w:pPr>
        <w:rPr>
          <w:lang w:val="en-GB"/>
        </w:rPr>
      </w:pPr>
    </w:p>
    <w:p w14:paraId="652ECAAD" w14:textId="7BDF3CF8" w:rsidR="0090606C" w:rsidRPr="0036350D" w:rsidRDefault="00601604">
      <w:pPr>
        <w:pStyle w:val="Heading2"/>
      </w:pPr>
      <w:proofErr w:type="gramStart"/>
      <w:r>
        <w:rPr>
          <w:b/>
        </w:rPr>
        <w:lastRenderedPageBreak/>
        <w:t>soutient</w:t>
      </w:r>
      <w:proofErr w:type="gramEnd"/>
      <w:r>
        <w:t xml:space="preserve"> l’objectif du FEC d’accroître son impact en catalysant les ressources des investisseurs privés et institutionnels, et d’accroître la flexibilité et la mutualisation des </w:t>
      </w:r>
      <w:r>
        <w:rPr>
          <w:i/>
        </w:rPr>
        <w:t>outils de financement</w:t>
      </w:r>
      <w:r>
        <w:t>; encourage dans le même temps la mise en place de moyens accrus pour mobiliser les capitaux (par exemple au moyen de mécanismes de validation par le marché), tout en veillant à ce que les mesures de soutien soient prévisibles et pertinentes du point de vue des bénéficiaires;</w:t>
      </w:r>
    </w:p>
    <w:p w14:paraId="4F222E28" w14:textId="77777777" w:rsidR="0090606C" w:rsidRPr="0036350D" w:rsidRDefault="0090606C">
      <w:pPr>
        <w:ind w:left="567" w:hanging="567"/>
        <w:rPr>
          <w:lang w:val="en-GB"/>
        </w:rPr>
      </w:pPr>
    </w:p>
    <w:p w14:paraId="6D51902B" w14:textId="77777777" w:rsidR="0090606C" w:rsidRPr="0036350D" w:rsidRDefault="00601604">
      <w:pPr>
        <w:pStyle w:val="Heading2"/>
        <w:rPr>
          <w:b/>
          <w:bCs/>
        </w:rPr>
      </w:pPr>
      <w:r>
        <w:rPr>
          <w:b/>
        </w:rPr>
        <w:t>se félicite</w:t>
      </w:r>
      <w:r>
        <w:t xml:space="preserve"> de l’attention accordée aux besoins généraux des </w:t>
      </w:r>
      <w:r>
        <w:rPr>
          <w:i/>
        </w:rPr>
        <w:t>PME</w:t>
      </w:r>
      <w:r>
        <w:t xml:space="preserve"> et des petites entreprises à moyenne capitalisation en matière de financement et de conseil, ainsi qu’aux problèmes spécifiques que rencontrent les jeunes pousses et les entreprises en expansion pour accéder aux fonds propres et au capital-risque, mais plaide pour la création d’un réseau de «médiateurs financiers» ainsi que pour une segmentation plus précise des PME afin de mieux répondre aux besoins de chaque segment, en étroite coopération avec les réseaux et les organisations de PME</w:t>
      </w:r>
      <w:r w:rsidRPr="0036350D">
        <w:rPr>
          <w:rStyle w:val="FootnoteReference"/>
          <w:lang w:val="en-GB"/>
        </w:rPr>
        <w:footnoteReference w:id="2"/>
      </w:r>
      <w:r>
        <w:t>; suggère que les régimes de soutien aux PME soient structurés au niveau des États membres;</w:t>
      </w:r>
    </w:p>
    <w:p w14:paraId="6D14A114" w14:textId="77777777" w:rsidR="0090606C" w:rsidRPr="0036350D" w:rsidRDefault="0090606C">
      <w:pPr>
        <w:ind w:left="567" w:hanging="567"/>
        <w:rPr>
          <w:lang w:val="en-GB"/>
        </w:rPr>
      </w:pPr>
    </w:p>
    <w:p w14:paraId="4B7465FD" w14:textId="77777777" w:rsidR="0090606C" w:rsidRPr="0036350D" w:rsidRDefault="00601604">
      <w:pPr>
        <w:pStyle w:val="Heading2"/>
      </w:pPr>
      <w:proofErr w:type="gramStart"/>
      <w:r>
        <w:rPr>
          <w:b/>
        </w:rPr>
        <w:t>insiste</w:t>
      </w:r>
      <w:proofErr w:type="gramEnd"/>
      <w:r>
        <w:t xml:space="preserve"> sur la nécessité de permettre à tous les bénéficiaires de profiter uniformément de </w:t>
      </w:r>
      <w:r>
        <w:rPr>
          <w:i/>
        </w:rPr>
        <w:t>la simplification</w:t>
      </w:r>
      <w:r>
        <w:t xml:space="preserve"> et de l’intégrer à tous les éléments du FEC, de l’architecture globale aux programmes de travail en passant par les procédures de demande et d’attribution, en veillant également à établir un lien clair entre les formulaires de demande et la grille d’évaluation et la notation, grâce à des systèmes et des infrastructures numériques solides;</w:t>
      </w:r>
    </w:p>
    <w:p w14:paraId="4B798023" w14:textId="77777777" w:rsidR="0090606C" w:rsidRPr="0036350D" w:rsidRDefault="0090606C">
      <w:pPr>
        <w:rPr>
          <w:lang w:val="en-GB"/>
        </w:rPr>
      </w:pPr>
    </w:p>
    <w:p w14:paraId="0F35A7C5" w14:textId="49FC5642" w:rsidR="0090606C" w:rsidRPr="0036350D" w:rsidRDefault="00601604">
      <w:pPr>
        <w:pStyle w:val="Heading2"/>
      </w:pPr>
      <w:r>
        <w:rPr>
          <w:b/>
        </w:rPr>
        <w:t>estime</w:t>
      </w:r>
      <w:r>
        <w:t xml:space="preserve"> qu’il est nécessaire de </w:t>
      </w:r>
      <w:r>
        <w:rPr>
          <w:i/>
        </w:rPr>
        <w:t>faciliter la mise en œuvre</w:t>
      </w:r>
      <w:r>
        <w:t xml:space="preserve"> du FEC au moyen de la communication et du renforcement des capacités, de la coopération et d’actions conjointes entre les partenaires sociaux, ainsi que d’un cadre de suivi rationalisé, ciblant le respect des règles en matière de durabilité; plaide pour l’établissement de définitions claires des concepts clés et des descriptions explicites et transparentes des procédures, pour permettre à la fois aux bénéficiaires potentiels et aux décideurs de fonctionner efficacement; </w:t>
      </w:r>
    </w:p>
    <w:p w14:paraId="6252222B" w14:textId="13E92091" w:rsidR="0090606C" w:rsidRPr="0036350D" w:rsidRDefault="0090606C">
      <w:pPr>
        <w:pStyle w:val="Heading2"/>
        <w:numPr>
          <w:ilvl w:val="0"/>
          <w:numId w:val="0"/>
        </w:numPr>
        <w:rPr>
          <w:lang w:val="en-GB"/>
        </w:rPr>
      </w:pPr>
    </w:p>
    <w:p w14:paraId="03F5BF8A" w14:textId="70861058" w:rsidR="0090606C" w:rsidRPr="0036350D" w:rsidRDefault="00601604">
      <w:pPr>
        <w:pStyle w:val="Heading2"/>
      </w:pPr>
      <w:proofErr w:type="gramStart"/>
      <w:r>
        <w:rPr>
          <w:b/>
        </w:rPr>
        <w:t>demande</w:t>
      </w:r>
      <w:proofErr w:type="gramEnd"/>
      <w:r>
        <w:t xml:space="preserve"> </w:t>
      </w:r>
      <w:r>
        <w:rPr>
          <w:i/>
        </w:rPr>
        <w:t>une gouvernance</w:t>
      </w:r>
      <w:r>
        <w:t xml:space="preserve"> claire et une participation adéquate des partenaires sociaux et des autres acteurs de la société civile aux niveaux européen, national, sectoriel et régional à la préparation, à la mise en œuvre et au contrôle du FEC, et souhaite être dûment associé au conseil stratégique des parties prenantes.</w:t>
      </w:r>
    </w:p>
    <w:p w14:paraId="759D8678" w14:textId="77777777" w:rsidR="0090606C" w:rsidRPr="0036350D" w:rsidRDefault="0090606C">
      <w:pPr>
        <w:rPr>
          <w:lang w:val="en-GB"/>
        </w:rPr>
      </w:pPr>
    </w:p>
    <w:p w14:paraId="373CAD78" w14:textId="77777777" w:rsidR="0090606C" w:rsidRPr="0036350D" w:rsidRDefault="00601604">
      <w:pPr>
        <w:pStyle w:val="Heading1"/>
        <w:keepNext/>
        <w:keepLines/>
        <w:rPr>
          <w:b/>
          <w:bCs/>
        </w:rPr>
      </w:pPr>
      <w:r>
        <w:rPr>
          <w:b/>
        </w:rPr>
        <w:t>NOTES EXPLICATIVES</w:t>
      </w:r>
    </w:p>
    <w:p w14:paraId="2DD7A272" w14:textId="77777777" w:rsidR="0090606C" w:rsidRPr="0036350D" w:rsidRDefault="0090606C">
      <w:pPr>
        <w:keepNext/>
        <w:keepLines/>
        <w:rPr>
          <w:lang w:val="en-GB"/>
        </w:rPr>
      </w:pPr>
    </w:p>
    <w:p w14:paraId="447FBEB0" w14:textId="77777777" w:rsidR="0090606C" w:rsidRPr="0036350D" w:rsidRDefault="00601604">
      <w:pPr>
        <w:keepNext/>
        <w:keepLines/>
        <w:ind w:left="720" w:hanging="153"/>
        <w:rPr>
          <w:i/>
          <w:iCs/>
        </w:rPr>
      </w:pPr>
      <w:r>
        <w:rPr>
          <w:i/>
        </w:rPr>
        <w:t>Arguments horizontaux</w:t>
      </w:r>
    </w:p>
    <w:p w14:paraId="73C34684" w14:textId="77777777" w:rsidR="0090606C" w:rsidRPr="00FA5329" w:rsidRDefault="0090606C" w:rsidP="00FA5329">
      <w:pPr>
        <w:keepNext/>
        <w:keepLines/>
        <w:rPr>
          <w:lang w:val="en-GB"/>
        </w:rPr>
      </w:pPr>
    </w:p>
    <w:p w14:paraId="25753B54" w14:textId="71930BC0" w:rsidR="0090606C" w:rsidRPr="0036350D" w:rsidRDefault="00601604">
      <w:pPr>
        <w:pStyle w:val="Heading2"/>
      </w:pPr>
      <w:r>
        <w:t xml:space="preserve">L’approche globale qui est celle du FEC, à savoir agir pour la prospérité en soutenant la compétitivité, la réussite et la durabilité des entreprises ainsi qu’une économie forte et résiliente, doit être considérée comme hautement louable, car elle permet d’apporter une réponse à des problèmes qui sont communs à l’ensemble de l’Union. Le financement vise donc, à juste titre, à renforcer l’innovation, les compétences, les capacités technologiques et la productivité globale, </w:t>
      </w:r>
      <w:r>
        <w:lastRenderedPageBreak/>
        <w:t>ainsi que l’accès aux ressources, l’adoption par le marché ou encore l’expansion, mais il devrait également cibler les chaînes de valeur des technologies propres dans lesquelles l’Union peut acquérir des avantages comparatifs. À cet égard, le CESE souligne qu’il est urgent de prévoir des financements ciblés pour renforcer la résilience, garantir la sécurité de l’approvisionnement et réduire les dépendances extérieures à l’égard des matières premières critiques qui sont essentielles pour la sécurité industrielle et économique de l’Europe. Cette priorité doit être maintenue de manière stricte et cohérente pour l’allocation des fonds de l’ensemble du FEC. Par ailleurs, le FEC doit s’accompagner d’un financement privé et d’un environnement opérationnel global qui encourage l’innovation, l’investissement et le commerce.</w:t>
      </w:r>
    </w:p>
    <w:p w14:paraId="1D71C548" w14:textId="77777777" w:rsidR="0090606C" w:rsidRPr="0036350D" w:rsidRDefault="0090606C">
      <w:pPr>
        <w:ind w:left="567" w:hanging="567"/>
        <w:rPr>
          <w:lang w:val="en-GB"/>
        </w:rPr>
      </w:pPr>
    </w:p>
    <w:p w14:paraId="30AA24BD" w14:textId="02D4B18E" w:rsidR="0090606C" w:rsidRPr="0036350D" w:rsidRDefault="00601604">
      <w:pPr>
        <w:pStyle w:val="Heading2"/>
      </w:pPr>
      <w:r>
        <w:t>Il convient d’augmenter la compétitivité de manière durable, à savoir en combinant les aspects économiques, sociaux et environnementaux. Le rapport </w:t>
      </w:r>
      <w:proofErr w:type="spellStart"/>
      <w:r>
        <w:t>Letta</w:t>
      </w:r>
      <w:proofErr w:type="spellEnd"/>
      <w:r>
        <w:t xml:space="preserve"> affirme à juste titre que l’efficacité et l’acceptabilité des instruments d’aides d’État reposent sur une utilisation stratégique des fonds publics pour atteindre des objectifs politiques communs.</w:t>
      </w:r>
    </w:p>
    <w:p w14:paraId="0A502860" w14:textId="3136C3FB" w:rsidR="0090606C" w:rsidRPr="0036350D" w:rsidRDefault="0090606C">
      <w:pPr>
        <w:pStyle w:val="Heading2"/>
        <w:numPr>
          <w:ilvl w:val="0"/>
          <w:numId w:val="0"/>
        </w:numPr>
        <w:rPr>
          <w:lang w:val="en-GB"/>
        </w:rPr>
      </w:pPr>
    </w:p>
    <w:p w14:paraId="4029A9D1" w14:textId="173CE704" w:rsidR="0090606C" w:rsidRPr="0036350D" w:rsidRDefault="00601604">
      <w:pPr>
        <w:pStyle w:val="Heading2"/>
      </w:pPr>
      <w:r>
        <w:t>Le marché unique étant un fondement à la fois de la compétitivité et de la sécurité économique européennes, et puisque le FEC est un instrument de soutien de nouvelle génération conçu pour un marché unique fluide et opérationnel, il convient de recenser et d’éliminer les obstacles inutiles qui subsistent sur le marché, grâce à un processus associant les partenaires sociaux</w:t>
      </w:r>
      <w:r w:rsidRPr="0036350D">
        <w:rPr>
          <w:rStyle w:val="FootnoteReference"/>
          <w:szCs w:val="24"/>
          <w:lang w:val="en-GB"/>
        </w:rPr>
        <w:footnoteReference w:id="3"/>
      </w:r>
      <w:r>
        <w:t xml:space="preserve">, avec pour visée de permettre une utilisation harmonieuse du Fonds. </w:t>
      </w:r>
    </w:p>
    <w:p w14:paraId="19648095" w14:textId="77777777" w:rsidR="0090606C" w:rsidRPr="0036350D" w:rsidRDefault="0090606C">
      <w:pPr>
        <w:ind w:left="567" w:hanging="567"/>
        <w:rPr>
          <w:lang w:val="en-GB"/>
        </w:rPr>
      </w:pPr>
    </w:p>
    <w:p w14:paraId="3FA59CCF" w14:textId="214D19FB" w:rsidR="0090606C" w:rsidRPr="0036350D" w:rsidRDefault="00601604">
      <w:pPr>
        <w:pStyle w:val="Heading2"/>
      </w:pPr>
      <w:r>
        <w:t>La coopération avec les partenaires étrangers est un élément de la sécurité tant économique que globale. Toutefois, il faut être extrêmement prudent lors de l’ouverture du FEC aux entreprises et aux projets d’investissement des pays tiers, en veillant à ce que cet accès soit rigoureusement ancré dans les accords de partenariat et proportionnel à leurs contributions pour préserver les intérêts européens. Pour la même raison, l’obligation pour les bénéficiaires de s’abstenir de délocaliser leurs activités à l’étranger (article 10, principe de la préférence de l’UE) est la bienvenue. Par ailleurs, le FEC ne devrait en aucun cas être utilisé pour financer des mesures protectionnistes d’autres économies</w:t>
      </w:r>
      <w:r w:rsidRPr="0036350D">
        <w:rPr>
          <w:rStyle w:val="FootnoteReference"/>
          <w:lang w:val="en-GB"/>
        </w:rPr>
        <w:footnoteReference w:id="4"/>
      </w:r>
      <w:r>
        <w:t xml:space="preserve">. </w:t>
      </w:r>
    </w:p>
    <w:p w14:paraId="4F7D9261" w14:textId="77777777" w:rsidR="0090606C" w:rsidRPr="0036350D" w:rsidRDefault="0090606C">
      <w:pPr>
        <w:ind w:left="567" w:hanging="567"/>
        <w:rPr>
          <w:lang w:val="en-GB"/>
        </w:rPr>
      </w:pPr>
    </w:p>
    <w:p w14:paraId="1F6583A2" w14:textId="77777777" w:rsidR="0090606C" w:rsidRPr="0036350D" w:rsidRDefault="00601604">
      <w:pPr>
        <w:keepNext/>
        <w:keepLines/>
        <w:ind w:left="567"/>
        <w:rPr>
          <w:i/>
          <w:iCs/>
        </w:rPr>
      </w:pPr>
      <w:r>
        <w:rPr>
          <w:i/>
        </w:rPr>
        <w:t>Arguments à l’appui de la recommandation 1.1 (Fonds)</w:t>
      </w:r>
    </w:p>
    <w:p w14:paraId="1477A303" w14:textId="77777777" w:rsidR="0090606C" w:rsidRPr="0036350D" w:rsidRDefault="0090606C">
      <w:pPr>
        <w:keepNext/>
        <w:keepLines/>
        <w:rPr>
          <w:lang w:val="en-GB"/>
        </w:rPr>
      </w:pPr>
    </w:p>
    <w:p w14:paraId="4CB576AB" w14:textId="11AC3A3F" w:rsidR="0090606C" w:rsidRPr="0036350D" w:rsidRDefault="00601604">
      <w:pPr>
        <w:pStyle w:val="Heading2"/>
      </w:pPr>
      <w:r>
        <w:t>La proposition relative à l’établissement du FEC dans le but de renforcer la compétitivité est tout à fait bienvenue, puisque la compétitivité contribue à la réalisation de nombreux autres objectifs tels que la création d’emplois de qualité, la fourniture de services d’intérêt général (en particulier, un approvisionnement en énergie et en eau ainsi que des logements durables et abordables), la convergence et la cohésion vers le haut, ainsi que la croissance durable globale dans l’ensemble de l’Union. Le rôle central du FEC doit donc être reconnu lors de la répartition des fonds du CFP.</w:t>
      </w:r>
    </w:p>
    <w:p w14:paraId="68964A05" w14:textId="77777777" w:rsidR="0090606C" w:rsidRPr="0036350D" w:rsidRDefault="0090606C">
      <w:pPr>
        <w:pStyle w:val="Heading2"/>
        <w:numPr>
          <w:ilvl w:val="0"/>
          <w:numId w:val="0"/>
        </w:numPr>
        <w:rPr>
          <w:lang w:val="en-GB"/>
        </w:rPr>
      </w:pPr>
    </w:p>
    <w:p w14:paraId="42314B5C" w14:textId="1D093825" w:rsidR="0090606C" w:rsidRPr="0036350D" w:rsidRDefault="00601604">
      <w:pPr>
        <w:pStyle w:val="Heading2"/>
      </w:pPr>
      <w:r>
        <w:lastRenderedPageBreak/>
        <w:t>Les ressources du FEC représentent environ un cinquième du budget total du CFP et peu ou prou la moitié du nouveau fonds de partenariat national et régional consacré à la cohésion et à l’agriculture</w:t>
      </w:r>
      <w:r w:rsidRPr="0036350D">
        <w:rPr>
          <w:rStyle w:val="FootnoteReference"/>
          <w:lang w:val="en-GB"/>
        </w:rPr>
        <w:footnoteReference w:id="5"/>
      </w:r>
      <w:r>
        <w:t>. Une part non négligeable du FEC serait de surcroît affectée à la sécurité, ce qui justifierait qu’il soit rebaptisé</w:t>
      </w:r>
      <w:proofErr w:type="gramStart"/>
      <w:r>
        <w:t xml:space="preserve"> «Fonds</w:t>
      </w:r>
      <w:proofErr w:type="gramEnd"/>
      <w:r>
        <w:t xml:space="preserve"> pour la compétitivité et la sécurité». Le CESE souligne que la sécurité globale englobe plusieurs dimensions, à savoir non seulement les capacités de défense, mais aussi la préparation civile, industrielle et sociétale, les multiples facettes de la sécurité économique, ou encore la sécurité sociale, sanitaire, alimentaire et environnementale.</w:t>
      </w:r>
    </w:p>
    <w:p w14:paraId="7824DDB0" w14:textId="77777777" w:rsidR="0090606C" w:rsidRPr="0036350D" w:rsidRDefault="0090606C">
      <w:pPr>
        <w:rPr>
          <w:lang w:val="en-GB"/>
        </w:rPr>
      </w:pPr>
    </w:p>
    <w:p w14:paraId="39599DE7" w14:textId="2E580840" w:rsidR="0090606C" w:rsidRPr="0036350D" w:rsidRDefault="00601604">
      <w:pPr>
        <w:pStyle w:val="Heading2"/>
      </w:pPr>
      <w:r>
        <w:t>Il importe aussi d’accroître la cohérence des politiques et de renforcer les synergies entre les différents fonds. Par exemple, les partenariats nationaux et régionaux en matière d’infrastructures, ainsi que les partenariats économiques internationaux, sont essentiels tant pour la compétitivité que pour la sécurité. La proposition du CESE relative à un Fonds pour une transition bleue</w:t>
      </w:r>
      <w:r w:rsidR="00D568A2" w:rsidRPr="00FA5329">
        <w:rPr>
          <w:rStyle w:val="FootnoteReference"/>
          <w:iCs/>
          <w:lang w:val="en-GB"/>
        </w:rPr>
        <w:footnoteReference w:id="6"/>
      </w:r>
      <w:r>
        <w:t xml:space="preserve"> pourrait aussi aider à la réalisation de cet objectif en fournissant un point d’accès thématique unique pour différents types de financement en faveur d’une économie résiliente dans le domaine de l’eau, couvrant les compétences, la recherche et l’adoption de technologies économes en eau pour favoriser la sécurité hydrique et la compétitivité de l’Europe. Une telle démarche contribuerait à l’instauration d’une économie intelligente dans le domaine de l’eau dans toute l’Europe, où l’utilisation durable de cette ressource, l’innovation et les investissements sous-tendent la puissance industrielle, la protection de l’environnement et le bien-être social.</w:t>
      </w:r>
    </w:p>
    <w:p w14:paraId="3E0B6F39" w14:textId="77777777" w:rsidR="0090606C" w:rsidRPr="0036350D" w:rsidRDefault="0090606C">
      <w:pPr>
        <w:rPr>
          <w:lang w:val="en-GB"/>
        </w:rPr>
      </w:pPr>
    </w:p>
    <w:p w14:paraId="57B6C269" w14:textId="77777777" w:rsidR="0090606C" w:rsidRPr="0036350D" w:rsidRDefault="00601604">
      <w:pPr>
        <w:keepNext/>
        <w:keepLines/>
        <w:ind w:left="567"/>
        <w:rPr>
          <w:i/>
          <w:iCs/>
        </w:rPr>
      </w:pPr>
      <w:r>
        <w:rPr>
          <w:i/>
        </w:rPr>
        <w:t>Arguments à l’appui de la recommandation 1.2 (volets d’action)</w:t>
      </w:r>
    </w:p>
    <w:p w14:paraId="194D14C8" w14:textId="77777777" w:rsidR="0090606C" w:rsidRPr="0036350D" w:rsidRDefault="0090606C">
      <w:pPr>
        <w:keepNext/>
        <w:rPr>
          <w:lang w:val="en-GB"/>
        </w:rPr>
      </w:pPr>
    </w:p>
    <w:p w14:paraId="3D22FFF1" w14:textId="77777777" w:rsidR="0090606C" w:rsidRPr="0036350D" w:rsidRDefault="00601604">
      <w:pPr>
        <w:pStyle w:val="Heading2"/>
      </w:pPr>
      <w:r>
        <w:t>L’architecture intégrée et axée sur les résultats proposée, accompagnée d’une simplification, apparaît comme une approche utile pour réduire la fragmentation et améliorer l’efficacité. Les quatre domaines prioritaires, ou</w:t>
      </w:r>
      <w:proofErr w:type="gramStart"/>
      <w:r>
        <w:t xml:space="preserve"> «volets</w:t>
      </w:r>
      <w:proofErr w:type="gramEnd"/>
      <w:r>
        <w:t>», qui combinent plusieurs programmes actuels, sont bien structurés et répondent à des problèmes communs qui sont d’actualité, depuis les transitions propre et numérique jusqu’aux questions spatiales et de défense, en passant par la santé ou la bioéconomie.</w:t>
      </w:r>
    </w:p>
    <w:p w14:paraId="02C19EBD" w14:textId="77777777" w:rsidR="0090606C" w:rsidRPr="0036350D" w:rsidRDefault="0090606C">
      <w:pPr>
        <w:ind w:left="567" w:hanging="567"/>
        <w:rPr>
          <w:lang w:val="en-GB"/>
        </w:rPr>
      </w:pPr>
    </w:p>
    <w:p w14:paraId="58F3787F" w14:textId="0D70FBF8" w:rsidR="0090606C" w:rsidRPr="0036350D" w:rsidRDefault="00601604">
      <w:pPr>
        <w:pStyle w:val="Heading2"/>
      </w:pPr>
      <w:r>
        <w:t>Toutefois, lesdits</w:t>
      </w:r>
      <w:proofErr w:type="gramStart"/>
      <w:r>
        <w:t xml:space="preserve"> «volets</w:t>
      </w:r>
      <w:proofErr w:type="gramEnd"/>
      <w:r>
        <w:t>» eux-mêmes semblent être avant tout considérés comme des silos, avec des descriptions détaillées des activités à soutenir au titre de chaque volet, ce qui peut par exemple brouiller le potentiel, pour l’ensemble de l’économie, des technologies profondes (</w:t>
      </w:r>
      <w:proofErr w:type="spellStart"/>
      <w:r>
        <w:t>deep</w:t>
      </w:r>
      <w:proofErr w:type="spellEnd"/>
      <w:r>
        <w:t xml:space="preserve"> tech) et des infrastructures, technologies ou produits à double usage. Une approche transversale intégrée s’impose pour veiller à ce que la priorité soit maintenue et à ce que la prévisibilité pour les bénéficiaires soit préservée, ce qui permettra de répondre à la </w:t>
      </w:r>
      <w:proofErr w:type="spellStart"/>
      <w:r>
        <w:t>polycrise</w:t>
      </w:r>
      <w:proofErr w:type="spellEnd"/>
      <w:r>
        <w:t>, aux problèmes liés à la transformation à long terme et à l’évolution rapide des situations et des besoins.</w:t>
      </w:r>
    </w:p>
    <w:p w14:paraId="0F62970E" w14:textId="77777777" w:rsidR="0090606C" w:rsidRPr="0036350D" w:rsidRDefault="0090606C">
      <w:pPr>
        <w:ind w:left="567" w:hanging="567"/>
        <w:rPr>
          <w:lang w:val="en-GB"/>
        </w:rPr>
      </w:pPr>
    </w:p>
    <w:p w14:paraId="5449A251" w14:textId="77777777" w:rsidR="0090606C" w:rsidRPr="0036350D" w:rsidRDefault="00601604">
      <w:pPr>
        <w:keepNext/>
        <w:keepLines/>
        <w:ind w:left="567"/>
        <w:rPr>
          <w:i/>
          <w:iCs/>
        </w:rPr>
      </w:pPr>
      <w:r>
        <w:rPr>
          <w:i/>
        </w:rPr>
        <w:lastRenderedPageBreak/>
        <w:t>Arguments à l’appui de la recommandation 1.3 (critères d’attribution)</w:t>
      </w:r>
    </w:p>
    <w:p w14:paraId="27E4DA0A" w14:textId="77777777" w:rsidR="0090606C" w:rsidRPr="0036350D" w:rsidRDefault="0090606C">
      <w:pPr>
        <w:keepNext/>
        <w:rPr>
          <w:lang w:val="en-GB"/>
        </w:rPr>
      </w:pPr>
    </w:p>
    <w:p w14:paraId="118D7898" w14:textId="18183EA0" w:rsidR="0090606C" w:rsidRPr="0036350D" w:rsidRDefault="00601604">
      <w:pPr>
        <w:pStyle w:val="Heading2"/>
      </w:pPr>
      <w:r>
        <w:t>Bien que la proposition de CFP fasse référence ici ou là à des critères d’attribution dans différents domaines, celle-ci devrait aussi définir des critères communs pour orienter l’allocation des financements dans tous les domaines thématiques afin d’assurer la cohérence entre les différentes décisions de financement. Les critères d’attribution communs devraient découler de l’objectif d’amélioration de la compétitivité du FEC et partant, accorder la priorité à l’excellence, à l’orientation future et au potentiel économique en tant que critères de référence principaux, tandis que les critères propres à chaque volet renverraient aux résultats attendus dans le domaine thématique concerné. Dans le même temps, l’objectif ultime de la compétitivité, à savoir l’amélioration de la qualité de vie, doit être pleinement respecté.</w:t>
      </w:r>
    </w:p>
    <w:p w14:paraId="7B581337" w14:textId="77777777" w:rsidR="0090606C" w:rsidRPr="0036350D" w:rsidRDefault="0090606C">
      <w:pPr>
        <w:pStyle w:val="Heading2"/>
        <w:numPr>
          <w:ilvl w:val="0"/>
          <w:numId w:val="0"/>
        </w:numPr>
        <w:ind w:left="567"/>
        <w:rPr>
          <w:lang w:val="en-GB"/>
        </w:rPr>
      </w:pPr>
    </w:p>
    <w:p w14:paraId="7CE6276D" w14:textId="77777777" w:rsidR="0090606C" w:rsidRPr="0036350D" w:rsidRDefault="00601604">
      <w:pPr>
        <w:pStyle w:val="Heading2"/>
      </w:pPr>
      <w:r>
        <w:t>La proposition devrait aussi s’accompagner d’orientations méthodologiques relativement à la manière dont doit être évaluée la contribution à la compétitivité globale de l’Union. Des critères d’attribution clairs et pertinents, ainsi que des méthodes d’évaluation et de notation bien définies, sont les pierres angulaires de la prévisibilité et de la transparence, lesquelles sont essentielles pour les bénéficiaires potentiels.</w:t>
      </w:r>
    </w:p>
    <w:p w14:paraId="248389F1" w14:textId="77777777" w:rsidR="0090606C" w:rsidRPr="0036350D" w:rsidRDefault="0090606C">
      <w:pPr>
        <w:rPr>
          <w:lang w:val="en-GB"/>
        </w:rPr>
      </w:pPr>
    </w:p>
    <w:p w14:paraId="654FBA71" w14:textId="77777777" w:rsidR="0090606C" w:rsidRPr="0036350D" w:rsidRDefault="00601604">
      <w:pPr>
        <w:keepNext/>
        <w:keepLines/>
        <w:ind w:left="567"/>
        <w:rPr>
          <w:i/>
          <w:iCs/>
        </w:rPr>
      </w:pPr>
      <w:r>
        <w:rPr>
          <w:i/>
        </w:rPr>
        <w:t xml:space="preserve">Arguments à l’appui de la recommandation 1.4 (ciblage spécifique) </w:t>
      </w:r>
    </w:p>
    <w:p w14:paraId="3EB05D5D" w14:textId="77777777" w:rsidR="0090606C" w:rsidRPr="0036350D" w:rsidRDefault="0090606C">
      <w:pPr>
        <w:keepNext/>
        <w:keepLines/>
        <w:ind w:left="567"/>
        <w:rPr>
          <w:i/>
          <w:iCs/>
          <w:lang w:val="en-GB"/>
        </w:rPr>
      </w:pPr>
    </w:p>
    <w:p w14:paraId="0EFA8A3C" w14:textId="77777777" w:rsidR="0090606C" w:rsidRPr="0036350D" w:rsidRDefault="00601604">
      <w:pPr>
        <w:pStyle w:val="Heading2"/>
      </w:pPr>
      <w:r>
        <w:t>Outre l’absence de critères d’attribution généraux, la proposition comprend plusieurs caractérisations d’objectifs de soutien spécifiques qui restent ambiguës. L’absence de critères clairs ouvre la voie à des décisions arbitraires et à des avantages fondés sur les actions de lobbying. Il importe par ailleurs d’éviter de</w:t>
      </w:r>
      <w:proofErr w:type="gramStart"/>
      <w:r>
        <w:t xml:space="preserve"> «choisir</w:t>
      </w:r>
      <w:proofErr w:type="gramEnd"/>
      <w:r>
        <w:t xml:space="preserve"> les gagnants» et de classer les entreprises et les secteurs d’une manière qui entraîne des distorsions dans la concurrence et le fonctionnement du marché. Le FEC devrait donc être guidé par le principe de l’évolution vers des conditions de concurrence équitables dans l’ensemble de l’Union et entre les acteurs économiques.</w:t>
      </w:r>
    </w:p>
    <w:p w14:paraId="3C95E448" w14:textId="77777777" w:rsidR="0090606C" w:rsidRPr="0036350D" w:rsidRDefault="0090606C">
      <w:pPr>
        <w:ind w:left="567" w:hanging="567"/>
        <w:rPr>
          <w:lang w:val="en-GB"/>
        </w:rPr>
      </w:pPr>
    </w:p>
    <w:p w14:paraId="5D6378BE" w14:textId="77777777" w:rsidR="0090606C" w:rsidRPr="0036350D" w:rsidRDefault="00601604">
      <w:pPr>
        <w:pStyle w:val="Heading2"/>
      </w:pPr>
      <w:r>
        <w:t>Si les propositions relatives aux</w:t>
      </w:r>
      <w:proofErr w:type="gramStart"/>
      <w:r>
        <w:t xml:space="preserve"> «constructeurs</w:t>
      </w:r>
      <w:proofErr w:type="gramEnd"/>
      <w:r>
        <w:t xml:space="preserve"> de chaînes de valeur du marché unique» (article 16) et aux «pionniers technologiques européens» (article 17) sont les bienvenues, on ne comprend pas très bien de quelle façon ils seront sélectionnés, ni comment les règles en matière d’aides d’État seront appliquées à leur financement. Le processus de sélection des</w:t>
      </w:r>
      <w:proofErr w:type="gramStart"/>
      <w:r>
        <w:t xml:space="preserve"> «actions</w:t>
      </w:r>
      <w:proofErr w:type="gramEnd"/>
      <w:r>
        <w:t xml:space="preserve"> visant à accélérer la production» (article 18) dans la perspective d’un soutien n’est pas plus clair, de même que la manière dont des possibilités symétriques seront garanties dans chaque État membre. Le mécanisme des</w:t>
      </w:r>
      <w:proofErr w:type="gramStart"/>
      <w:r>
        <w:t xml:space="preserve"> «actions</w:t>
      </w:r>
      <w:proofErr w:type="gramEnd"/>
      <w:r>
        <w:t xml:space="preserve"> accélérées et ciblées en faveur de la compétitivité» (article 20) est par ailleurs susceptible d’aboutir à des décisions biaisées et risquées en l’absence d’une méthode d’évaluation claire.</w:t>
      </w:r>
    </w:p>
    <w:p w14:paraId="4C1C0204" w14:textId="77777777" w:rsidR="0090606C" w:rsidRPr="0036350D" w:rsidRDefault="0090606C">
      <w:pPr>
        <w:ind w:left="567" w:hanging="567"/>
        <w:rPr>
          <w:lang w:val="en-GB"/>
        </w:rPr>
      </w:pPr>
    </w:p>
    <w:p w14:paraId="698629FE" w14:textId="77777777" w:rsidR="0090606C" w:rsidRPr="0036350D" w:rsidRDefault="00601604">
      <w:pPr>
        <w:pStyle w:val="Heading2"/>
      </w:pPr>
      <w:r>
        <w:t>Les</w:t>
      </w:r>
      <w:proofErr w:type="gramStart"/>
      <w:r>
        <w:t xml:space="preserve"> «compléments</w:t>
      </w:r>
      <w:proofErr w:type="gramEnd"/>
      <w:r>
        <w:t xml:space="preserve"> en faveur des PIIEC» (article 19) offrent un excellent instrument pour veiller à ce que les États membres aient les mêmes chances de participer tout en mettant en avant la coopération et les synergies entre eux</w:t>
      </w:r>
      <w:r w:rsidRPr="0036350D">
        <w:rPr>
          <w:rStyle w:val="FootnoteReference"/>
          <w:szCs w:val="24"/>
          <w:lang w:val="en-GB"/>
        </w:rPr>
        <w:footnoteReference w:id="7"/>
      </w:r>
      <w:r>
        <w:t>, afin d’éviter de compromettre certains États membres, comme c’est le cas pour certains programmes européens actuels</w:t>
      </w:r>
      <w:r w:rsidRPr="0036350D">
        <w:rPr>
          <w:rStyle w:val="FootnoteReference"/>
          <w:lang w:val="en-GB"/>
        </w:rPr>
        <w:footnoteReference w:id="8"/>
      </w:r>
      <w:r>
        <w:t xml:space="preserve">. Ils peuvent se combiner à une </w:t>
      </w:r>
      <w:r>
        <w:lastRenderedPageBreak/>
        <w:t>exigence de validation par le marché, à savoir l’obligation pour un demandeur de mobiliser une certaine part de financement privé sur les marchés financiers ou des capitaux pour pouvoir bénéficier d’un complément de financement européen.</w:t>
      </w:r>
    </w:p>
    <w:p w14:paraId="5B05ED9B" w14:textId="77777777" w:rsidR="0090606C" w:rsidRPr="0036350D" w:rsidRDefault="0090606C">
      <w:pPr>
        <w:rPr>
          <w:lang w:val="en-GB"/>
        </w:rPr>
      </w:pPr>
    </w:p>
    <w:p w14:paraId="0D794893" w14:textId="36FA4DD3" w:rsidR="0090606C" w:rsidRPr="0036350D" w:rsidRDefault="00601604">
      <w:pPr>
        <w:pStyle w:val="Heading2"/>
      </w:pPr>
      <w:r>
        <w:t>Il est essentiel de tenir compte des disparités régionales et de promouvoir la convergence en soutenant des projets d’importance locale et régionale, et pas seulement des initiatives de grande envergure et centralisées. Des fonds supplémentaires devraient être spécifiquement alloués aux pays frontaliers de l’Union qui sont confrontés à des menaces, militaires ou non, afin de renforcer leur résilience économique, sociale et sécuritaire.</w:t>
      </w:r>
    </w:p>
    <w:p w14:paraId="00E1ED26" w14:textId="77777777" w:rsidR="0090606C" w:rsidRPr="0036350D" w:rsidRDefault="0090606C">
      <w:pPr>
        <w:rPr>
          <w:lang w:val="en-GB"/>
        </w:rPr>
      </w:pPr>
    </w:p>
    <w:p w14:paraId="23206951" w14:textId="7B4A85E2" w:rsidR="0090606C" w:rsidRPr="0036350D" w:rsidRDefault="00601604">
      <w:pPr>
        <w:pStyle w:val="Heading2"/>
      </w:pPr>
      <w:r>
        <w:t>Pour ce qui est de la participation de tiers et de pays tiers, il est crucial de bâtir un consensus autour des critères de sélection et du mécanisme commun d’évaluation des risques afin de prévenir les erreurs et les pertes et de continuer à mettre clairement l’accent sur la promotion de la compétitivité européenne.</w:t>
      </w:r>
    </w:p>
    <w:p w14:paraId="74FF2B2E" w14:textId="071CBCDA" w:rsidR="00A27CE3" w:rsidRPr="0036350D" w:rsidRDefault="00A27CE3">
      <w:pPr>
        <w:rPr>
          <w:lang w:val="en-GB"/>
        </w:rPr>
      </w:pPr>
    </w:p>
    <w:p w14:paraId="132945C5" w14:textId="77777777" w:rsidR="00A27CE3" w:rsidRPr="0036350D" w:rsidRDefault="00A27CE3" w:rsidP="00A27CE3">
      <w:pPr>
        <w:pStyle w:val="Heading2"/>
        <w:rPr>
          <w:iCs/>
        </w:rPr>
      </w:pPr>
      <w:r>
        <w:t>Le CESE réitère son appel à agir en faveur du renforcement de la résilience dans le domaine de l’eau dans le cadre du pacte bleu, en ce que celle-ci représente une ressource essentielle pour la compétitivité, et considère l’eau comme une priorité stratégique</w:t>
      </w:r>
      <w:r w:rsidRPr="00FA5329">
        <w:rPr>
          <w:rStyle w:val="FootnoteReference"/>
          <w:iCs/>
          <w:lang w:val="en-GB"/>
        </w:rPr>
        <w:footnoteReference w:id="9"/>
      </w:r>
      <w:r>
        <w:t xml:space="preserve"> sous l’angle du financement, qui doit être prise en compte dans le Fonds pour la compétitivité.</w:t>
      </w:r>
    </w:p>
    <w:p w14:paraId="2D74FD1A" w14:textId="77777777" w:rsidR="0090606C" w:rsidRPr="0036350D" w:rsidRDefault="0090606C">
      <w:pPr>
        <w:ind w:left="567"/>
        <w:rPr>
          <w:lang w:val="en-GB"/>
        </w:rPr>
      </w:pPr>
    </w:p>
    <w:p w14:paraId="7C1E9C84" w14:textId="77777777" w:rsidR="0090606C" w:rsidRPr="0036350D" w:rsidRDefault="00601604">
      <w:pPr>
        <w:keepNext/>
        <w:keepLines/>
        <w:ind w:left="567"/>
        <w:rPr>
          <w:i/>
          <w:iCs/>
        </w:rPr>
      </w:pPr>
      <w:r>
        <w:rPr>
          <w:i/>
        </w:rPr>
        <w:t>Arguments à l’appui de la recommandation 1.5 (étapes du parcours d’investissement)</w:t>
      </w:r>
    </w:p>
    <w:p w14:paraId="3D677E7F" w14:textId="77777777" w:rsidR="0090606C" w:rsidRPr="0036350D" w:rsidRDefault="0090606C">
      <w:pPr>
        <w:keepNext/>
        <w:rPr>
          <w:lang w:val="en-GB"/>
        </w:rPr>
      </w:pPr>
    </w:p>
    <w:p w14:paraId="466CA26E" w14:textId="77777777" w:rsidR="0090606C" w:rsidRPr="0036350D" w:rsidRDefault="00601604">
      <w:pPr>
        <w:pStyle w:val="Heading2"/>
      </w:pPr>
      <w:r>
        <w:t>Étant donné que</w:t>
      </w:r>
      <w:proofErr w:type="gramStart"/>
      <w:r>
        <w:t xml:space="preserve"> «le</w:t>
      </w:r>
      <w:proofErr w:type="gramEnd"/>
      <w:r>
        <w:t xml:space="preserve"> parcours d’investissement n’est pas linéaire, car toutes les étapes s’alimentent mutuellement»</w:t>
      </w:r>
      <w:r w:rsidRPr="0036350D">
        <w:rPr>
          <w:sz w:val="24"/>
          <w:szCs w:val="24"/>
          <w:vertAlign w:val="superscript"/>
          <w:lang w:val="en-GB"/>
        </w:rPr>
        <w:footnoteReference w:id="10"/>
      </w:r>
      <w:r>
        <w:t>, il convient d’adopter une approche intégrée qui tienne compte des besoins de chacune d’entre elles, depuis la recherche et l’innovation jusqu’à l’activité à grande échelle. Il s’impose d’accorder une attention particulière aux étapes de</w:t>
      </w:r>
      <w:proofErr w:type="gramStart"/>
      <w:r>
        <w:t xml:space="preserve"> «médiation</w:t>
      </w:r>
      <w:proofErr w:type="gramEnd"/>
      <w:r>
        <w:t>», telles que la mise en place d’infrastructures technologiques pour faciliter l’essai et le pilotage de nouvelles technologies et, à un stade ultérieur, la mobilisation de capitaux afin de permettre le développement des activités.</w:t>
      </w:r>
    </w:p>
    <w:p w14:paraId="50A03D10" w14:textId="77777777" w:rsidR="0090606C" w:rsidRPr="0036350D" w:rsidRDefault="0090606C">
      <w:pPr>
        <w:rPr>
          <w:lang w:val="en-GB"/>
        </w:rPr>
      </w:pPr>
    </w:p>
    <w:p w14:paraId="2E536641" w14:textId="4237FF58" w:rsidR="0090606C" w:rsidRPr="0036350D" w:rsidRDefault="00601604">
      <w:pPr>
        <w:pStyle w:val="Heading2"/>
      </w:pPr>
      <w:r>
        <w:t>Les investissements dans le développement des aptitudes et des compétences doivent être harmonisés en conséquence, depuis la promotion des talents les plus prometteurs jusqu’à un soutien spécifique au perfectionnement et à la reconversion professionnels des travailleurs, en passant par la promotion de l’enseignement et de la formation professionnels et l’apprentissage tout au long de la vie, en tenant compte non seulement des besoins actuels mais aussi futurs du marché du travail. Cette dimension est essentielle pour répondre à l’évolution des besoins des marchés du travail et pour faire face aux transformations majeures. Un montant réservé dans le budget du FEC devrait être alloué à des investissements sociaux tels que la reconversion et le perfectionnement professionnels des travailleurs et l’adaptation de leurs compétences, à condition que ces instruments soient gérés conjointement par les partenaires sociaux.</w:t>
      </w:r>
    </w:p>
    <w:p w14:paraId="5860C67E" w14:textId="77777777" w:rsidR="0090606C" w:rsidRPr="0036350D" w:rsidRDefault="0090606C">
      <w:pPr>
        <w:rPr>
          <w:lang w:val="en-GB"/>
        </w:rPr>
      </w:pPr>
    </w:p>
    <w:p w14:paraId="13ABB860" w14:textId="77777777" w:rsidR="0090606C" w:rsidRPr="0036350D" w:rsidRDefault="00601604">
      <w:pPr>
        <w:pStyle w:val="Heading2"/>
      </w:pPr>
      <w:r>
        <w:lastRenderedPageBreak/>
        <w:t>L’attention particulière accordée à la collaboration</w:t>
      </w:r>
      <w:proofErr w:type="gramStart"/>
      <w:r>
        <w:t xml:space="preserve"> «entre</w:t>
      </w:r>
      <w:proofErr w:type="gramEnd"/>
      <w:r>
        <w:t xml:space="preserve"> les petites et les grandes entreprises, les instituts de recherche universitaires, [et] les fournisseurs d’infrastructures»</w:t>
      </w:r>
      <w:r w:rsidRPr="0036350D">
        <w:rPr>
          <w:sz w:val="24"/>
          <w:szCs w:val="24"/>
          <w:vertAlign w:val="superscript"/>
          <w:lang w:val="en-GB"/>
        </w:rPr>
        <w:footnoteReference w:id="11"/>
      </w:r>
      <w:r>
        <w:t xml:space="preserve"> mérite d’être saluée. Pour exploiter pleinement le potentiel de l’Union, le FEC devrait encourager la création de partenariats d’innovation transfrontières ainsi que des écosystèmes d’entreprises et de chaînes de valeur européens regroupant des entreprises diversifiées et implantées dans des lieux différents. Outre les investissements dans des infrastructures d’innovation d’excellence, il apparaît nécessaire d’investir dans des infrastructures physiques et d’assurer l’égalité d’accès au marché unique, même pour les zones éloignées, y compris en apportant un soutien ciblé pour les coûts de transport supplémentaires ou en accordant des points d’évaluation</w:t>
      </w:r>
      <w:proofErr w:type="gramStart"/>
      <w:r>
        <w:t xml:space="preserve"> «bonus</w:t>
      </w:r>
      <w:proofErr w:type="gramEnd"/>
      <w:r>
        <w:t>», pour contribuer à la relocalisation des chaînes de valeur au sein de l’Union.</w:t>
      </w:r>
    </w:p>
    <w:p w14:paraId="3DCD043B" w14:textId="77777777" w:rsidR="0090606C" w:rsidRPr="0036350D" w:rsidRDefault="0090606C">
      <w:pPr>
        <w:rPr>
          <w:lang w:val="en-GB"/>
        </w:rPr>
      </w:pPr>
    </w:p>
    <w:p w14:paraId="7D281E9A" w14:textId="77777777" w:rsidR="0090606C" w:rsidRPr="0036350D" w:rsidRDefault="00601604">
      <w:pPr>
        <w:keepNext/>
        <w:ind w:firstLine="567"/>
        <w:rPr>
          <w:i/>
          <w:iCs/>
        </w:rPr>
      </w:pPr>
      <w:r>
        <w:rPr>
          <w:i/>
        </w:rPr>
        <w:t>Arguments à l’appui de la recommandation 1.6 (outils de financement)</w:t>
      </w:r>
    </w:p>
    <w:p w14:paraId="072AEB9E" w14:textId="77777777" w:rsidR="0090606C" w:rsidRPr="0036350D" w:rsidRDefault="0090606C">
      <w:pPr>
        <w:keepNext/>
        <w:ind w:left="567" w:hanging="567"/>
        <w:rPr>
          <w:i/>
          <w:iCs/>
          <w:lang w:val="en-GB"/>
        </w:rPr>
      </w:pPr>
    </w:p>
    <w:p w14:paraId="149DAEA5" w14:textId="77777777" w:rsidR="0090606C" w:rsidRPr="0036350D" w:rsidRDefault="00601604">
      <w:pPr>
        <w:pStyle w:val="Heading2"/>
      </w:pPr>
      <w:r>
        <w:t>Le FEC s’efforce d’amplifier son impact en catalysant les capitaux privés et institutionnels. Cet aspect est crucial, compte tenu des besoins d’investissement énormes dans tous les domaines thématiques du FEC. Dans ce contexte, il serait utile d’introduire différents moyens de mobilisation des capitaux, et notamment d’établir un lien entre le financement du FEC et les fonds levés sur les marchés financiers/des capitaux par la proposition du demandeur (validation par le marché). La mobilisation des flux de capitaux privés et institutionnels contribue également à l’intégration des marchés des capitaux et à la création d’une union de l’épargne et de l’investissement. Le rôle des organisations professionnelles dans la facilitation du processus est important.</w:t>
      </w:r>
    </w:p>
    <w:p w14:paraId="0041A3CC" w14:textId="77777777" w:rsidR="0090606C" w:rsidRPr="0036350D" w:rsidRDefault="0090606C">
      <w:pPr>
        <w:pStyle w:val="Heading2"/>
        <w:numPr>
          <w:ilvl w:val="0"/>
          <w:numId w:val="0"/>
        </w:numPr>
        <w:ind w:left="567" w:hanging="567"/>
        <w:rPr>
          <w:lang w:val="en-GB"/>
        </w:rPr>
      </w:pPr>
    </w:p>
    <w:p w14:paraId="713570E5" w14:textId="77777777" w:rsidR="0090606C" w:rsidRPr="0036350D" w:rsidRDefault="00601604">
      <w:pPr>
        <w:pStyle w:val="Heading2"/>
      </w:pPr>
      <w:r>
        <w:t>Le FEC couvre un large éventail d’outils financiers et vise à faciliter le financement le plus approprié pour chaque cas, grâce à la mutualisation et à une flexibilité accrue. Si une plus grande flexibilité dans l’utilisation des outils de financement est la bienvenue, les bénéficiaires devraient avoir davantage leur mot à dire dans le choix de la formule de financement finale pour garantir qu’elle correspond à leurs besoins réels. Cela nécessite des processus décisionnels plus souples, interactifs et ouverts. Une coopération harmonieuse, une synergie et une démarcation entre le FEC et les fonds connexes autonomes constituent aussi un impératif.</w:t>
      </w:r>
    </w:p>
    <w:p w14:paraId="2A38EC58" w14:textId="77777777" w:rsidR="0090606C" w:rsidRPr="0036350D" w:rsidRDefault="0090606C">
      <w:pPr>
        <w:rPr>
          <w:lang w:val="en-GB"/>
        </w:rPr>
      </w:pPr>
    </w:p>
    <w:p w14:paraId="64CFA417" w14:textId="77777777" w:rsidR="0090606C" w:rsidRPr="0036350D" w:rsidRDefault="00601604">
      <w:pPr>
        <w:keepNext/>
        <w:ind w:left="567"/>
      </w:pPr>
      <w:r>
        <w:rPr>
          <w:i/>
        </w:rPr>
        <w:t>Arguments à l’appui de la recommandation 1.7 (PME)</w:t>
      </w:r>
    </w:p>
    <w:p w14:paraId="0CD6E212" w14:textId="77777777" w:rsidR="0090606C" w:rsidRPr="0036350D" w:rsidRDefault="0090606C">
      <w:pPr>
        <w:keepNext/>
        <w:rPr>
          <w:lang w:val="en-GB"/>
        </w:rPr>
      </w:pPr>
    </w:p>
    <w:p w14:paraId="2AAB8C9B" w14:textId="77777777" w:rsidR="0090606C" w:rsidRPr="0036350D" w:rsidRDefault="00601604">
      <w:pPr>
        <w:pStyle w:val="Heading2"/>
      </w:pPr>
      <w:r>
        <w:t xml:space="preserve">Bien que le FEC proposé ne comprenne pas de ligne de financement spécifique pour les PME, tous les volets et l’instrument </w:t>
      </w:r>
      <w:proofErr w:type="spellStart"/>
      <w:r>
        <w:t>InvestEU</w:t>
      </w:r>
      <w:proofErr w:type="spellEnd"/>
      <w:r>
        <w:t xml:space="preserve"> du FEC font référence aux PME, aux jeunes pousses et aux entreprises en expansion, et le FEC couvre aussi les services aux PME. C’est toutefois la mise en œuvre qui détermine dans quelle mesure les besoins de ces entreprises seront bien satisfaits. Il est donc important d’ancrer les programmes de promotion des PME au niveau des États membres.</w:t>
      </w:r>
    </w:p>
    <w:p w14:paraId="123DD567" w14:textId="77777777" w:rsidR="0090606C" w:rsidRPr="0036350D" w:rsidRDefault="0090606C">
      <w:pPr>
        <w:ind w:left="567" w:hanging="567"/>
        <w:rPr>
          <w:lang w:val="en-GB"/>
        </w:rPr>
      </w:pPr>
    </w:p>
    <w:p w14:paraId="693081A5" w14:textId="77777777" w:rsidR="0090606C" w:rsidRPr="0036350D" w:rsidRDefault="00601604">
      <w:pPr>
        <w:pStyle w:val="Heading2"/>
      </w:pPr>
      <w:r>
        <w:t>L’attention particulière accordée aux PME</w:t>
      </w:r>
      <w:r w:rsidRPr="0036350D">
        <w:rPr>
          <w:rStyle w:val="FootnoteReference"/>
          <w:szCs w:val="24"/>
          <w:lang w:val="en-GB"/>
        </w:rPr>
        <w:footnoteReference w:id="12"/>
      </w:r>
      <w:r>
        <w:t xml:space="preserve"> et à la poursuite de l’inclusion des petites entreprises à moyenne capitalisation est positive en tant qu’approche générale, mais une </w:t>
      </w:r>
      <w:r>
        <w:lastRenderedPageBreak/>
        <w:t>segmentation mieux conçue et plus précise est nécessaire pour répondre aux besoins spécifiques de chaque segment de PME</w:t>
      </w:r>
      <w:r w:rsidRPr="0036350D">
        <w:rPr>
          <w:rStyle w:val="FootnoteReference"/>
          <w:szCs w:val="24"/>
          <w:lang w:val="en-GB"/>
        </w:rPr>
        <w:footnoteReference w:id="13"/>
      </w:r>
      <w:r>
        <w:t>.</w:t>
      </w:r>
    </w:p>
    <w:p w14:paraId="04EA7DBF" w14:textId="77777777" w:rsidR="0090606C" w:rsidRPr="0036350D" w:rsidRDefault="0090606C">
      <w:pPr>
        <w:ind w:left="567" w:hanging="567"/>
        <w:rPr>
          <w:lang w:val="en-GB"/>
        </w:rPr>
      </w:pPr>
    </w:p>
    <w:p w14:paraId="32E6C3F5" w14:textId="77777777" w:rsidR="0090606C" w:rsidRPr="0036350D" w:rsidRDefault="00601604">
      <w:pPr>
        <w:pStyle w:val="Heading2"/>
      </w:pPr>
      <w:r>
        <w:t>Le dynamisme et la croissance rapide des jeunes pousses et des entreprises en expansion vont de pair avec plusieurs difficultés d’accès aux ressources, notamment les fonds propres et le capital-risque. Les mesures spécifiques visant à encourager ces entreprises à rester dans l’Union et à s’y développer sont importantes pour le développement global de la productivité et de la croissance.</w:t>
      </w:r>
    </w:p>
    <w:p w14:paraId="59F850FD" w14:textId="77777777" w:rsidR="0090606C" w:rsidRPr="0036350D" w:rsidRDefault="0090606C">
      <w:pPr>
        <w:rPr>
          <w:lang w:val="en-GB"/>
        </w:rPr>
      </w:pPr>
    </w:p>
    <w:p w14:paraId="2647E296" w14:textId="77777777" w:rsidR="0090606C" w:rsidRPr="0036350D" w:rsidRDefault="00601604">
      <w:pPr>
        <w:pStyle w:val="Heading2"/>
      </w:pPr>
      <w:r>
        <w:t>Avec pour visée de mieux protéger les intérêts des PME dans l’accès au financement, un réseau de</w:t>
      </w:r>
      <w:proofErr w:type="gramStart"/>
      <w:r>
        <w:t xml:space="preserve"> «médiateurs</w:t>
      </w:r>
      <w:proofErr w:type="gramEnd"/>
      <w:r>
        <w:t xml:space="preserve"> financiers» devrait être créé dans les États membres, tout en étant adossé à une coordination au niveau de l’Union. Le</w:t>
      </w:r>
      <w:proofErr w:type="gramStart"/>
      <w:r>
        <w:t xml:space="preserve"> «conseil</w:t>
      </w:r>
      <w:proofErr w:type="gramEnd"/>
      <w:r>
        <w:t xml:space="preserve"> en matière de projets» (article 26) doit être conçu en étroite coopération avec le réseau des représentants des PME et de leurs organisations représentatives, tant au niveau européen que national. Dans ce contexte, on ne voit pas clairement quel type de valeur ajoutée la création d’un nouveau</w:t>
      </w:r>
      <w:proofErr w:type="gramStart"/>
      <w:r>
        <w:t xml:space="preserve"> «Réseau</w:t>
      </w:r>
      <w:proofErr w:type="gramEnd"/>
      <w:r>
        <w:t xml:space="preserve"> de l’UE pour les entreprises» pourrait offrir par rapport aux acteurs susmentionnés.</w:t>
      </w:r>
    </w:p>
    <w:p w14:paraId="2ECC64D1" w14:textId="77777777" w:rsidR="0090606C" w:rsidRPr="0036350D" w:rsidRDefault="0090606C">
      <w:pPr>
        <w:ind w:left="567" w:hanging="567"/>
        <w:rPr>
          <w:lang w:val="en-GB"/>
        </w:rPr>
      </w:pPr>
    </w:p>
    <w:p w14:paraId="724474F9" w14:textId="77777777" w:rsidR="0090606C" w:rsidRPr="0036350D" w:rsidRDefault="00601604">
      <w:pPr>
        <w:keepNext/>
        <w:ind w:left="567"/>
        <w:rPr>
          <w:i/>
          <w:iCs/>
        </w:rPr>
      </w:pPr>
      <w:r>
        <w:rPr>
          <w:i/>
        </w:rPr>
        <w:t>Arguments à l’appui de la recommandation 1.8 (simplification)</w:t>
      </w:r>
    </w:p>
    <w:p w14:paraId="4748667F" w14:textId="77777777" w:rsidR="0090606C" w:rsidRPr="0036350D" w:rsidRDefault="0090606C">
      <w:pPr>
        <w:keepNext/>
        <w:rPr>
          <w:lang w:val="en-GB"/>
        </w:rPr>
      </w:pPr>
    </w:p>
    <w:p w14:paraId="3F9101A9" w14:textId="77777777" w:rsidR="0090606C" w:rsidRPr="0036350D" w:rsidRDefault="00601604">
      <w:pPr>
        <w:pStyle w:val="Heading2"/>
      </w:pPr>
      <w:r>
        <w:t>Si la fusion de plusieurs programmes contribue à simplifier les processus de financement, il est aussi capital d’intégrer la simplification en tant que principe essentiel dans la conception de tout élément du FEC. Par exemple, la simplification devrait garantir l’absence d’ambiguïté dans le contenu des programmes de travail et la rationalisation des procédures et documents à tous les stades du financement, depuis la demande jusqu’à l’attribution. Il convient aussi d’établir un lien très clair entre les formulaires de demande et la grille d’évaluation, y compris la possibilité de calculer les notes. Des systèmes et infrastructures numériques solides sont nécessaires pour soutenir les mesures de simplification et atténuer les différences linguistiques.</w:t>
      </w:r>
    </w:p>
    <w:p w14:paraId="38F97CF9" w14:textId="77777777" w:rsidR="0090606C" w:rsidRPr="0036350D" w:rsidRDefault="0090606C">
      <w:pPr>
        <w:rPr>
          <w:lang w:val="en-GB"/>
        </w:rPr>
      </w:pPr>
    </w:p>
    <w:p w14:paraId="563C285C" w14:textId="77777777" w:rsidR="0090606C" w:rsidRPr="0036350D" w:rsidRDefault="00601604">
      <w:pPr>
        <w:pStyle w:val="Heading2"/>
      </w:pPr>
      <w:r>
        <w:t>L’introduction d’un corpus réglementaire unique allège considérablement la charge qui pèse sur les demandeurs, mais elle crée aussi un risque de multiplication des erreurs si celui-ci n’est pas conçu de manière adéquate en fonction des différents besoins et situations des bénéficiaires potentiels. Le corpus réglementaire devrait donc être élaboré en étroite coopération et consultation avec les parties prenantes concernées et les organisations représentatives des PME et d’autres organisations économiques tant au niveau européen que national.</w:t>
      </w:r>
    </w:p>
    <w:p w14:paraId="5CE52B56" w14:textId="77777777" w:rsidR="0090606C" w:rsidRPr="0036350D" w:rsidRDefault="0090606C">
      <w:pPr>
        <w:pStyle w:val="Heading2"/>
        <w:numPr>
          <w:ilvl w:val="0"/>
          <w:numId w:val="0"/>
        </w:numPr>
        <w:ind w:left="567" w:hanging="567"/>
        <w:rPr>
          <w:lang w:val="en-GB"/>
        </w:rPr>
      </w:pPr>
    </w:p>
    <w:p w14:paraId="5EBC5AE1" w14:textId="77777777" w:rsidR="0090606C" w:rsidRPr="0036350D" w:rsidRDefault="00601604">
      <w:pPr>
        <w:pStyle w:val="Heading2"/>
      </w:pPr>
      <w:r>
        <w:t>Au lieu de se limiter à</w:t>
      </w:r>
      <w:proofErr w:type="gramStart"/>
      <w:r>
        <w:t xml:space="preserve"> «simplifier</w:t>
      </w:r>
      <w:proofErr w:type="gramEnd"/>
      <w:r>
        <w:t xml:space="preserve"> et accélérer la mise en œuvre du soutien de l’Union en faveur de certains projets importants»</w:t>
      </w:r>
      <w:r w:rsidRPr="0036350D">
        <w:rPr>
          <w:rStyle w:val="FootnoteReference"/>
          <w:szCs w:val="24"/>
          <w:lang w:val="en-GB"/>
        </w:rPr>
        <w:footnoteReference w:id="14"/>
      </w:r>
      <w:r>
        <w:t>, la simplification devrait s’appliquer à tous les projets éligibles, et éviter ainsi un traitement inégal des bénéficiaires.</w:t>
      </w:r>
    </w:p>
    <w:p w14:paraId="7AF7655E" w14:textId="77777777" w:rsidR="0090606C" w:rsidRPr="0036350D" w:rsidRDefault="0090606C">
      <w:pPr>
        <w:ind w:left="567" w:hanging="567"/>
        <w:rPr>
          <w:lang w:val="en-GB"/>
        </w:rPr>
      </w:pPr>
    </w:p>
    <w:p w14:paraId="7FF8BC1C" w14:textId="77777777" w:rsidR="0090606C" w:rsidRPr="0036350D" w:rsidRDefault="00601604">
      <w:pPr>
        <w:keepNext/>
        <w:ind w:left="567"/>
        <w:rPr>
          <w:i/>
          <w:iCs/>
        </w:rPr>
      </w:pPr>
      <w:r>
        <w:rPr>
          <w:i/>
        </w:rPr>
        <w:lastRenderedPageBreak/>
        <w:t>Arguments à l’appui de la recommandation 1.9 (faciliter la mise en œuvre)</w:t>
      </w:r>
    </w:p>
    <w:p w14:paraId="04556CD8" w14:textId="77777777" w:rsidR="0090606C" w:rsidRPr="0036350D" w:rsidRDefault="0090606C">
      <w:pPr>
        <w:keepNext/>
        <w:ind w:left="567"/>
        <w:rPr>
          <w:lang w:val="en-GB"/>
        </w:rPr>
      </w:pPr>
    </w:p>
    <w:p w14:paraId="5C3D58E2" w14:textId="77777777" w:rsidR="0090606C" w:rsidRPr="0036350D" w:rsidRDefault="00601604" w:rsidP="00667792">
      <w:pPr>
        <w:pStyle w:val="Heading2"/>
        <w:keepLines/>
      </w:pPr>
      <w:r>
        <w:t>Pour que la mise en œuvre du FEC soit fluide, efficace et inclusive, celle-ci doit être adossée à une sensibilisation et une communication sur les possibilités offertes et sur les critères à utiliser, ainsi que sur le renforcement des capacités des États membres et des parties prenantes de manière à leur permettre de s’orienter dans les procédures de financement.</w:t>
      </w:r>
    </w:p>
    <w:p w14:paraId="3887BBB5" w14:textId="77777777" w:rsidR="0090606C" w:rsidRPr="0036350D" w:rsidRDefault="0090606C">
      <w:pPr>
        <w:rPr>
          <w:lang w:val="en-GB"/>
        </w:rPr>
      </w:pPr>
    </w:p>
    <w:p w14:paraId="4A38CDEB" w14:textId="7EF5C9F4" w:rsidR="0090606C" w:rsidRPr="0036350D" w:rsidRDefault="00601604">
      <w:pPr>
        <w:pStyle w:val="Heading2"/>
      </w:pPr>
      <w:r>
        <w:t>S’il est important de suivre et d’évaluer l’efficacité et l’impact du FEC, il est aussi nécessaire de rationaliser les indicateurs et les processus et de les mettre en cohérence avec les cadres en matière de suivi et d’établissement de rapports existants pour tâcher d’obtenir des performances sociales élevées. La directive sur la publication d’informations en matière de durabilité par les entreprises et les normes ESRS connexes fournissent un cadre pertinent pour rendre transparentes les performances générales des entreprises en matière de durabilité.</w:t>
      </w:r>
    </w:p>
    <w:p w14:paraId="00408EEF" w14:textId="77777777" w:rsidR="0090606C" w:rsidRPr="0036350D" w:rsidRDefault="0090606C">
      <w:pPr>
        <w:rPr>
          <w:lang w:val="en-GB"/>
        </w:rPr>
      </w:pPr>
    </w:p>
    <w:p w14:paraId="47B82324" w14:textId="77777777" w:rsidR="0090606C" w:rsidRPr="0036350D" w:rsidRDefault="00601604">
      <w:pPr>
        <w:pStyle w:val="Heading2"/>
      </w:pPr>
      <w:r>
        <w:t>Des définitions appropriées sont également essentielles pour l’élaboration, la mise en œuvre et l’évaluation du FEC. Toutefois, des définitions manquent pour de nombreux concepts clés, et celles figurant dans la proposition (article 2) ne sont pas assez claires et laissent une marge subjective dans l’interprétation. C’est le cas, par exemple, des notions de</w:t>
      </w:r>
      <w:proofErr w:type="gramStart"/>
      <w:r>
        <w:t xml:space="preserve"> «raison</w:t>
      </w:r>
      <w:proofErr w:type="gramEnd"/>
      <w:r>
        <w:t xml:space="preserve"> impérative d’intérêt public» ou encore de «parcours d’investissement».</w:t>
      </w:r>
    </w:p>
    <w:p w14:paraId="7E28FE62" w14:textId="77777777" w:rsidR="0090606C" w:rsidRPr="0036350D" w:rsidRDefault="0090606C">
      <w:pPr>
        <w:ind w:left="567" w:hanging="567"/>
        <w:rPr>
          <w:lang w:val="en-GB"/>
        </w:rPr>
      </w:pPr>
    </w:p>
    <w:p w14:paraId="05B3E9D2" w14:textId="7C287C1E" w:rsidR="0090606C" w:rsidRPr="0036350D" w:rsidRDefault="00601604">
      <w:pPr>
        <w:pStyle w:val="Heading2"/>
      </w:pPr>
      <w:r>
        <w:t>En plus de clarifier le sens des concepts clés, il est nécessaire d’expliquer plus en détail comment ceux-ci sont utilisés dans le contexte des procédures de financement. Bien que le FEC soutienne certaines actions d’importance stratégique et économique</w:t>
      </w:r>
      <w:r w:rsidRPr="0036350D">
        <w:rPr>
          <w:rStyle w:val="FootnoteReference"/>
          <w:szCs w:val="24"/>
          <w:lang w:val="en-GB"/>
        </w:rPr>
        <w:footnoteReference w:id="15"/>
      </w:r>
      <w:r>
        <w:t>, il est nécessaire de décrire précisément la manière dont lesdites actions sont considérées comme éligibles, au vu de la longue liste d’actes qui guident ces décisions. Les mêmes préoccupations s’appliquent aux cas où certains contrôles ne devraient être effectués qu’après l’octroi du financement</w:t>
      </w:r>
      <w:r w:rsidRPr="0036350D">
        <w:rPr>
          <w:rStyle w:val="FootnoteReference"/>
          <w:szCs w:val="24"/>
          <w:lang w:val="en-GB"/>
        </w:rPr>
        <w:footnoteReference w:id="16"/>
      </w:r>
      <w:r>
        <w:t xml:space="preserve"> et au mécanisme d’intervention des incitations</w:t>
      </w:r>
      <w:r w:rsidRPr="0036350D">
        <w:rPr>
          <w:rStyle w:val="FootnoteReference"/>
          <w:szCs w:val="24"/>
          <w:lang w:val="en-GB"/>
        </w:rPr>
        <w:footnoteReference w:id="17"/>
      </w:r>
      <w:r>
        <w:t>.</w:t>
      </w:r>
    </w:p>
    <w:p w14:paraId="382E8735" w14:textId="6C05BCEA" w:rsidR="00A27CE3" w:rsidRPr="0036350D" w:rsidRDefault="00A27CE3" w:rsidP="00A27CE3">
      <w:pPr>
        <w:rPr>
          <w:lang w:val="en-GB"/>
        </w:rPr>
      </w:pPr>
    </w:p>
    <w:p w14:paraId="6CF6629A" w14:textId="2FD746B6" w:rsidR="00A27CE3" w:rsidRPr="0036350D" w:rsidRDefault="00753D7F" w:rsidP="00A27CE3">
      <w:pPr>
        <w:pStyle w:val="Heading2"/>
        <w:rPr>
          <w:iCs/>
        </w:rPr>
      </w:pPr>
      <w:r>
        <w:t>Le CESE suggère que l’accès au financement au titre du FEC soit lié à des critères sociaux et à des conventions collectives, à définir en collaboration avec les partenaires sociaux nationaux, et dans le plein respect des spécificités des États membres.</w:t>
      </w:r>
    </w:p>
    <w:p w14:paraId="621DC646" w14:textId="77777777" w:rsidR="0090606C" w:rsidRPr="0036350D" w:rsidRDefault="0090606C">
      <w:pPr>
        <w:rPr>
          <w:lang w:val="en-GB"/>
        </w:rPr>
      </w:pPr>
    </w:p>
    <w:p w14:paraId="2B4C52FB" w14:textId="77777777" w:rsidR="0090606C" w:rsidRPr="0036350D" w:rsidRDefault="00601604">
      <w:pPr>
        <w:keepNext/>
        <w:ind w:left="567"/>
        <w:rPr>
          <w:i/>
          <w:iCs/>
        </w:rPr>
      </w:pPr>
      <w:r>
        <w:rPr>
          <w:i/>
        </w:rPr>
        <w:t>Arguments à l’appui de la recommandation 1.10 (gouvernance)</w:t>
      </w:r>
    </w:p>
    <w:p w14:paraId="2A184213" w14:textId="77777777" w:rsidR="0090606C" w:rsidRPr="0036350D" w:rsidRDefault="0090606C">
      <w:pPr>
        <w:keepNext/>
        <w:rPr>
          <w:lang w:val="en-GB"/>
        </w:rPr>
      </w:pPr>
    </w:p>
    <w:p w14:paraId="7FAB930A" w14:textId="77777777" w:rsidR="0090606C" w:rsidRPr="0036350D" w:rsidRDefault="00601604">
      <w:pPr>
        <w:pStyle w:val="Heading2"/>
      </w:pPr>
      <w:r>
        <w:t>Les parties prenantes concernées, telles que les partenaires sociaux, les PME, les organisations d’entreprises et les organismes d’innovation ou encore les ONG, devraient être dûment associées à l’élaboration et à la mise en œuvre du FEC à tous les niveaux. Cela apparaît essentiel non seulement pour pouvoir répondre aux besoins réels, mais aussi parce que des relations et des consultations étroites et constantes avec elles peuvent contribuer à anticiper les changements futurs et à forger les meilleures réponses. Le suivi devrait garantir une transparence totale dans l’utilisation des ressources publiques.</w:t>
      </w:r>
    </w:p>
    <w:p w14:paraId="7434D30D" w14:textId="77777777" w:rsidR="0090606C" w:rsidRPr="0036350D" w:rsidRDefault="0090606C">
      <w:pPr>
        <w:ind w:left="567" w:hanging="567"/>
        <w:rPr>
          <w:lang w:val="en-GB"/>
        </w:rPr>
      </w:pPr>
    </w:p>
    <w:p w14:paraId="299193A2" w14:textId="77777777" w:rsidR="0090606C" w:rsidRPr="0036350D" w:rsidRDefault="00601604">
      <w:pPr>
        <w:pStyle w:val="Heading2"/>
      </w:pPr>
      <w:r>
        <w:t>Dans la mesure où il représente dans toute sa diversité la société civile organisée de l’ensemble de l’Union et qu’il entend jouer le rôle d’un partenaire volontariste apportant son soutien au développement du FEC, le CESE devrait être dûment associé au conseil stratégique des parties prenantes, et les partenaires sociaux et les organisations de la société civile devraient y être représentés en conséquence conformément au principe de partenariat ainsi qu’aux bonnes pratiques.</w:t>
      </w:r>
    </w:p>
    <w:p w14:paraId="50D975B5" w14:textId="77777777" w:rsidR="0090606C" w:rsidRPr="0036350D" w:rsidRDefault="0090606C">
      <w:pPr>
        <w:ind w:left="567" w:hanging="567"/>
        <w:rPr>
          <w:lang w:val="en-GB"/>
        </w:rPr>
      </w:pPr>
    </w:p>
    <w:p w14:paraId="41858203" w14:textId="77777777" w:rsidR="0090606C" w:rsidRPr="0036350D" w:rsidRDefault="00601604">
      <w:pPr>
        <w:pStyle w:val="Heading2"/>
      </w:pPr>
      <w:r>
        <w:t>Pour améliorer la clarté de la prise de décision, il y a lieu de définir explicitement les rôles et mécanismes de coopération entre la Commission et les États membres, tant dans l’élaboration que dans la mise en œuvre du FEC. Cela revêt une importance cardinale pour toutes les parties, y compris les bénéficiaires potentiels. Si le recours aux actes délégués ou aux actes d’exécution offre un moyen utile d’accélérer la prise de décision, celui-ci doit se limiter strictement à la définition de détails pratiques ou à d’autres aspects non politiques.</w:t>
      </w:r>
    </w:p>
    <w:p w14:paraId="39D97E17" w14:textId="77777777" w:rsidR="0090606C" w:rsidRPr="0036350D" w:rsidRDefault="0090606C">
      <w:pPr>
        <w:ind w:left="567" w:hanging="567"/>
        <w:rPr>
          <w:lang w:val="en-GB"/>
        </w:rPr>
      </w:pPr>
    </w:p>
    <w:p w14:paraId="67C6F964" w14:textId="77777777" w:rsidR="0090606C" w:rsidRPr="0036350D" w:rsidRDefault="00601604">
      <w:pPr>
        <w:pStyle w:val="Heading2"/>
      </w:pPr>
      <w:r>
        <w:t>Le rôle et l’utilisation de l’outil de coordination de la compétitivité dans le contexte du FEC appellent davantage de clarté. Les partenaires sociaux devraient aussi être associés au processus de coordination, y compris lorsque des décisions de partenariat public-privé sont adoptées. Il convient par ailleurs de définir clairement les rôles et mécanismes de sélection des différents comités et conseils consultatifs.</w:t>
      </w:r>
    </w:p>
    <w:p w14:paraId="575A64A4" w14:textId="77777777" w:rsidR="0090606C" w:rsidRPr="0036350D" w:rsidRDefault="0090606C">
      <w:pPr>
        <w:ind w:left="567" w:hanging="567"/>
        <w:rPr>
          <w:lang w:val="en-GB"/>
        </w:rPr>
      </w:pPr>
    </w:p>
    <w:p w14:paraId="41D3D653" w14:textId="77777777" w:rsidR="0090606C" w:rsidRPr="0036350D" w:rsidRDefault="00601604">
      <w:pPr>
        <w:pStyle w:val="Heading2"/>
      </w:pPr>
      <w:r>
        <w:t>Pour tirer le meilleur parti de la nouvelle approche que constitue l’architecture agile et tournée vers l’avenir du FEC, un nouvel état d’esprit doit s’imposer au sein de l’administration. Il s’agit là d’un facteur essentiel pour la réussite de la mise en œuvre du FEC, ainsi que pour une participation appropriée des parties prenantes.</w:t>
      </w:r>
    </w:p>
    <w:p w14:paraId="76D1F375" w14:textId="77777777" w:rsidR="0090606C" w:rsidRPr="0036350D" w:rsidRDefault="0090606C">
      <w:pPr>
        <w:rPr>
          <w:lang w:val="en-GB"/>
        </w:rPr>
      </w:pPr>
    </w:p>
    <w:p w14:paraId="6F75D061" w14:textId="77777777" w:rsidR="0090606C" w:rsidRPr="0036350D" w:rsidRDefault="00601604">
      <w:pPr>
        <w:pStyle w:val="Heading1"/>
        <w:keepNext/>
        <w:rPr>
          <w:b/>
          <w:bCs/>
        </w:rPr>
      </w:pPr>
      <w:r>
        <w:rPr>
          <w:b/>
        </w:rPr>
        <w:t>AMENDEMENTS PROPOSÉS À LA PROPOSITION LÉGISLATIVE DE LA COMMISSION</w:t>
      </w:r>
    </w:p>
    <w:p w14:paraId="15C80344" w14:textId="77777777" w:rsidR="0090606C" w:rsidRPr="0036350D" w:rsidRDefault="0090606C">
      <w:pPr>
        <w:keepNext/>
        <w:keepLines/>
        <w:rPr>
          <w:lang w:val="en-GB"/>
        </w:rPr>
      </w:pPr>
    </w:p>
    <w:p w14:paraId="3531FC14" w14:textId="77777777" w:rsidR="0090606C" w:rsidRPr="0036350D" w:rsidRDefault="00601604">
      <w:pPr>
        <w:pStyle w:val="Heading2"/>
        <w:keepNext/>
        <w:numPr>
          <w:ilvl w:val="0"/>
          <w:numId w:val="0"/>
        </w:numPr>
      </w:pPr>
      <w:r>
        <w:rPr>
          <w:b/>
        </w:rPr>
        <w:t>Amendement 1</w:t>
      </w:r>
    </w:p>
    <w:p w14:paraId="59A063D4" w14:textId="77777777" w:rsidR="0090606C" w:rsidRPr="0036350D" w:rsidRDefault="00601604">
      <w:pPr>
        <w:pStyle w:val="Heading2"/>
        <w:keepNext/>
        <w:numPr>
          <w:ilvl w:val="0"/>
          <w:numId w:val="0"/>
        </w:numPr>
        <w:rPr>
          <w:b/>
          <w:bCs/>
        </w:rPr>
      </w:pPr>
      <w:proofErr w:type="gramStart"/>
      <w:r>
        <w:t>lié</w:t>
      </w:r>
      <w:proofErr w:type="gramEnd"/>
      <w:r>
        <w:t xml:space="preserve"> à la recommandation 1.1</w:t>
      </w:r>
    </w:p>
    <w:p w14:paraId="7922B0AD" w14:textId="77777777" w:rsidR="0090606C" w:rsidRPr="0036350D" w:rsidRDefault="00601604">
      <w:pPr>
        <w:keepNext/>
        <w:keepLines/>
        <w:jc w:val="left"/>
      </w:pPr>
      <w:r>
        <w:t xml:space="preserve">À tous les endroits pertinents de la proposition, à commencer par le </w:t>
      </w:r>
      <w:proofErr w:type="gramStart"/>
      <w:r>
        <w:t>titre:</w:t>
      </w:r>
      <w:proofErr w:type="gramEnd"/>
    </w:p>
    <w:p w14:paraId="42E0D5EF" w14:textId="77777777" w:rsidR="0090606C" w:rsidRPr="0036350D" w:rsidRDefault="0090606C" w:rsidP="00FA5329">
      <w:pPr>
        <w:keepNext/>
        <w:keepLines/>
        <w:spacing w:line="240" w:lineRule="auto"/>
        <w:jc w:val="left"/>
        <w:rPr>
          <w:lang w:val="en-GB"/>
        </w:rPr>
      </w:pPr>
    </w:p>
    <w:tbl>
      <w:tblPr>
        <w:tblW w:w="5000" w:type="pct"/>
        <w:jc w:val="center"/>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239"/>
        <w:gridCol w:w="4948"/>
      </w:tblGrid>
      <w:tr w:rsidR="0090606C" w:rsidRPr="0036350D" w14:paraId="65A8F197" w14:textId="77777777" w:rsidTr="00FA5329">
        <w:trPr>
          <w:trHeight w:val="300"/>
          <w:jc w:val="center"/>
        </w:trPr>
        <w:tc>
          <w:tcPr>
            <w:tcW w:w="4250" w:type="dxa"/>
            <w:tcBorders>
              <w:top w:val="single" w:sz="2" w:space="0" w:color="auto"/>
              <w:left w:val="single" w:sz="2" w:space="0" w:color="auto"/>
              <w:bottom w:val="single" w:sz="2" w:space="0" w:color="auto"/>
              <w:right w:val="single" w:sz="2" w:space="0" w:color="auto"/>
            </w:tcBorders>
            <w:hideMark/>
          </w:tcPr>
          <w:p w14:paraId="467BF9AE" w14:textId="77777777" w:rsidR="0090606C" w:rsidRPr="0036350D" w:rsidRDefault="00601604">
            <w:pPr>
              <w:jc w:val="center"/>
              <w:rPr>
                <w:strike/>
              </w:rPr>
            </w:pPr>
            <w:r>
              <w:rPr>
                <w:b/>
              </w:rPr>
              <w:t>Texte proposé par la Commission</w:t>
            </w:r>
          </w:p>
        </w:tc>
        <w:tc>
          <w:tcPr>
            <w:tcW w:w="4961" w:type="dxa"/>
            <w:tcBorders>
              <w:top w:val="single" w:sz="2" w:space="0" w:color="auto"/>
              <w:left w:val="single" w:sz="2" w:space="0" w:color="auto"/>
              <w:bottom w:val="single" w:sz="2" w:space="0" w:color="auto"/>
              <w:right w:val="single" w:sz="2" w:space="0" w:color="auto"/>
            </w:tcBorders>
            <w:hideMark/>
          </w:tcPr>
          <w:p w14:paraId="1D266978" w14:textId="77777777" w:rsidR="0090606C" w:rsidRPr="0036350D" w:rsidRDefault="00601604">
            <w:pPr>
              <w:jc w:val="center"/>
            </w:pPr>
            <w:r>
              <w:rPr>
                <w:b/>
              </w:rPr>
              <w:t>Amendement du CESE</w:t>
            </w:r>
          </w:p>
        </w:tc>
      </w:tr>
      <w:tr w:rsidR="0090606C" w:rsidRPr="0036350D" w14:paraId="6E70DFD7" w14:textId="77777777" w:rsidTr="00FA5329">
        <w:trPr>
          <w:trHeight w:val="300"/>
          <w:jc w:val="center"/>
        </w:trPr>
        <w:tc>
          <w:tcPr>
            <w:tcW w:w="4250" w:type="dxa"/>
            <w:tcBorders>
              <w:top w:val="single" w:sz="2" w:space="0" w:color="auto"/>
              <w:left w:val="single" w:sz="6" w:space="0" w:color="auto"/>
              <w:bottom w:val="single" w:sz="6" w:space="0" w:color="auto"/>
              <w:right w:val="single" w:sz="6" w:space="0" w:color="auto"/>
            </w:tcBorders>
            <w:hideMark/>
          </w:tcPr>
          <w:p w14:paraId="1D491542" w14:textId="77777777" w:rsidR="0090606C" w:rsidRPr="0036350D" w:rsidRDefault="00601604">
            <w:pPr>
              <w:ind w:left="30" w:right="30"/>
            </w:pPr>
            <w:r>
              <w:t>Fonds européen pour la compétitivité</w:t>
            </w:r>
          </w:p>
        </w:tc>
        <w:tc>
          <w:tcPr>
            <w:tcW w:w="4961" w:type="dxa"/>
            <w:tcBorders>
              <w:top w:val="single" w:sz="2" w:space="0" w:color="auto"/>
              <w:left w:val="single" w:sz="6" w:space="0" w:color="auto"/>
              <w:bottom w:val="single" w:sz="6" w:space="0" w:color="auto"/>
              <w:right w:val="single" w:sz="6" w:space="0" w:color="auto"/>
            </w:tcBorders>
            <w:hideMark/>
          </w:tcPr>
          <w:p w14:paraId="17C151EE" w14:textId="77777777" w:rsidR="0090606C" w:rsidRPr="0036350D" w:rsidRDefault="00601604">
            <w:pPr>
              <w:ind w:left="30" w:right="30"/>
            </w:pPr>
            <w:r>
              <w:t xml:space="preserve">Fonds européen pour la compétitivité </w:t>
            </w:r>
            <w:r>
              <w:rPr>
                <w:b/>
                <w:i/>
              </w:rPr>
              <w:t>et la sécurité</w:t>
            </w:r>
          </w:p>
        </w:tc>
      </w:tr>
    </w:tbl>
    <w:p w14:paraId="7B4826C6" w14:textId="77777777" w:rsidR="0090606C" w:rsidRPr="0036350D" w:rsidRDefault="0090606C">
      <w:pPr>
        <w:jc w:val="center"/>
        <w:rPr>
          <w:lang w:val="en-GB"/>
        </w:rP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6350D" w14:paraId="38EAFACE"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1A047AE2" w14:textId="77777777" w:rsidR="0090606C" w:rsidRPr="0036350D" w:rsidRDefault="00601604">
            <w:pPr>
              <w:keepNext/>
              <w:keepLines/>
              <w:jc w:val="center"/>
            </w:pPr>
            <w:r>
              <w:rPr>
                <w:b/>
              </w:rPr>
              <w:t>Exposé des motifs</w:t>
            </w:r>
          </w:p>
        </w:tc>
      </w:tr>
      <w:tr w:rsidR="0090606C" w:rsidRPr="0036350D" w14:paraId="28F5BA2F"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29A48E59" w14:textId="77777777" w:rsidR="0090606C" w:rsidRPr="0036350D" w:rsidRDefault="00601604">
            <w:pPr>
              <w:keepNext/>
              <w:keepLines/>
              <w:ind w:left="30" w:right="30"/>
            </w:pPr>
            <w:r>
              <w:t>Voir la recommandation 1.1 et le paragraphe 2.5.</w:t>
            </w:r>
          </w:p>
        </w:tc>
      </w:tr>
    </w:tbl>
    <w:p w14:paraId="75F46C58" w14:textId="77777777" w:rsidR="0090606C" w:rsidRPr="00FA5329" w:rsidRDefault="0090606C" w:rsidP="00FA5329">
      <w:pPr>
        <w:pStyle w:val="Heading2"/>
        <w:numPr>
          <w:ilvl w:val="0"/>
          <w:numId w:val="0"/>
        </w:numPr>
        <w:rPr>
          <w:lang w:val="en-GB"/>
        </w:rPr>
      </w:pPr>
    </w:p>
    <w:p w14:paraId="3CED72EA" w14:textId="77777777" w:rsidR="0090606C" w:rsidRPr="0036350D" w:rsidRDefault="00601604">
      <w:pPr>
        <w:pStyle w:val="Heading2"/>
        <w:keepNext/>
        <w:numPr>
          <w:ilvl w:val="0"/>
          <w:numId w:val="0"/>
        </w:numPr>
      </w:pPr>
      <w:r>
        <w:rPr>
          <w:b/>
        </w:rPr>
        <w:t>Amendement 2</w:t>
      </w:r>
      <w:r>
        <w:t xml:space="preserve"> </w:t>
      </w:r>
    </w:p>
    <w:p w14:paraId="7F9DD544" w14:textId="77777777" w:rsidR="0090606C" w:rsidRPr="0036350D" w:rsidRDefault="00601604">
      <w:pPr>
        <w:keepNext/>
        <w:keepLines/>
        <w:jc w:val="left"/>
      </w:pPr>
      <w:proofErr w:type="gramStart"/>
      <w:r>
        <w:t>lié</w:t>
      </w:r>
      <w:proofErr w:type="gramEnd"/>
      <w:r>
        <w:t xml:space="preserve"> à la recommandation 1.2.</w:t>
      </w:r>
    </w:p>
    <w:p w14:paraId="7C5E5A17" w14:textId="36519DA3" w:rsidR="0090606C" w:rsidRPr="0036350D" w:rsidRDefault="00601604">
      <w:pPr>
        <w:keepNext/>
        <w:keepLines/>
        <w:jc w:val="left"/>
      </w:pPr>
      <w:r>
        <w:t>Ajouter un paragraphe supplémentaire à l’actuel article 4, paragraphe </w:t>
      </w:r>
      <w:proofErr w:type="gramStart"/>
      <w:r>
        <w:t>2:</w:t>
      </w:r>
      <w:proofErr w:type="gramEnd"/>
    </w:p>
    <w:p w14:paraId="4AB31173" w14:textId="77777777" w:rsidR="0090606C" w:rsidRPr="0036350D" w:rsidRDefault="0090606C" w:rsidP="00FA5329">
      <w:pPr>
        <w:keepNext/>
        <w:keepLines/>
        <w:spacing w:line="240" w:lineRule="auto"/>
        <w:jc w:val="left"/>
        <w:rPr>
          <w:lang w:val="en-GB"/>
        </w:rPr>
      </w:pPr>
    </w:p>
    <w:tbl>
      <w:tblPr>
        <w:tblW w:w="5000" w:type="pct"/>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94"/>
        <w:gridCol w:w="4593"/>
      </w:tblGrid>
      <w:tr w:rsidR="0090606C" w:rsidRPr="0036350D" w14:paraId="4D15C6B0"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52B15499" w14:textId="77777777" w:rsidR="0090606C" w:rsidRPr="0036350D" w:rsidRDefault="00601604">
            <w:pPr>
              <w:jc w:val="center"/>
              <w:rPr>
                <w:strike/>
              </w:rPr>
            </w:pPr>
            <w:r>
              <w:rPr>
                <w:b/>
              </w:rPr>
              <w:t>Texte proposé par la Commission</w:t>
            </w:r>
          </w:p>
        </w:tc>
        <w:tc>
          <w:tcPr>
            <w:tcW w:w="4528" w:type="dxa"/>
            <w:tcBorders>
              <w:top w:val="single" w:sz="2" w:space="0" w:color="auto"/>
              <w:left w:val="single" w:sz="2" w:space="0" w:color="auto"/>
              <w:bottom w:val="single" w:sz="2" w:space="0" w:color="auto"/>
              <w:right w:val="single" w:sz="2" w:space="0" w:color="auto"/>
            </w:tcBorders>
            <w:hideMark/>
          </w:tcPr>
          <w:p w14:paraId="78075A07" w14:textId="77777777" w:rsidR="0090606C" w:rsidRPr="0036350D" w:rsidRDefault="00601604">
            <w:pPr>
              <w:jc w:val="center"/>
            </w:pPr>
            <w:r>
              <w:rPr>
                <w:b/>
              </w:rPr>
              <w:t>Amendement du CESE</w:t>
            </w:r>
          </w:p>
        </w:tc>
      </w:tr>
      <w:tr w:rsidR="0090606C" w:rsidRPr="0036350D" w14:paraId="4BEBCCB7"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5774296D" w14:textId="77777777" w:rsidR="0090606C" w:rsidRPr="0036350D" w:rsidRDefault="0090606C">
            <w:pPr>
              <w:ind w:left="30" w:right="30"/>
              <w:rPr>
                <w:lang w:val="en-GB"/>
              </w:rPr>
            </w:pPr>
          </w:p>
        </w:tc>
        <w:tc>
          <w:tcPr>
            <w:tcW w:w="4528" w:type="dxa"/>
            <w:tcBorders>
              <w:top w:val="single" w:sz="2" w:space="0" w:color="auto"/>
              <w:left w:val="single" w:sz="6" w:space="0" w:color="auto"/>
              <w:bottom w:val="single" w:sz="6" w:space="0" w:color="auto"/>
              <w:right w:val="single" w:sz="6" w:space="0" w:color="auto"/>
            </w:tcBorders>
            <w:hideMark/>
          </w:tcPr>
          <w:p w14:paraId="1E660C1F" w14:textId="07BB8F20" w:rsidR="0090606C" w:rsidRPr="0036350D" w:rsidRDefault="00601604">
            <w:pPr>
              <w:pStyle w:val="Heading1"/>
              <w:numPr>
                <w:ilvl w:val="0"/>
                <w:numId w:val="0"/>
              </w:numPr>
              <w:rPr>
                <w:b/>
                <w:bCs/>
                <w:i/>
                <w:iCs/>
              </w:rPr>
            </w:pPr>
            <w:r>
              <w:rPr>
                <w:b/>
                <w:i/>
              </w:rPr>
              <w:t xml:space="preserve">3. La répartition indicative des ressources du Fonds est mise en œuvre d’une manière qui </w:t>
            </w:r>
            <w:r>
              <w:rPr>
                <w:b/>
                <w:i/>
              </w:rPr>
              <w:lastRenderedPageBreak/>
              <w:t>tienne compte des exigences des initiatives transversales et des autres connexions entre les volets, ainsi que de l’évolution rapide des situations.</w:t>
            </w:r>
          </w:p>
        </w:tc>
      </w:tr>
    </w:tbl>
    <w:p w14:paraId="30195EF3" w14:textId="77777777" w:rsidR="0090606C" w:rsidRPr="0036350D" w:rsidRDefault="0090606C">
      <w:pPr>
        <w:jc w:val="center"/>
        <w:rPr>
          <w:lang w:val="en-GB"/>
        </w:rP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6350D" w14:paraId="6A26AC2D"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585C5B48" w14:textId="77777777" w:rsidR="0090606C" w:rsidRPr="0036350D" w:rsidRDefault="00601604">
            <w:pPr>
              <w:keepNext/>
              <w:keepLines/>
              <w:jc w:val="center"/>
            </w:pPr>
            <w:r>
              <w:rPr>
                <w:b/>
              </w:rPr>
              <w:t>Exposé des motifs</w:t>
            </w:r>
          </w:p>
        </w:tc>
      </w:tr>
      <w:tr w:rsidR="0090606C" w:rsidRPr="0036350D" w14:paraId="1496B60B"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68A81E13" w14:textId="77777777" w:rsidR="0090606C" w:rsidRPr="0036350D" w:rsidRDefault="00601604">
            <w:pPr>
              <w:keepNext/>
              <w:keepLines/>
              <w:ind w:left="30" w:right="30"/>
            </w:pPr>
            <w:r>
              <w:t>Voir le paragraphe 2.8 du présent avis.</w:t>
            </w:r>
          </w:p>
        </w:tc>
      </w:tr>
    </w:tbl>
    <w:p w14:paraId="74D27020" w14:textId="77777777" w:rsidR="0090606C" w:rsidRPr="0036350D" w:rsidRDefault="0090606C">
      <w:pPr>
        <w:jc w:val="left"/>
        <w:rPr>
          <w:lang w:val="en-GB"/>
        </w:rPr>
      </w:pPr>
    </w:p>
    <w:p w14:paraId="48247B4D" w14:textId="77777777" w:rsidR="0090606C" w:rsidRPr="0036350D" w:rsidRDefault="00601604">
      <w:pPr>
        <w:pStyle w:val="Heading2"/>
        <w:keepNext/>
        <w:numPr>
          <w:ilvl w:val="0"/>
          <w:numId w:val="0"/>
        </w:numPr>
        <w:rPr>
          <w:b/>
          <w:bCs/>
        </w:rPr>
      </w:pPr>
      <w:r>
        <w:rPr>
          <w:b/>
        </w:rPr>
        <w:t>Amendement 3</w:t>
      </w:r>
    </w:p>
    <w:p w14:paraId="3A9B2698" w14:textId="77777777" w:rsidR="0090606C" w:rsidRPr="0036350D" w:rsidRDefault="00601604">
      <w:pPr>
        <w:keepNext/>
        <w:keepLines/>
        <w:jc w:val="left"/>
      </w:pPr>
      <w:proofErr w:type="gramStart"/>
      <w:r>
        <w:t>lié</w:t>
      </w:r>
      <w:proofErr w:type="gramEnd"/>
      <w:r>
        <w:t xml:space="preserve"> à la recommandation 1.3</w:t>
      </w:r>
    </w:p>
    <w:p w14:paraId="6D246517" w14:textId="08498FF9" w:rsidR="0090606C" w:rsidRPr="0036350D" w:rsidRDefault="00601604">
      <w:pPr>
        <w:keepNext/>
        <w:keepLines/>
        <w:jc w:val="left"/>
      </w:pPr>
      <w:r>
        <w:t>Ajouter un article après l’actuel article </w:t>
      </w:r>
      <w:proofErr w:type="gramStart"/>
      <w:r>
        <w:t>7:</w:t>
      </w:r>
      <w:proofErr w:type="gramEnd"/>
    </w:p>
    <w:p w14:paraId="1EF155B4" w14:textId="77777777" w:rsidR="0090606C" w:rsidRPr="0036350D" w:rsidRDefault="0090606C" w:rsidP="00FA5329">
      <w:pPr>
        <w:keepNext/>
        <w:keepLines/>
        <w:spacing w:line="240" w:lineRule="auto"/>
        <w:jc w:val="left"/>
        <w:rPr>
          <w:lang w:val="en-GB"/>
        </w:rPr>
      </w:pPr>
    </w:p>
    <w:tbl>
      <w:tblPr>
        <w:tblW w:w="5000" w:type="pct"/>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94"/>
        <w:gridCol w:w="4593"/>
      </w:tblGrid>
      <w:tr w:rsidR="0090606C" w:rsidRPr="0036350D" w14:paraId="756153CB"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28471553" w14:textId="77777777" w:rsidR="0090606C" w:rsidRPr="0036350D" w:rsidRDefault="00601604">
            <w:pPr>
              <w:jc w:val="center"/>
              <w:rPr>
                <w:strike/>
              </w:rPr>
            </w:pPr>
            <w:r>
              <w:rPr>
                <w:b/>
              </w:rPr>
              <w:t>Texte proposé par la Commission</w:t>
            </w:r>
          </w:p>
        </w:tc>
        <w:tc>
          <w:tcPr>
            <w:tcW w:w="4528" w:type="dxa"/>
            <w:tcBorders>
              <w:top w:val="single" w:sz="2" w:space="0" w:color="auto"/>
              <w:left w:val="single" w:sz="2" w:space="0" w:color="auto"/>
              <w:bottom w:val="single" w:sz="2" w:space="0" w:color="auto"/>
              <w:right w:val="single" w:sz="2" w:space="0" w:color="auto"/>
            </w:tcBorders>
            <w:hideMark/>
          </w:tcPr>
          <w:p w14:paraId="4A09CF45" w14:textId="77777777" w:rsidR="0090606C" w:rsidRPr="0036350D" w:rsidRDefault="00601604">
            <w:pPr>
              <w:jc w:val="center"/>
            </w:pPr>
            <w:r>
              <w:rPr>
                <w:b/>
              </w:rPr>
              <w:t>Amendement du CESE</w:t>
            </w:r>
          </w:p>
        </w:tc>
      </w:tr>
      <w:tr w:rsidR="0090606C" w:rsidRPr="0036350D" w14:paraId="12FDF21B"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31D888C2" w14:textId="77777777" w:rsidR="0090606C" w:rsidRPr="0036350D" w:rsidRDefault="0090606C">
            <w:pPr>
              <w:ind w:left="30" w:right="30"/>
              <w:rPr>
                <w:lang w:val="en-GB"/>
              </w:rPr>
            </w:pPr>
          </w:p>
        </w:tc>
        <w:tc>
          <w:tcPr>
            <w:tcW w:w="4528" w:type="dxa"/>
            <w:tcBorders>
              <w:top w:val="single" w:sz="2" w:space="0" w:color="auto"/>
              <w:left w:val="single" w:sz="6" w:space="0" w:color="auto"/>
              <w:bottom w:val="single" w:sz="6" w:space="0" w:color="auto"/>
              <w:right w:val="single" w:sz="6" w:space="0" w:color="auto"/>
            </w:tcBorders>
            <w:hideMark/>
          </w:tcPr>
          <w:p w14:paraId="5B03579C" w14:textId="77777777" w:rsidR="0090606C" w:rsidRPr="0036350D" w:rsidRDefault="00601604">
            <w:pPr>
              <w:keepNext/>
              <w:keepLines/>
              <w:jc w:val="left"/>
              <w:rPr>
                <w:b/>
                <w:bCs/>
                <w:i/>
                <w:iCs/>
              </w:rPr>
            </w:pPr>
            <w:r>
              <w:rPr>
                <w:b/>
                <w:i/>
              </w:rPr>
              <w:t xml:space="preserve">Article 8 </w:t>
            </w:r>
          </w:p>
          <w:p w14:paraId="2A44F369" w14:textId="77777777" w:rsidR="0090606C" w:rsidRPr="0036350D" w:rsidRDefault="00601604">
            <w:pPr>
              <w:keepNext/>
              <w:keepLines/>
              <w:jc w:val="left"/>
              <w:rPr>
                <w:b/>
                <w:bCs/>
                <w:i/>
                <w:iCs/>
              </w:rPr>
            </w:pPr>
            <w:r>
              <w:rPr>
                <w:b/>
                <w:i/>
              </w:rPr>
              <w:t>Critères d’attribution généraux</w:t>
            </w:r>
          </w:p>
          <w:p w14:paraId="323AC0A9" w14:textId="77777777" w:rsidR="0090606C" w:rsidRPr="0036350D" w:rsidRDefault="00601604">
            <w:pPr>
              <w:ind w:left="30" w:right="30"/>
              <w:rPr>
                <w:b/>
                <w:bCs/>
                <w:i/>
                <w:iCs/>
              </w:rPr>
            </w:pPr>
            <w:r>
              <w:rPr>
                <w:b/>
                <w:i/>
              </w:rPr>
              <w:t xml:space="preserve">Pour soutenir les objectifs généraux du Fonds (article 3, paragraphe 1), les critères suivants, liés à la compétitivité globale de l’Union, sont considérés comme les principaux critères d’attribution pour chacun des </w:t>
            </w:r>
            <w:proofErr w:type="gramStart"/>
            <w:r>
              <w:rPr>
                <w:b/>
                <w:i/>
              </w:rPr>
              <w:t>volets:</w:t>
            </w:r>
            <w:proofErr w:type="gramEnd"/>
            <w:r>
              <w:rPr>
                <w:b/>
                <w:i/>
              </w:rPr>
              <w:t xml:space="preserve"> 1) excellence; 2) orientation future; 3) potentiel économique. Les critères généraux sont accompagnés de critères propres à chaque volet, suivant les objectifs spécifiques qui leur sont assignés (article 3, paragraphe 2).</w:t>
            </w:r>
          </w:p>
        </w:tc>
      </w:tr>
    </w:tbl>
    <w:p w14:paraId="333DC010" w14:textId="77777777" w:rsidR="0090606C" w:rsidRPr="0036350D" w:rsidRDefault="0090606C" w:rsidP="00FA5329">
      <w:pPr>
        <w:spacing w:line="240" w:lineRule="auto"/>
        <w:jc w:val="center"/>
        <w:rPr>
          <w:lang w:val="en-GB"/>
        </w:rP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6350D" w14:paraId="454E1AF4"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62FDFFE0" w14:textId="77777777" w:rsidR="0090606C" w:rsidRPr="0036350D" w:rsidRDefault="00601604">
            <w:pPr>
              <w:keepNext/>
              <w:keepLines/>
              <w:jc w:val="center"/>
              <w:divId w:val="1334838238"/>
            </w:pPr>
            <w:r>
              <w:rPr>
                <w:b/>
              </w:rPr>
              <w:t>Exposé des motifs</w:t>
            </w:r>
          </w:p>
        </w:tc>
      </w:tr>
      <w:tr w:rsidR="0090606C" w:rsidRPr="0036350D" w14:paraId="4967A278"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606CCFAA" w14:textId="77777777" w:rsidR="0090606C" w:rsidRPr="0036350D" w:rsidRDefault="00601604">
            <w:pPr>
              <w:keepNext/>
              <w:keepLines/>
              <w:ind w:left="30" w:right="30"/>
            </w:pPr>
            <w:r>
              <w:t>Voir les paragraphes 2.1 et 2.9.</w:t>
            </w:r>
          </w:p>
        </w:tc>
      </w:tr>
    </w:tbl>
    <w:p w14:paraId="27D0BD25" w14:textId="77777777" w:rsidR="0090606C" w:rsidRPr="0036350D" w:rsidRDefault="0090606C">
      <w:pPr>
        <w:jc w:val="left"/>
        <w:rPr>
          <w:lang w:val="en-GB"/>
        </w:rPr>
      </w:pPr>
    </w:p>
    <w:p w14:paraId="0DF50F55" w14:textId="77777777" w:rsidR="0090606C" w:rsidRPr="0036350D" w:rsidRDefault="00601604">
      <w:pPr>
        <w:pStyle w:val="Heading2"/>
        <w:keepNext/>
        <w:numPr>
          <w:ilvl w:val="0"/>
          <w:numId w:val="0"/>
        </w:numPr>
        <w:rPr>
          <w:b/>
          <w:bCs/>
        </w:rPr>
      </w:pPr>
      <w:r>
        <w:rPr>
          <w:b/>
        </w:rPr>
        <w:t>Amendement 4</w:t>
      </w:r>
    </w:p>
    <w:p w14:paraId="4047D935" w14:textId="77777777" w:rsidR="0090606C" w:rsidRPr="0036350D" w:rsidRDefault="00601604">
      <w:pPr>
        <w:keepNext/>
        <w:keepLines/>
        <w:jc w:val="left"/>
      </w:pPr>
      <w:proofErr w:type="gramStart"/>
      <w:r>
        <w:t>lié</w:t>
      </w:r>
      <w:proofErr w:type="gramEnd"/>
      <w:r>
        <w:t xml:space="preserve"> à la recommandation 1.4</w:t>
      </w:r>
    </w:p>
    <w:p w14:paraId="0D59F005" w14:textId="0924E7F3" w:rsidR="0090606C" w:rsidRPr="0036350D" w:rsidRDefault="00601604">
      <w:pPr>
        <w:keepNext/>
        <w:keepLines/>
        <w:jc w:val="left"/>
      </w:pPr>
      <w:r>
        <w:t>Ajouter un article supplémentaire après l’actuel article 8 (qui deviendra l’article 9 en raison de l’amendement 3</w:t>
      </w:r>
      <w:proofErr w:type="gramStart"/>
      <w:r>
        <w:t>):</w:t>
      </w:r>
      <w:proofErr w:type="gramEnd"/>
    </w:p>
    <w:p w14:paraId="4E59B5E0" w14:textId="77777777" w:rsidR="0090606C" w:rsidRPr="0036350D" w:rsidRDefault="0090606C" w:rsidP="00FA5329">
      <w:pPr>
        <w:keepNext/>
        <w:keepLines/>
        <w:spacing w:line="240" w:lineRule="auto"/>
        <w:jc w:val="left"/>
        <w:rPr>
          <w:lang w:val="en-GB"/>
        </w:rP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29"/>
        <w:gridCol w:w="4528"/>
      </w:tblGrid>
      <w:tr w:rsidR="0090606C" w:rsidRPr="0036350D" w14:paraId="323EB65A"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62A325D8" w14:textId="77777777" w:rsidR="0090606C" w:rsidRPr="0036350D" w:rsidRDefault="00601604" w:rsidP="00FA5329">
            <w:pPr>
              <w:outlineLvl w:val="1"/>
              <w:rPr>
                <w:strike/>
              </w:rPr>
            </w:pPr>
            <w:r>
              <w:rPr>
                <w:b/>
              </w:rPr>
              <w:t>Texte proposé par la Commission</w:t>
            </w:r>
          </w:p>
        </w:tc>
        <w:tc>
          <w:tcPr>
            <w:tcW w:w="4528" w:type="dxa"/>
            <w:tcBorders>
              <w:top w:val="single" w:sz="2" w:space="0" w:color="auto"/>
              <w:left w:val="single" w:sz="2" w:space="0" w:color="auto"/>
              <w:bottom w:val="single" w:sz="2" w:space="0" w:color="auto"/>
              <w:right w:val="single" w:sz="2" w:space="0" w:color="auto"/>
            </w:tcBorders>
            <w:hideMark/>
          </w:tcPr>
          <w:p w14:paraId="27EFB6A6" w14:textId="77777777" w:rsidR="0090606C" w:rsidRPr="0036350D" w:rsidRDefault="00601604">
            <w:pPr>
              <w:jc w:val="center"/>
            </w:pPr>
            <w:r>
              <w:rPr>
                <w:b/>
              </w:rPr>
              <w:t>Amendement du CESE</w:t>
            </w:r>
          </w:p>
        </w:tc>
      </w:tr>
      <w:tr w:rsidR="0090606C" w:rsidRPr="0036350D" w14:paraId="153EAE34"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2AE66F71" w14:textId="77777777" w:rsidR="0090606C" w:rsidRPr="0036350D" w:rsidRDefault="0090606C" w:rsidP="00FA5329">
            <w:pPr>
              <w:ind w:left="57" w:right="57"/>
              <w:rPr>
                <w:lang w:val="en-GB"/>
              </w:rPr>
            </w:pPr>
          </w:p>
        </w:tc>
        <w:tc>
          <w:tcPr>
            <w:tcW w:w="4528" w:type="dxa"/>
            <w:tcBorders>
              <w:top w:val="single" w:sz="2" w:space="0" w:color="auto"/>
              <w:left w:val="single" w:sz="6" w:space="0" w:color="auto"/>
              <w:bottom w:val="single" w:sz="6" w:space="0" w:color="auto"/>
              <w:right w:val="single" w:sz="6" w:space="0" w:color="auto"/>
            </w:tcBorders>
            <w:hideMark/>
          </w:tcPr>
          <w:p w14:paraId="654E063C" w14:textId="77777777" w:rsidR="0090606C" w:rsidRPr="0036350D" w:rsidRDefault="00601604" w:rsidP="00FA5329">
            <w:pPr>
              <w:ind w:left="57" w:right="57"/>
              <w:rPr>
                <w:b/>
                <w:bCs/>
                <w:i/>
                <w:iCs/>
              </w:rPr>
            </w:pPr>
            <w:r>
              <w:rPr>
                <w:b/>
                <w:i/>
              </w:rPr>
              <w:t>Article 10</w:t>
            </w:r>
          </w:p>
          <w:p w14:paraId="7D5210DF" w14:textId="77777777" w:rsidR="0090606C" w:rsidRPr="0036350D" w:rsidRDefault="00601604" w:rsidP="00FA5329">
            <w:pPr>
              <w:ind w:left="57" w:right="57"/>
              <w:jc w:val="left"/>
              <w:rPr>
                <w:b/>
                <w:bCs/>
                <w:i/>
                <w:iCs/>
              </w:rPr>
            </w:pPr>
            <w:r>
              <w:rPr>
                <w:b/>
                <w:i/>
              </w:rPr>
              <w:t>Conditions de concurrence équitables</w:t>
            </w:r>
          </w:p>
          <w:p w14:paraId="505E3C7D" w14:textId="77777777" w:rsidR="0090606C" w:rsidRPr="0036350D" w:rsidRDefault="0090606C" w:rsidP="00FA5329">
            <w:pPr>
              <w:ind w:left="57" w:right="57"/>
              <w:jc w:val="left"/>
              <w:rPr>
                <w:lang w:val="en-GB"/>
              </w:rPr>
            </w:pPr>
          </w:p>
          <w:p w14:paraId="4A435C74" w14:textId="77777777" w:rsidR="0090606C" w:rsidRPr="0036350D" w:rsidRDefault="00601604" w:rsidP="00FA5329">
            <w:pPr>
              <w:ind w:left="57" w:right="57"/>
              <w:jc w:val="left"/>
            </w:pPr>
            <w:r>
              <w:rPr>
                <w:b/>
                <w:i/>
              </w:rPr>
              <w:t>Les décisions concernant le financement à des fins ciblées spécifiques (articles 16 à 20) doivent être guidées par le principe consistant à renforcer les conditions de concurrence équitables dans l’ensemble de l’Union et entre tous les acteurs économiques.</w:t>
            </w:r>
          </w:p>
        </w:tc>
      </w:tr>
    </w:tbl>
    <w:p w14:paraId="20ADAF20" w14:textId="77777777" w:rsidR="0090606C" w:rsidRPr="0036350D" w:rsidRDefault="0090606C">
      <w:pPr>
        <w:jc w:val="center"/>
        <w:rPr>
          <w:lang w:val="en-GB"/>
        </w:rPr>
      </w:pPr>
    </w:p>
    <w:tbl>
      <w:tblPr>
        <w:tblW w:w="0" w:type="auto"/>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9057"/>
      </w:tblGrid>
      <w:tr w:rsidR="0090606C" w:rsidRPr="0036350D" w14:paraId="7D419C54" w14:textId="77777777">
        <w:trPr>
          <w:trHeight w:val="300"/>
        </w:trPr>
        <w:tc>
          <w:tcPr>
            <w:tcW w:w="9057" w:type="dxa"/>
            <w:tcBorders>
              <w:top w:val="single" w:sz="2" w:space="0" w:color="auto"/>
              <w:left w:val="single" w:sz="2" w:space="0" w:color="auto"/>
              <w:bottom w:val="single" w:sz="2" w:space="0" w:color="auto"/>
              <w:right w:val="single" w:sz="2" w:space="0" w:color="auto"/>
            </w:tcBorders>
            <w:hideMark/>
          </w:tcPr>
          <w:p w14:paraId="422414E0" w14:textId="77777777" w:rsidR="0090606C" w:rsidRPr="0036350D" w:rsidRDefault="00601604">
            <w:pPr>
              <w:keepNext/>
              <w:keepLines/>
              <w:jc w:val="center"/>
              <w:divId w:val="1152411509"/>
            </w:pPr>
            <w:r>
              <w:rPr>
                <w:b/>
              </w:rPr>
              <w:lastRenderedPageBreak/>
              <w:t>Exposé des motifs</w:t>
            </w:r>
          </w:p>
        </w:tc>
      </w:tr>
      <w:tr w:rsidR="0090606C" w:rsidRPr="0036350D" w14:paraId="6C7B7DC2" w14:textId="77777777">
        <w:trPr>
          <w:trHeight w:val="300"/>
        </w:trPr>
        <w:tc>
          <w:tcPr>
            <w:tcW w:w="9057" w:type="dxa"/>
            <w:tcBorders>
              <w:top w:val="single" w:sz="2" w:space="0" w:color="auto"/>
              <w:left w:val="single" w:sz="6" w:space="0" w:color="auto"/>
              <w:bottom w:val="single" w:sz="6" w:space="0" w:color="auto"/>
              <w:right w:val="single" w:sz="6" w:space="0" w:color="auto"/>
            </w:tcBorders>
            <w:hideMark/>
          </w:tcPr>
          <w:p w14:paraId="5917433E" w14:textId="77777777" w:rsidR="0090606C" w:rsidRPr="0036350D" w:rsidRDefault="00601604">
            <w:pPr>
              <w:keepNext/>
              <w:keepLines/>
              <w:ind w:left="30" w:right="30"/>
            </w:pPr>
            <w:r>
              <w:t>Voir les paragraphes 2.11, 2.17 et 2.26.</w:t>
            </w:r>
          </w:p>
        </w:tc>
      </w:tr>
    </w:tbl>
    <w:p w14:paraId="5A734E24" w14:textId="1489A04F" w:rsidR="00CD1734" w:rsidRPr="0036350D" w:rsidRDefault="00CD1734">
      <w:pPr>
        <w:pStyle w:val="Header"/>
        <w:rPr>
          <w:lang w:val="en-GB"/>
        </w:rPr>
      </w:pPr>
    </w:p>
    <w:p w14:paraId="34EFD7C4" w14:textId="4C81813E" w:rsidR="00CD1734" w:rsidRPr="00FA5329" w:rsidRDefault="00CD1734" w:rsidP="00CD1734">
      <w:r>
        <w:t>Bruxelles, le 14 novembre 2025</w:t>
      </w:r>
      <w:r w:rsidR="00667792">
        <w:t>.</w:t>
      </w:r>
    </w:p>
    <w:p w14:paraId="70355B15" w14:textId="77777777" w:rsidR="00CD1734" w:rsidRPr="00FA5329" w:rsidRDefault="00CD1734" w:rsidP="00CD1734">
      <w:pPr>
        <w:rPr>
          <w:lang w:val="en-GB"/>
        </w:rPr>
      </w:pPr>
    </w:p>
    <w:p w14:paraId="49F42F83" w14:textId="77777777" w:rsidR="00CD1734" w:rsidRPr="00FA5329" w:rsidRDefault="00CD1734" w:rsidP="00CD1734">
      <w:pPr>
        <w:rPr>
          <w:lang w:val="en-GB"/>
        </w:rPr>
      </w:pPr>
    </w:p>
    <w:p w14:paraId="37CF8A3C" w14:textId="77777777" w:rsidR="00CD1734" w:rsidRPr="00FA5329" w:rsidRDefault="00CD1734" w:rsidP="00CD1734">
      <w:pPr>
        <w:spacing w:line="286" w:lineRule="auto"/>
        <w:jc w:val="left"/>
        <w:rPr>
          <w:i/>
        </w:rPr>
      </w:pPr>
      <w:r>
        <w:rPr>
          <w:i/>
        </w:rPr>
        <w:t>La présidente de la section</w:t>
      </w:r>
      <w:proofErr w:type="gramStart"/>
      <w:r>
        <w:rPr>
          <w:i/>
        </w:rPr>
        <w:t xml:space="preserve"> «Marché</w:t>
      </w:r>
      <w:proofErr w:type="gramEnd"/>
      <w:r>
        <w:rPr>
          <w:i/>
        </w:rPr>
        <w:t xml:space="preserve"> unique, production et consommation»</w:t>
      </w:r>
    </w:p>
    <w:p w14:paraId="7ED7B962" w14:textId="5AF8BB03" w:rsidR="00CD1734" w:rsidRPr="00FA5329" w:rsidRDefault="00CD1734" w:rsidP="00CD1734">
      <w:pPr>
        <w:pStyle w:val="Header"/>
      </w:pPr>
      <w:r>
        <w:t>Émilie PROUZET</w:t>
      </w:r>
    </w:p>
    <w:p w14:paraId="510C4E8B" w14:textId="77777777" w:rsidR="0090606C" w:rsidRPr="0036350D" w:rsidRDefault="00601604">
      <w:pPr>
        <w:jc w:val="center"/>
      </w:pPr>
      <w:r>
        <w:t>_____________</w:t>
      </w:r>
    </w:p>
    <w:sectPr w:rsidR="0090606C" w:rsidRPr="0036350D" w:rsidSect="00432D8E">
      <w:headerReference w:type="even" r:id="rId25"/>
      <w:headerReference w:type="default" r:id="rId26"/>
      <w:footerReference w:type="even" r:id="rId27"/>
      <w:footerReference w:type="default" r:id="rId28"/>
      <w:headerReference w:type="first" r:id="rId29"/>
      <w:footerReference w:type="first" r:id="rId30"/>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843987" w14:textId="77777777" w:rsidR="0090606C" w:rsidRDefault="00601604">
      <w:r>
        <w:separator/>
      </w:r>
    </w:p>
  </w:endnote>
  <w:endnote w:type="continuationSeparator" w:id="0">
    <w:p w14:paraId="1671EDD9" w14:textId="77777777" w:rsidR="0090606C" w:rsidRDefault="006016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F8D2A9" w14:textId="77777777" w:rsidR="00432D8E" w:rsidRPr="00432D8E" w:rsidRDefault="00432D8E" w:rsidP="00432D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81D4F" w14:textId="7411553A" w:rsidR="0090606C" w:rsidRPr="00432D8E" w:rsidRDefault="00432D8E" w:rsidP="00432D8E">
    <w:pPr>
      <w:pStyle w:val="Footer"/>
    </w:pPr>
    <w:r>
      <w:t xml:space="preserve">INT/1101 – EESC-2025-02576-00-01-AS-TRA (EN) </w:t>
    </w:r>
    <w:r>
      <w:fldChar w:fldCharType="begin"/>
    </w:r>
    <w:r>
      <w:instrText xml:space="preserve"> PAGE  \* Arabic  \* MERGEFORMAT </w:instrText>
    </w:r>
    <w:r>
      <w:fldChar w:fldCharType="separate"/>
    </w:r>
    <w:r w:rsidR="00374119">
      <w:t>1</w:t>
    </w:r>
    <w:r>
      <w:fldChar w:fldCharType="end"/>
    </w:r>
    <w:r>
      <w:t>/</w:t>
    </w:r>
    <w:r w:rsidR="001B31E2">
      <w:fldChar w:fldCharType="begin"/>
    </w:r>
    <w:r w:rsidR="001B31E2">
      <w:instrText xml:space="preserve"> NUMPAGES </w:instrText>
    </w:r>
    <w:r w:rsidR="001B31E2">
      <w:fldChar w:fldCharType="separate"/>
    </w:r>
    <w:r w:rsidR="00374119">
      <w:t>1</w:t>
    </w:r>
    <w:r w:rsidR="001B31E2">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8D0F3" w14:textId="77777777" w:rsidR="00432D8E" w:rsidRPr="00432D8E" w:rsidRDefault="00432D8E" w:rsidP="00432D8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9EFBA" w14:textId="77777777" w:rsidR="0090606C" w:rsidRPr="00432D8E" w:rsidRDefault="0090606C" w:rsidP="00432D8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2F3A5" w14:textId="0C16FB65" w:rsidR="0090606C" w:rsidRPr="00432D8E" w:rsidRDefault="00432D8E" w:rsidP="00432D8E">
    <w:pPr>
      <w:pStyle w:val="Footer"/>
    </w:pPr>
    <w:r>
      <w:t xml:space="preserve">INT/1101 – EESC-2025-02576-00-01-AS-TRA (EN) </w:t>
    </w:r>
    <w:r>
      <w:fldChar w:fldCharType="begin"/>
    </w:r>
    <w:r>
      <w:instrText xml:space="preserve"> PAGE  \* Arabic  \* MERGEFORMAT </w:instrText>
    </w:r>
    <w:r>
      <w:fldChar w:fldCharType="separate"/>
    </w:r>
    <w:r>
      <w:t>2</w:t>
    </w:r>
    <w:r>
      <w:fldChar w:fldCharType="end"/>
    </w:r>
    <w:r>
      <w:t>/</w:t>
    </w:r>
    <w:r w:rsidR="001B31E2">
      <w:fldChar w:fldCharType="begin"/>
    </w:r>
    <w:r w:rsidR="001B31E2">
      <w:instrText xml:space="preserve"> NUMPAGES </w:instrText>
    </w:r>
    <w:r w:rsidR="001B31E2">
      <w:fldChar w:fldCharType="separate"/>
    </w:r>
    <w:r>
      <w:t>12</w:t>
    </w:r>
    <w:r w:rsidR="001B31E2">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33167" w14:textId="77777777" w:rsidR="0090606C" w:rsidRPr="00432D8E" w:rsidRDefault="0090606C" w:rsidP="00432D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EB2CA5" w14:textId="77777777" w:rsidR="0090606C" w:rsidRDefault="00601604">
      <w:r>
        <w:separator/>
      </w:r>
    </w:p>
  </w:footnote>
  <w:footnote w:type="continuationSeparator" w:id="0">
    <w:p w14:paraId="627C898A" w14:textId="77777777" w:rsidR="0090606C" w:rsidRDefault="00601604">
      <w:r>
        <w:continuationSeparator/>
      </w:r>
    </w:p>
  </w:footnote>
  <w:footnote w:id="1">
    <w:p w14:paraId="5D8D318F" w14:textId="1B31731C" w:rsidR="006F7338" w:rsidRPr="00FA5329" w:rsidRDefault="006F7338">
      <w:pPr>
        <w:pStyle w:val="FootnoteText"/>
      </w:pPr>
      <w:r>
        <w:rPr>
          <w:rStyle w:val="FootnoteReference"/>
        </w:rPr>
        <w:footnoteRef/>
      </w:r>
      <w:r>
        <w:tab/>
        <w:t>Voir le principe 12 de la déclaration du CESE sur le pacte bleu (octobre 2023).</w:t>
      </w:r>
    </w:p>
  </w:footnote>
  <w:footnote w:id="2">
    <w:p w14:paraId="3F42C207" w14:textId="45E837EF" w:rsidR="0090606C" w:rsidRDefault="00601604">
      <w:pPr>
        <w:pStyle w:val="FootnoteText"/>
      </w:pPr>
      <w:r>
        <w:rPr>
          <w:rStyle w:val="FootnoteReference"/>
        </w:rPr>
        <w:footnoteRef/>
      </w:r>
      <w:r>
        <w:tab/>
      </w:r>
      <w:hyperlink r:id="rId1" w:history="1">
        <w:r>
          <w:rPr>
            <w:rStyle w:val="Hyperlink"/>
          </w:rPr>
          <w:t>JO C 486 du 21.12.2022, p. 1</w:t>
        </w:r>
      </w:hyperlink>
      <w:r>
        <w:t xml:space="preserve">, paragraphes 1.1 et 2.12; </w:t>
      </w:r>
      <w:hyperlink r:id="rId2" w:history="1">
        <w:r>
          <w:rPr>
            <w:rStyle w:val="Hyperlink"/>
          </w:rPr>
          <w:t>JO C 194 du 12.5.2022, p. 7</w:t>
        </w:r>
      </w:hyperlink>
      <w:r>
        <w:t xml:space="preserve">, paragraphe 4.5; </w:t>
      </w:r>
      <w:hyperlink r:id="rId3" w:history="1">
        <w:r>
          <w:rPr>
            <w:rStyle w:val="Hyperlink"/>
          </w:rPr>
          <w:t>JO C 429 du 11.12.2020, p. 210</w:t>
        </w:r>
      </w:hyperlink>
      <w:r>
        <w:t>, paragraphe 2.2; JO C, C/2025/3189, 2.7.2025, ELI: </w:t>
      </w:r>
      <w:hyperlink r:id="rId4" w:tgtFrame="_blank" w:tooltip="Donne accès à ce document par l’intermédiaire de son URI ELI." w:history="1">
        <w:r>
          <w:rPr>
            <w:rStyle w:val="Hyperlink"/>
          </w:rPr>
          <w:t>http://data.europa.eu/eli/C/2025/3189/oj</w:t>
        </w:r>
      </w:hyperlink>
      <w:r>
        <w:t>; JO C, C/2025/4212, 20.8.2025, ELI: </w:t>
      </w:r>
      <w:hyperlink r:id="rId5" w:tgtFrame="_blank" w:tooltip="Donne accès à ce document par l’intermédiaire de son URI ELI." w:history="1">
        <w:r>
          <w:rPr>
            <w:rStyle w:val="Hyperlink"/>
          </w:rPr>
          <w:t>http://data.europa.eu/eli/C/2025/4212/oj</w:t>
        </w:r>
      </w:hyperlink>
      <w:r>
        <w:t>, paragraphe 3.2.1.</w:t>
      </w:r>
    </w:p>
  </w:footnote>
  <w:footnote w:id="3">
    <w:p w14:paraId="7F1A5F2E" w14:textId="0693CF06" w:rsidR="0090606C" w:rsidRDefault="00601604">
      <w:pPr>
        <w:pStyle w:val="FootnoteText"/>
        <w:rPr>
          <w:szCs w:val="16"/>
          <w:highlight w:val="yellow"/>
        </w:rPr>
      </w:pPr>
      <w:r>
        <w:rPr>
          <w:rStyle w:val="FootnoteReference"/>
        </w:rPr>
        <w:footnoteRef/>
      </w:r>
      <w:r>
        <w:tab/>
      </w:r>
      <w:hyperlink r:id="rId6" w:history="1">
        <w:r>
          <w:rPr>
            <w:rStyle w:val="Hyperlink"/>
          </w:rPr>
          <w:t xml:space="preserve">INT/1094 — «Stratégie pour le marché unique» </w:t>
        </w:r>
      </w:hyperlink>
      <w:r>
        <w:t xml:space="preserve">(en cours d’élaboration); </w:t>
      </w:r>
      <w:hyperlink r:id="rId7" w:history="1">
        <w:r>
          <w:rPr>
            <w:rStyle w:val="Hyperlink"/>
          </w:rPr>
          <w:t>avis du CESE sur le thème «Renforcer l’application des règles du marché unique: révision des outils et du cadre actuels»</w:t>
        </w:r>
      </w:hyperlink>
      <w:r>
        <w:t xml:space="preserve"> (non encore paru au Journal officiel); JO C, C/2025/2004, 30.4.2025, ELI: </w:t>
      </w:r>
      <w:hyperlink r:id="rId8" w:tgtFrame="_blank" w:tooltip="Donne accès à ce document par l’intermédiaire de son URI ELI." w:history="1">
        <w:r>
          <w:rPr>
            <w:rStyle w:val="Hyperlink"/>
          </w:rPr>
          <w:t>http://data.europa.eu/eli/C/2025/2004/oj</w:t>
        </w:r>
      </w:hyperlink>
      <w:r>
        <w:t>.</w:t>
      </w:r>
    </w:p>
  </w:footnote>
  <w:footnote w:id="4">
    <w:p w14:paraId="31C26358" w14:textId="77777777" w:rsidR="0090606C" w:rsidRDefault="00601604">
      <w:pPr>
        <w:pStyle w:val="FootnoteText"/>
        <w:spacing w:after="0"/>
      </w:pPr>
      <w:r>
        <w:rPr>
          <w:rStyle w:val="FootnoteReference"/>
          <w:szCs w:val="24"/>
        </w:rPr>
        <w:footnoteRef/>
      </w:r>
      <w:r>
        <w:tab/>
        <w:t>Par exemple, pour financer les engagements à acheter du GNL ou des puces aux États-Unis.</w:t>
      </w:r>
    </w:p>
  </w:footnote>
  <w:footnote w:id="5">
    <w:p w14:paraId="0969F5B9" w14:textId="26105276" w:rsidR="0090606C" w:rsidRDefault="00601604">
      <w:pPr>
        <w:pStyle w:val="FootnoteText"/>
        <w:spacing w:after="0"/>
      </w:pPr>
      <w:r>
        <w:rPr>
          <w:rStyle w:val="FootnoteReference"/>
        </w:rPr>
        <w:footnoteRef/>
      </w:r>
      <w:r>
        <w:tab/>
      </w:r>
      <w:hyperlink r:id="rId9" w:history="1">
        <w:r>
          <w:rPr>
            <w:rStyle w:val="Hyperlink"/>
          </w:rPr>
          <w:t>https://commission.europa.eu/topics/budget/eu-budget-2028-2034-explained_fr</w:t>
        </w:r>
      </w:hyperlink>
      <w:r>
        <w:t xml:space="preserve">, </w:t>
      </w:r>
      <w:hyperlink r:id="rId10" w:history="1">
        <w:r>
          <w:rPr>
            <w:rStyle w:val="Hyperlink"/>
          </w:rPr>
          <w:t>https://commission.europa.eu/publications/multiannual-financial-framework_en?prefLang=fr.</w:t>
        </w:r>
      </w:hyperlink>
      <w:r>
        <w:t xml:space="preserve"> </w:t>
      </w:r>
    </w:p>
  </w:footnote>
  <w:footnote w:id="6">
    <w:p w14:paraId="02415A5F" w14:textId="61A1FF63" w:rsidR="00D568A2" w:rsidRPr="00FA5329" w:rsidRDefault="00D568A2">
      <w:pPr>
        <w:pStyle w:val="FootnoteText"/>
        <w:rPr>
          <w:iCs/>
        </w:rPr>
      </w:pPr>
      <w:r>
        <w:rPr>
          <w:rStyle w:val="FootnoteReference"/>
        </w:rPr>
        <w:footnoteRef/>
      </w:r>
      <w:r>
        <w:tab/>
        <w:t>Actions 14 et 15 de la déclaration du CESE sur le pacte bleu (octobre 2023).</w:t>
      </w:r>
    </w:p>
  </w:footnote>
  <w:footnote w:id="7">
    <w:p w14:paraId="41046A03" w14:textId="77777777" w:rsidR="0090606C" w:rsidRDefault="00601604">
      <w:pPr>
        <w:pStyle w:val="FootnoteText"/>
      </w:pPr>
      <w:r>
        <w:rPr>
          <w:rStyle w:val="FootnoteReference"/>
        </w:rPr>
        <w:footnoteRef/>
      </w:r>
      <w:r>
        <w:tab/>
        <w:t>COM (2025) 555 final — 2025/0555 (COD), considérants 70, 73 et 77.</w:t>
      </w:r>
    </w:p>
  </w:footnote>
  <w:footnote w:id="8">
    <w:p w14:paraId="6163CA95" w14:textId="77777777" w:rsidR="0090606C" w:rsidRDefault="00601604">
      <w:pPr>
        <w:pStyle w:val="FootnoteText"/>
      </w:pPr>
      <w:r>
        <w:rPr>
          <w:rStyle w:val="FootnoteReference"/>
        </w:rPr>
        <w:footnoteRef/>
      </w:r>
      <w:r>
        <w:tab/>
        <w:t xml:space="preserve">JO C, C/2024/6874, 28.11.2024, ELI: </w:t>
      </w:r>
      <w:hyperlink r:id="rId11" w:tgtFrame="_blank" w:tooltip="Donne accès à ce document par l’intermédiaire de son URI ELI." w:history="1">
        <w:r>
          <w:rPr>
            <w:rStyle w:val="Hyperlink"/>
          </w:rPr>
          <w:t>http://data.europa.eu/eli/C/2024/6874/oj</w:t>
        </w:r>
      </w:hyperlink>
      <w:r>
        <w:t xml:space="preserve">, </w:t>
      </w:r>
      <w:hyperlink r:id="rId12" w:tgtFrame="_blank" w:tooltip="(Le lien s’ouvre dans une nouvelle fenêtre)" w:history="1">
        <w:r>
          <w:rPr>
            <w:rStyle w:val="Hyperlink"/>
          </w:rPr>
          <w:t>JO C 62 du 15.2.2019, p. 33</w:t>
        </w:r>
      </w:hyperlink>
      <w:r>
        <w:t xml:space="preserve">, </w:t>
      </w:r>
      <w:hyperlink r:id="rId13" w:tgtFrame="_blank" w:tooltip="(Le lien s’ouvre dans une nouvelle fenêtre)" w:history="1">
        <w:r>
          <w:rPr>
            <w:rStyle w:val="Hyperlink"/>
          </w:rPr>
          <w:t>JO C 34 du 2.2.2017, p. 66</w:t>
        </w:r>
      </w:hyperlink>
      <w:r>
        <w:t>.</w:t>
      </w:r>
    </w:p>
  </w:footnote>
  <w:footnote w:id="9">
    <w:p w14:paraId="316642A0" w14:textId="77777777" w:rsidR="00A27CE3" w:rsidRPr="0093057B" w:rsidRDefault="00A27CE3" w:rsidP="00A27CE3">
      <w:pPr>
        <w:pStyle w:val="FootnoteText"/>
      </w:pPr>
      <w:r>
        <w:rPr>
          <w:rStyle w:val="FootnoteReference"/>
        </w:rPr>
        <w:footnoteRef/>
      </w:r>
      <w:r>
        <w:tab/>
        <w:t>Voir le principe 12 de la déclaration du CESE sur le pacte bleu (octobre 2023) et l’initiative pour la résilience dans le domaine de l’eau (septembre 2025).</w:t>
      </w:r>
    </w:p>
  </w:footnote>
  <w:footnote w:id="10">
    <w:p w14:paraId="4C5F99A2" w14:textId="3A53E4C3" w:rsidR="0090606C" w:rsidRDefault="00601604">
      <w:pPr>
        <w:pStyle w:val="FootnoteText"/>
      </w:pPr>
      <w:r>
        <w:rPr>
          <w:rStyle w:val="FootnoteReference"/>
        </w:rPr>
        <w:footnoteRef/>
      </w:r>
      <w:r>
        <w:tab/>
      </w:r>
      <w:hyperlink r:id="rId14" w:history="1">
        <w:proofErr w:type="gramStart"/>
        <w:r>
          <w:rPr>
            <w:rStyle w:val="Hyperlink"/>
          </w:rPr>
          <w:t>COM(</w:t>
        </w:r>
        <w:proofErr w:type="gramEnd"/>
        <w:r>
          <w:rPr>
            <w:rStyle w:val="Hyperlink"/>
          </w:rPr>
          <w:t>2025) 555 final — 2025/0555 (COD), considérant 4</w:t>
        </w:r>
      </w:hyperlink>
      <w:r>
        <w:t>.</w:t>
      </w:r>
    </w:p>
  </w:footnote>
  <w:footnote w:id="11">
    <w:p w14:paraId="0A95BE16" w14:textId="533085B0" w:rsidR="0090606C" w:rsidRDefault="00601604">
      <w:pPr>
        <w:pStyle w:val="FootnoteText"/>
      </w:pPr>
      <w:r>
        <w:rPr>
          <w:rStyle w:val="FootnoteReference"/>
        </w:rPr>
        <w:footnoteRef/>
      </w:r>
      <w:r>
        <w:tab/>
      </w:r>
      <w:hyperlink r:id="rId15" w:history="1">
        <w:proofErr w:type="gramStart"/>
        <w:r>
          <w:rPr>
            <w:rStyle w:val="Hyperlink"/>
          </w:rPr>
          <w:t>COM(</w:t>
        </w:r>
        <w:proofErr w:type="gramEnd"/>
        <w:r>
          <w:rPr>
            <w:rStyle w:val="Hyperlink"/>
          </w:rPr>
          <w:t>2025) 555 final — 2025/0555 (COD), considérant 5</w:t>
        </w:r>
      </w:hyperlink>
      <w:r>
        <w:t>.</w:t>
      </w:r>
    </w:p>
  </w:footnote>
  <w:footnote w:id="12">
    <w:p w14:paraId="2DAA0A7D" w14:textId="5DBE7621" w:rsidR="0090606C" w:rsidRDefault="00601604">
      <w:pPr>
        <w:pStyle w:val="FootnoteText"/>
      </w:pPr>
      <w:r>
        <w:rPr>
          <w:rStyle w:val="FootnoteReference"/>
        </w:rPr>
        <w:footnoteRef/>
      </w:r>
      <w:r>
        <w:tab/>
      </w:r>
      <w:hyperlink r:id="rId16" w:history="1">
        <w:proofErr w:type="gramStart"/>
        <w:r>
          <w:rPr>
            <w:rStyle w:val="Hyperlink"/>
          </w:rPr>
          <w:t>COM(</w:t>
        </w:r>
        <w:proofErr w:type="gramEnd"/>
        <w:r>
          <w:rPr>
            <w:rStyle w:val="Hyperlink"/>
          </w:rPr>
          <w:t>2025) 555 final — 2025/0555 (COD), considérants 78 à 82</w:t>
        </w:r>
      </w:hyperlink>
      <w:r>
        <w:t>.</w:t>
      </w:r>
    </w:p>
  </w:footnote>
  <w:footnote w:id="13">
    <w:p w14:paraId="6F613599" w14:textId="3898FC9A" w:rsidR="0090606C" w:rsidRDefault="00601604">
      <w:pPr>
        <w:pStyle w:val="FootnoteText"/>
      </w:pPr>
      <w:r>
        <w:rPr>
          <w:rStyle w:val="FootnoteReference"/>
        </w:rPr>
        <w:footnoteRef/>
      </w:r>
      <w:r>
        <w:tab/>
      </w:r>
      <w:hyperlink r:id="rId17" w:history="1">
        <w:r>
          <w:rPr>
            <w:rStyle w:val="Hyperlink"/>
          </w:rPr>
          <w:t>JO C 486 du 21.12.2022, p. 1</w:t>
        </w:r>
      </w:hyperlink>
      <w:r>
        <w:t xml:space="preserve">, paragraphes 1.1 et 2.12; </w:t>
      </w:r>
      <w:hyperlink r:id="rId18" w:history="1">
        <w:r>
          <w:rPr>
            <w:rStyle w:val="Hyperlink"/>
          </w:rPr>
          <w:t>JO C 194 du 12.5.2022, p. 7</w:t>
        </w:r>
      </w:hyperlink>
      <w:r>
        <w:t xml:space="preserve">, paragraphe 4.5; </w:t>
      </w:r>
      <w:hyperlink r:id="rId19" w:history="1">
        <w:r>
          <w:rPr>
            <w:rStyle w:val="Hyperlink"/>
          </w:rPr>
          <w:t>JO C 429 du 11.12.2020, p. 210</w:t>
        </w:r>
      </w:hyperlink>
      <w:r>
        <w:t>, paragraphe 2.2; JO C, C/2025/4212, 20.8.2025, ELI: </w:t>
      </w:r>
      <w:hyperlink r:id="rId20" w:tgtFrame="_blank" w:tooltip="Donne accès à ce document par l’intermédiaire de son URI ELI." w:history="1">
        <w:r>
          <w:rPr>
            <w:rStyle w:val="Hyperlink"/>
          </w:rPr>
          <w:t>http://data.europa.eu/eli/C/2025/4212/oj</w:t>
        </w:r>
      </w:hyperlink>
      <w:r>
        <w:t>, paragraphe 3.2.1.</w:t>
      </w:r>
    </w:p>
  </w:footnote>
  <w:footnote w:id="14">
    <w:p w14:paraId="7F5226C3" w14:textId="7F76B438" w:rsidR="0090606C" w:rsidRDefault="00601604">
      <w:pPr>
        <w:pStyle w:val="FootnoteText"/>
      </w:pPr>
      <w:r>
        <w:rPr>
          <w:rStyle w:val="FootnoteReference"/>
        </w:rPr>
        <w:footnoteRef/>
      </w:r>
      <w:r>
        <w:tab/>
      </w:r>
      <w:hyperlink r:id="rId21" w:history="1">
        <w:proofErr w:type="gramStart"/>
        <w:r>
          <w:rPr>
            <w:rStyle w:val="Hyperlink"/>
          </w:rPr>
          <w:t>COM(</w:t>
        </w:r>
        <w:proofErr w:type="gramEnd"/>
        <w:r>
          <w:rPr>
            <w:rStyle w:val="Hyperlink"/>
          </w:rPr>
          <w:t>2025) 555 final — 2025/0555 (COD), considérant 66</w:t>
        </w:r>
      </w:hyperlink>
      <w:r>
        <w:t>.</w:t>
      </w:r>
    </w:p>
  </w:footnote>
  <w:footnote w:id="15">
    <w:p w14:paraId="0DA61488" w14:textId="4716B61C" w:rsidR="0090606C" w:rsidRDefault="00601604">
      <w:pPr>
        <w:pStyle w:val="FootnoteText"/>
      </w:pPr>
      <w:r>
        <w:rPr>
          <w:rStyle w:val="FootnoteReference"/>
        </w:rPr>
        <w:footnoteRef/>
      </w:r>
      <w:r>
        <w:tab/>
      </w:r>
      <w:hyperlink r:id="rId22" w:history="1">
        <w:proofErr w:type="gramStart"/>
        <w:r>
          <w:rPr>
            <w:rStyle w:val="Hyperlink"/>
          </w:rPr>
          <w:t>COM(</w:t>
        </w:r>
        <w:proofErr w:type="gramEnd"/>
        <w:r>
          <w:rPr>
            <w:rStyle w:val="Hyperlink"/>
          </w:rPr>
          <w:t>2025) 555 final — 2025/0555 (COD), considérant 62</w:t>
        </w:r>
      </w:hyperlink>
      <w:r>
        <w:t>.</w:t>
      </w:r>
    </w:p>
  </w:footnote>
  <w:footnote w:id="16">
    <w:p w14:paraId="376E6B77" w14:textId="4D5519FA" w:rsidR="0090606C" w:rsidRDefault="00601604">
      <w:pPr>
        <w:pStyle w:val="FootnoteText"/>
      </w:pPr>
      <w:r>
        <w:rPr>
          <w:rStyle w:val="FootnoteReference"/>
        </w:rPr>
        <w:footnoteRef/>
      </w:r>
      <w:r>
        <w:tab/>
      </w:r>
      <w:hyperlink r:id="rId23" w:history="1">
        <w:proofErr w:type="gramStart"/>
        <w:r>
          <w:rPr>
            <w:rStyle w:val="Hyperlink"/>
          </w:rPr>
          <w:t>COM(</w:t>
        </w:r>
        <w:proofErr w:type="gramEnd"/>
        <w:r>
          <w:rPr>
            <w:rStyle w:val="Hyperlink"/>
          </w:rPr>
          <w:t>2025) 555 final — 2025/0555 (COD), considérant 63</w:t>
        </w:r>
      </w:hyperlink>
      <w:r>
        <w:t>.</w:t>
      </w:r>
    </w:p>
  </w:footnote>
  <w:footnote w:id="17">
    <w:p w14:paraId="221D87B4" w14:textId="3D4DF7C1" w:rsidR="0090606C" w:rsidRDefault="00601604">
      <w:pPr>
        <w:pStyle w:val="FootnoteText"/>
      </w:pPr>
      <w:r>
        <w:rPr>
          <w:rStyle w:val="FootnoteReference"/>
        </w:rPr>
        <w:footnoteRef/>
      </w:r>
      <w:r>
        <w:tab/>
      </w:r>
      <w:hyperlink r:id="rId24" w:history="1">
        <w:proofErr w:type="gramStart"/>
        <w:r>
          <w:rPr>
            <w:rStyle w:val="Hyperlink"/>
          </w:rPr>
          <w:t>COM(</w:t>
        </w:r>
        <w:proofErr w:type="gramEnd"/>
        <w:r>
          <w:rPr>
            <w:rStyle w:val="Hyperlink"/>
          </w:rPr>
          <w:t>2025) 555 final — 2025/0555 (COD), considérant 64</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0CED2" w14:textId="77777777" w:rsidR="00432D8E" w:rsidRPr="00432D8E" w:rsidRDefault="00432D8E" w:rsidP="00432D8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EF063" w14:textId="2CDDF8EB" w:rsidR="00432D8E" w:rsidRPr="00432D8E" w:rsidRDefault="00432D8E" w:rsidP="00432D8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541E21" w14:textId="77777777" w:rsidR="00432D8E" w:rsidRPr="00432D8E" w:rsidRDefault="00432D8E" w:rsidP="00432D8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33E1F" w14:textId="77777777" w:rsidR="0090606C" w:rsidRPr="00432D8E" w:rsidRDefault="0090606C" w:rsidP="00432D8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A95887" w14:textId="3BF8C1C3" w:rsidR="0090606C" w:rsidRPr="00432D8E" w:rsidRDefault="0090606C" w:rsidP="00432D8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B323D" w14:textId="77777777" w:rsidR="0090606C" w:rsidRPr="00432D8E" w:rsidRDefault="0090606C" w:rsidP="00432D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991E7CCC"/>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val="0"/>
      </w:rPr>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00C239EF"/>
    <w:multiLevelType w:val="multilevel"/>
    <w:tmpl w:val="9462F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A05380"/>
    <w:multiLevelType w:val="hybridMultilevel"/>
    <w:tmpl w:val="0578441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AC080C"/>
    <w:multiLevelType w:val="hybridMultilevel"/>
    <w:tmpl w:val="B652DA40"/>
    <w:lvl w:ilvl="0" w:tplc="080C0017">
      <w:start w:val="1"/>
      <w:numFmt w:val="lowerLetter"/>
      <w:lvlText w:val="%1)"/>
      <w:lvlJc w:val="left"/>
      <w:pPr>
        <w:ind w:left="360" w:hanging="360"/>
      </w:p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5" w15:restartNumberingAfterBreak="0">
    <w:nsid w:val="3BAE4401"/>
    <w:multiLevelType w:val="hybridMultilevel"/>
    <w:tmpl w:val="3A5065D0"/>
    <w:lvl w:ilvl="0" w:tplc="52620F36">
      <w:start w:val="1"/>
      <w:numFmt w:val="lowerLetter"/>
      <w:lvlText w:val="%1)"/>
      <w:lvlJc w:val="left"/>
      <w:pPr>
        <w:ind w:left="720" w:hanging="360"/>
      </w:pPr>
      <w:rPr>
        <w:b w:val="0"/>
        <w:bCs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8BE5558"/>
    <w:multiLevelType w:val="hybridMultilevel"/>
    <w:tmpl w:val="3E28E2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7981E46"/>
    <w:multiLevelType w:val="hybridMultilevel"/>
    <w:tmpl w:val="01BAA456"/>
    <w:lvl w:ilvl="0" w:tplc="F75C0ABC">
      <w:start w:val="1"/>
      <w:numFmt w:val="lowerLetter"/>
      <w:lvlText w:val="%1)"/>
      <w:lvlJc w:val="left"/>
      <w:pPr>
        <w:ind w:left="360" w:hanging="360"/>
      </w:pPr>
      <w:rPr>
        <w:color w:val="auto"/>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10" w15:restartNumberingAfterBreak="0">
    <w:nsid w:val="6A8F3A17"/>
    <w:multiLevelType w:val="hybridMultilevel"/>
    <w:tmpl w:val="6F9E66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703B6A5A"/>
    <w:multiLevelType w:val="hybridMultilevel"/>
    <w:tmpl w:val="B9626BE4"/>
    <w:lvl w:ilvl="0" w:tplc="201C4710">
      <w:start w:val="4"/>
      <w:numFmt w:val="bullet"/>
      <w:lvlText w:val="-"/>
      <w:lvlJc w:val="left"/>
      <w:pPr>
        <w:ind w:left="480" w:hanging="360"/>
      </w:pPr>
      <w:rPr>
        <w:rFonts w:ascii="Times New Roman" w:eastAsia="Times New Roman" w:hAnsi="Times New Roman" w:cs="Times New Roman" w:hint="default"/>
      </w:rPr>
    </w:lvl>
    <w:lvl w:ilvl="1" w:tplc="04020003">
      <w:start w:val="1"/>
      <w:numFmt w:val="bullet"/>
      <w:lvlText w:val="o"/>
      <w:lvlJc w:val="left"/>
      <w:pPr>
        <w:ind w:left="1200" w:hanging="360"/>
      </w:pPr>
      <w:rPr>
        <w:rFonts w:ascii="Courier New" w:hAnsi="Courier New" w:cs="Courier New" w:hint="default"/>
      </w:rPr>
    </w:lvl>
    <w:lvl w:ilvl="2" w:tplc="04020005">
      <w:start w:val="1"/>
      <w:numFmt w:val="bullet"/>
      <w:lvlText w:val=""/>
      <w:lvlJc w:val="left"/>
      <w:pPr>
        <w:ind w:left="1920" w:hanging="360"/>
      </w:pPr>
      <w:rPr>
        <w:rFonts w:ascii="Wingdings" w:hAnsi="Wingdings" w:hint="default"/>
      </w:rPr>
    </w:lvl>
    <w:lvl w:ilvl="3" w:tplc="04020001">
      <w:start w:val="1"/>
      <w:numFmt w:val="bullet"/>
      <w:lvlText w:val=""/>
      <w:lvlJc w:val="left"/>
      <w:pPr>
        <w:ind w:left="2640" w:hanging="360"/>
      </w:pPr>
      <w:rPr>
        <w:rFonts w:ascii="Symbol" w:hAnsi="Symbol" w:hint="default"/>
      </w:rPr>
    </w:lvl>
    <w:lvl w:ilvl="4" w:tplc="04020003">
      <w:start w:val="1"/>
      <w:numFmt w:val="bullet"/>
      <w:lvlText w:val="o"/>
      <w:lvlJc w:val="left"/>
      <w:pPr>
        <w:ind w:left="3360" w:hanging="360"/>
      </w:pPr>
      <w:rPr>
        <w:rFonts w:ascii="Courier New" w:hAnsi="Courier New" w:cs="Courier New" w:hint="default"/>
      </w:rPr>
    </w:lvl>
    <w:lvl w:ilvl="5" w:tplc="04020005">
      <w:start w:val="1"/>
      <w:numFmt w:val="bullet"/>
      <w:lvlText w:val=""/>
      <w:lvlJc w:val="left"/>
      <w:pPr>
        <w:ind w:left="4080" w:hanging="360"/>
      </w:pPr>
      <w:rPr>
        <w:rFonts w:ascii="Wingdings" w:hAnsi="Wingdings" w:hint="default"/>
      </w:rPr>
    </w:lvl>
    <w:lvl w:ilvl="6" w:tplc="04020001">
      <w:start w:val="1"/>
      <w:numFmt w:val="bullet"/>
      <w:lvlText w:val=""/>
      <w:lvlJc w:val="left"/>
      <w:pPr>
        <w:ind w:left="4800" w:hanging="360"/>
      </w:pPr>
      <w:rPr>
        <w:rFonts w:ascii="Symbol" w:hAnsi="Symbol" w:hint="default"/>
      </w:rPr>
    </w:lvl>
    <w:lvl w:ilvl="7" w:tplc="04020003">
      <w:start w:val="1"/>
      <w:numFmt w:val="bullet"/>
      <w:lvlText w:val="o"/>
      <w:lvlJc w:val="left"/>
      <w:pPr>
        <w:ind w:left="5520" w:hanging="360"/>
      </w:pPr>
      <w:rPr>
        <w:rFonts w:ascii="Courier New" w:hAnsi="Courier New" w:cs="Courier New" w:hint="default"/>
      </w:rPr>
    </w:lvl>
    <w:lvl w:ilvl="8" w:tplc="04020005">
      <w:start w:val="1"/>
      <w:numFmt w:val="bullet"/>
      <w:lvlText w:val=""/>
      <w:lvlJc w:val="left"/>
      <w:pPr>
        <w:ind w:left="6240" w:hanging="360"/>
      </w:pPr>
      <w:rPr>
        <w:rFonts w:ascii="Wingdings" w:hAnsi="Wingdings" w:hint="default"/>
      </w:rPr>
    </w:lvl>
  </w:abstractNum>
  <w:abstractNum w:abstractNumId="12" w15:restartNumberingAfterBreak="0">
    <w:nsid w:val="740C5072"/>
    <w:multiLevelType w:val="hybridMultilevel"/>
    <w:tmpl w:val="F22ACF22"/>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13" w15:restartNumberingAfterBreak="0">
    <w:nsid w:val="78B47322"/>
    <w:multiLevelType w:val="hybridMultilevel"/>
    <w:tmpl w:val="3C3C1E20"/>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7E281574"/>
    <w:multiLevelType w:val="hybridMultilevel"/>
    <w:tmpl w:val="6F9E66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8"/>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3"/>
  </w:num>
  <w:num w:numId="6">
    <w:abstractNumId w:val="1"/>
  </w:num>
  <w:num w:numId="7">
    <w:abstractNumId w:val="5"/>
  </w:num>
  <w:num w:numId="8">
    <w:abstractNumId w:val="10"/>
  </w:num>
  <w:num w:numId="9">
    <w:abstractNumId w:val="14"/>
  </w:num>
  <w:num w:numId="10">
    <w:abstractNumId w:val="13"/>
  </w:num>
  <w:num w:numId="11">
    <w:abstractNumId w:val="2"/>
  </w:num>
  <w:num w:numId="12">
    <w:abstractNumId w:val="9"/>
  </w:num>
  <w:num w:numId="13">
    <w:abstractNumId w:val="4"/>
  </w:num>
  <w:num w:numId="14">
    <w:abstractNumId w:val="1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4"/>
    </w:lvlOverride>
    <w:lvlOverride w:ilvl="1">
      <w:startOverride w:val="2"/>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2"/>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0"/>
    <w:lvlOverride w:ilvl="0">
      <w:startOverride w:val="3"/>
    </w:lvlOverride>
  </w:num>
  <w:num w:numId="22">
    <w:abstractNumId w:val="0"/>
    <w:lvlOverride w:ilvl="0">
      <w:startOverride w:val="3"/>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696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00C1"/>
    <w:rsid w:val="00000571"/>
    <w:rsid w:val="00000D0F"/>
    <w:rsid w:val="00001642"/>
    <w:rsid w:val="0000235E"/>
    <w:rsid w:val="00002741"/>
    <w:rsid w:val="00002B9F"/>
    <w:rsid w:val="00002FA7"/>
    <w:rsid w:val="00003646"/>
    <w:rsid w:val="00003A2F"/>
    <w:rsid w:val="00003F4C"/>
    <w:rsid w:val="00004050"/>
    <w:rsid w:val="00004188"/>
    <w:rsid w:val="00004856"/>
    <w:rsid w:val="00005AB9"/>
    <w:rsid w:val="00005EB9"/>
    <w:rsid w:val="00006217"/>
    <w:rsid w:val="00006912"/>
    <w:rsid w:val="00006BAD"/>
    <w:rsid w:val="00006E24"/>
    <w:rsid w:val="00007062"/>
    <w:rsid w:val="00007302"/>
    <w:rsid w:val="0000736E"/>
    <w:rsid w:val="00007560"/>
    <w:rsid w:val="000075E1"/>
    <w:rsid w:val="0000763E"/>
    <w:rsid w:val="00007A40"/>
    <w:rsid w:val="00011DA2"/>
    <w:rsid w:val="00012627"/>
    <w:rsid w:val="000128CD"/>
    <w:rsid w:val="00013F77"/>
    <w:rsid w:val="0001417B"/>
    <w:rsid w:val="0001472D"/>
    <w:rsid w:val="00015EA8"/>
    <w:rsid w:val="00016211"/>
    <w:rsid w:val="00016E22"/>
    <w:rsid w:val="00017391"/>
    <w:rsid w:val="00017B45"/>
    <w:rsid w:val="00020138"/>
    <w:rsid w:val="00020E6E"/>
    <w:rsid w:val="00022182"/>
    <w:rsid w:val="0002229F"/>
    <w:rsid w:val="000229C4"/>
    <w:rsid w:val="000229CD"/>
    <w:rsid w:val="00022A73"/>
    <w:rsid w:val="000242C4"/>
    <w:rsid w:val="00024685"/>
    <w:rsid w:val="00024D96"/>
    <w:rsid w:val="000255B3"/>
    <w:rsid w:val="00025D0E"/>
    <w:rsid w:val="00026608"/>
    <w:rsid w:val="000266E1"/>
    <w:rsid w:val="00026A08"/>
    <w:rsid w:val="00030973"/>
    <w:rsid w:val="00030E19"/>
    <w:rsid w:val="00030E72"/>
    <w:rsid w:val="00030F6C"/>
    <w:rsid w:val="000318A2"/>
    <w:rsid w:val="00031A4B"/>
    <w:rsid w:val="00031BFB"/>
    <w:rsid w:val="00032A1E"/>
    <w:rsid w:val="00032B76"/>
    <w:rsid w:val="000338E9"/>
    <w:rsid w:val="00033913"/>
    <w:rsid w:val="00033AFC"/>
    <w:rsid w:val="00033B4B"/>
    <w:rsid w:val="00033DB4"/>
    <w:rsid w:val="00033E5B"/>
    <w:rsid w:val="0003525D"/>
    <w:rsid w:val="000357A8"/>
    <w:rsid w:val="00035894"/>
    <w:rsid w:val="000377E7"/>
    <w:rsid w:val="00041305"/>
    <w:rsid w:val="000430A6"/>
    <w:rsid w:val="00044576"/>
    <w:rsid w:val="000446AF"/>
    <w:rsid w:val="00044923"/>
    <w:rsid w:val="000449C7"/>
    <w:rsid w:val="000458A4"/>
    <w:rsid w:val="00046BEA"/>
    <w:rsid w:val="00046E60"/>
    <w:rsid w:val="00046FAB"/>
    <w:rsid w:val="0005249C"/>
    <w:rsid w:val="00052551"/>
    <w:rsid w:val="000534A5"/>
    <w:rsid w:val="0005398E"/>
    <w:rsid w:val="0005435D"/>
    <w:rsid w:val="00054415"/>
    <w:rsid w:val="00054D94"/>
    <w:rsid w:val="00055094"/>
    <w:rsid w:val="000552FC"/>
    <w:rsid w:val="0005592F"/>
    <w:rsid w:val="00055A39"/>
    <w:rsid w:val="0005680D"/>
    <w:rsid w:val="00056DF4"/>
    <w:rsid w:val="00057433"/>
    <w:rsid w:val="0006012D"/>
    <w:rsid w:val="000608E4"/>
    <w:rsid w:val="00060B3D"/>
    <w:rsid w:val="00060EC5"/>
    <w:rsid w:val="00061FBF"/>
    <w:rsid w:val="000624E2"/>
    <w:rsid w:val="00062940"/>
    <w:rsid w:val="00062AD8"/>
    <w:rsid w:val="00062C52"/>
    <w:rsid w:val="00063389"/>
    <w:rsid w:val="00063763"/>
    <w:rsid w:val="0006385B"/>
    <w:rsid w:val="00063FB4"/>
    <w:rsid w:val="0006416A"/>
    <w:rsid w:val="000643AE"/>
    <w:rsid w:val="00064AA5"/>
    <w:rsid w:val="00065656"/>
    <w:rsid w:val="0006674E"/>
    <w:rsid w:val="000668AF"/>
    <w:rsid w:val="0006793E"/>
    <w:rsid w:val="00067A9B"/>
    <w:rsid w:val="00067C03"/>
    <w:rsid w:val="00072CC6"/>
    <w:rsid w:val="00072E0F"/>
    <w:rsid w:val="00073124"/>
    <w:rsid w:val="000735E5"/>
    <w:rsid w:val="0007392F"/>
    <w:rsid w:val="00074960"/>
    <w:rsid w:val="00075538"/>
    <w:rsid w:val="000769FB"/>
    <w:rsid w:val="00076F2D"/>
    <w:rsid w:val="00077E7C"/>
    <w:rsid w:val="00080042"/>
    <w:rsid w:val="00080F33"/>
    <w:rsid w:val="0008166C"/>
    <w:rsid w:val="00081D29"/>
    <w:rsid w:val="00082D59"/>
    <w:rsid w:val="00083005"/>
    <w:rsid w:val="0008339D"/>
    <w:rsid w:val="0008380C"/>
    <w:rsid w:val="00083CB5"/>
    <w:rsid w:val="00083CB8"/>
    <w:rsid w:val="000853C3"/>
    <w:rsid w:val="000854F1"/>
    <w:rsid w:val="000855B7"/>
    <w:rsid w:val="00085FA8"/>
    <w:rsid w:val="0008717F"/>
    <w:rsid w:val="000876F0"/>
    <w:rsid w:val="00087B39"/>
    <w:rsid w:val="00091DB5"/>
    <w:rsid w:val="00092A52"/>
    <w:rsid w:val="00092C9E"/>
    <w:rsid w:val="00093DCE"/>
    <w:rsid w:val="00093DE0"/>
    <w:rsid w:val="00094226"/>
    <w:rsid w:val="000943A9"/>
    <w:rsid w:val="0009484C"/>
    <w:rsid w:val="000948A2"/>
    <w:rsid w:val="00094ACC"/>
    <w:rsid w:val="00095279"/>
    <w:rsid w:val="00095701"/>
    <w:rsid w:val="0009643C"/>
    <w:rsid w:val="00096502"/>
    <w:rsid w:val="00096A64"/>
    <w:rsid w:val="00097E3F"/>
    <w:rsid w:val="000A08A7"/>
    <w:rsid w:val="000A0F76"/>
    <w:rsid w:val="000A23E3"/>
    <w:rsid w:val="000A3061"/>
    <w:rsid w:val="000A36B3"/>
    <w:rsid w:val="000A4385"/>
    <w:rsid w:val="000A49BB"/>
    <w:rsid w:val="000A54A5"/>
    <w:rsid w:val="000A5670"/>
    <w:rsid w:val="000A5829"/>
    <w:rsid w:val="000A5D7F"/>
    <w:rsid w:val="000A5E1D"/>
    <w:rsid w:val="000A621F"/>
    <w:rsid w:val="000A6251"/>
    <w:rsid w:val="000A64AE"/>
    <w:rsid w:val="000A7851"/>
    <w:rsid w:val="000A7B61"/>
    <w:rsid w:val="000B03A9"/>
    <w:rsid w:val="000B0CC8"/>
    <w:rsid w:val="000B106A"/>
    <w:rsid w:val="000B1073"/>
    <w:rsid w:val="000B24D9"/>
    <w:rsid w:val="000B349A"/>
    <w:rsid w:val="000B4774"/>
    <w:rsid w:val="000B5226"/>
    <w:rsid w:val="000B5C3F"/>
    <w:rsid w:val="000B5CF0"/>
    <w:rsid w:val="000B5F7B"/>
    <w:rsid w:val="000B67C2"/>
    <w:rsid w:val="000B68FA"/>
    <w:rsid w:val="000B6BA4"/>
    <w:rsid w:val="000B7369"/>
    <w:rsid w:val="000B7390"/>
    <w:rsid w:val="000B7545"/>
    <w:rsid w:val="000B77C8"/>
    <w:rsid w:val="000B79A7"/>
    <w:rsid w:val="000B7D06"/>
    <w:rsid w:val="000C095C"/>
    <w:rsid w:val="000C1524"/>
    <w:rsid w:val="000C3129"/>
    <w:rsid w:val="000C3441"/>
    <w:rsid w:val="000C3BEF"/>
    <w:rsid w:val="000C3C13"/>
    <w:rsid w:val="000C4328"/>
    <w:rsid w:val="000C4C09"/>
    <w:rsid w:val="000C5127"/>
    <w:rsid w:val="000C536A"/>
    <w:rsid w:val="000C54B1"/>
    <w:rsid w:val="000C5DA0"/>
    <w:rsid w:val="000C6B0C"/>
    <w:rsid w:val="000C6FED"/>
    <w:rsid w:val="000C70D6"/>
    <w:rsid w:val="000C7582"/>
    <w:rsid w:val="000C761B"/>
    <w:rsid w:val="000C7AFF"/>
    <w:rsid w:val="000C7BBE"/>
    <w:rsid w:val="000C7C5F"/>
    <w:rsid w:val="000C7E8E"/>
    <w:rsid w:val="000C7F53"/>
    <w:rsid w:val="000D01FF"/>
    <w:rsid w:val="000D0527"/>
    <w:rsid w:val="000D0A25"/>
    <w:rsid w:val="000D18A9"/>
    <w:rsid w:val="000D1A43"/>
    <w:rsid w:val="000D2215"/>
    <w:rsid w:val="000D2F8E"/>
    <w:rsid w:val="000D35B8"/>
    <w:rsid w:val="000D3BB3"/>
    <w:rsid w:val="000D3DA9"/>
    <w:rsid w:val="000D4E00"/>
    <w:rsid w:val="000D5881"/>
    <w:rsid w:val="000D6892"/>
    <w:rsid w:val="000D6CBA"/>
    <w:rsid w:val="000E03F7"/>
    <w:rsid w:val="000E09C2"/>
    <w:rsid w:val="000E235C"/>
    <w:rsid w:val="000E3187"/>
    <w:rsid w:val="000E3D1B"/>
    <w:rsid w:val="000E423D"/>
    <w:rsid w:val="000E514C"/>
    <w:rsid w:val="000E556D"/>
    <w:rsid w:val="000E5A1C"/>
    <w:rsid w:val="000E6DD2"/>
    <w:rsid w:val="000E7397"/>
    <w:rsid w:val="000E7564"/>
    <w:rsid w:val="000F099E"/>
    <w:rsid w:val="000F124B"/>
    <w:rsid w:val="000F1827"/>
    <w:rsid w:val="000F196B"/>
    <w:rsid w:val="000F1BF2"/>
    <w:rsid w:val="000F242E"/>
    <w:rsid w:val="000F251D"/>
    <w:rsid w:val="000F2898"/>
    <w:rsid w:val="000F2CBF"/>
    <w:rsid w:val="000F41C2"/>
    <w:rsid w:val="000F4B92"/>
    <w:rsid w:val="000F5DD2"/>
    <w:rsid w:val="000F72D2"/>
    <w:rsid w:val="00101352"/>
    <w:rsid w:val="0010241C"/>
    <w:rsid w:val="0010281D"/>
    <w:rsid w:val="00102D37"/>
    <w:rsid w:val="00103FE1"/>
    <w:rsid w:val="001041DC"/>
    <w:rsid w:val="001046B7"/>
    <w:rsid w:val="001050A0"/>
    <w:rsid w:val="00105361"/>
    <w:rsid w:val="001061CB"/>
    <w:rsid w:val="001064F3"/>
    <w:rsid w:val="00106D43"/>
    <w:rsid w:val="00106E23"/>
    <w:rsid w:val="00107235"/>
    <w:rsid w:val="00107982"/>
    <w:rsid w:val="001101F8"/>
    <w:rsid w:val="00111136"/>
    <w:rsid w:val="00111330"/>
    <w:rsid w:val="001116BD"/>
    <w:rsid w:val="00111995"/>
    <w:rsid w:val="00111A0D"/>
    <w:rsid w:val="0011206F"/>
    <w:rsid w:val="0011240F"/>
    <w:rsid w:val="00112DDB"/>
    <w:rsid w:val="00113A9A"/>
    <w:rsid w:val="00113F77"/>
    <w:rsid w:val="0011498A"/>
    <w:rsid w:val="0011538E"/>
    <w:rsid w:val="00115815"/>
    <w:rsid w:val="001164F5"/>
    <w:rsid w:val="0011656A"/>
    <w:rsid w:val="00117AB2"/>
    <w:rsid w:val="001208A1"/>
    <w:rsid w:val="00120987"/>
    <w:rsid w:val="00120C8B"/>
    <w:rsid w:val="00120E2F"/>
    <w:rsid w:val="00120E55"/>
    <w:rsid w:val="0012220C"/>
    <w:rsid w:val="00122327"/>
    <w:rsid w:val="00125835"/>
    <w:rsid w:val="00126630"/>
    <w:rsid w:val="00126BEB"/>
    <w:rsid w:val="00126C54"/>
    <w:rsid w:val="0012704E"/>
    <w:rsid w:val="00127387"/>
    <w:rsid w:val="00127493"/>
    <w:rsid w:val="00130928"/>
    <w:rsid w:val="00130983"/>
    <w:rsid w:val="00130BEC"/>
    <w:rsid w:val="00130DB0"/>
    <w:rsid w:val="00131982"/>
    <w:rsid w:val="00131F18"/>
    <w:rsid w:val="00131F37"/>
    <w:rsid w:val="0013362B"/>
    <w:rsid w:val="00133635"/>
    <w:rsid w:val="00133D9F"/>
    <w:rsid w:val="0013447C"/>
    <w:rsid w:val="00134583"/>
    <w:rsid w:val="00134E8C"/>
    <w:rsid w:val="001352EB"/>
    <w:rsid w:val="0013549B"/>
    <w:rsid w:val="00136531"/>
    <w:rsid w:val="00136A0D"/>
    <w:rsid w:val="00136EA3"/>
    <w:rsid w:val="00137575"/>
    <w:rsid w:val="00137808"/>
    <w:rsid w:val="00137CE2"/>
    <w:rsid w:val="00140323"/>
    <w:rsid w:val="0014036C"/>
    <w:rsid w:val="00140503"/>
    <w:rsid w:val="00140917"/>
    <w:rsid w:val="00141500"/>
    <w:rsid w:val="00141B3D"/>
    <w:rsid w:val="00142120"/>
    <w:rsid w:val="0014346D"/>
    <w:rsid w:val="00144231"/>
    <w:rsid w:val="001444BA"/>
    <w:rsid w:val="0014479F"/>
    <w:rsid w:val="001447DB"/>
    <w:rsid w:val="00144D19"/>
    <w:rsid w:val="00144DB0"/>
    <w:rsid w:val="00145470"/>
    <w:rsid w:val="00145838"/>
    <w:rsid w:val="0014636D"/>
    <w:rsid w:val="0014781D"/>
    <w:rsid w:val="00147BCA"/>
    <w:rsid w:val="00150434"/>
    <w:rsid w:val="0015084F"/>
    <w:rsid w:val="00151AAF"/>
    <w:rsid w:val="00152187"/>
    <w:rsid w:val="0015344E"/>
    <w:rsid w:val="001549A1"/>
    <w:rsid w:val="00154A79"/>
    <w:rsid w:val="001554E5"/>
    <w:rsid w:val="00155721"/>
    <w:rsid w:val="00155729"/>
    <w:rsid w:val="00155755"/>
    <w:rsid w:val="00156115"/>
    <w:rsid w:val="001579E5"/>
    <w:rsid w:val="00157E2B"/>
    <w:rsid w:val="001607A6"/>
    <w:rsid w:val="00160801"/>
    <w:rsid w:val="00161C0F"/>
    <w:rsid w:val="00163AFD"/>
    <w:rsid w:val="00163ED0"/>
    <w:rsid w:val="00164320"/>
    <w:rsid w:val="0016503F"/>
    <w:rsid w:val="00165131"/>
    <w:rsid w:val="0016674F"/>
    <w:rsid w:val="0016697C"/>
    <w:rsid w:val="00166B91"/>
    <w:rsid w:val="00167CA0"/>
    <w:rsid w:val="00170418"/>
    <w:rsid w:val="00170DF1"/>
    <w:rsid w:val="00171019"/>
    <w:rsid w:val="0017120D"/>
    <w:rsid w:val="001714F6"/>
    <w:rsid w:val="0017263F"/>
    <w:rsid w:val="00172A93"/>
    <w:rsid w:val="00175260"/>
    <w:rsid w:val="0017536B"/>
    <w:rsid w:val="00175823"/>
    <w:rsid w:val="0017597F"/>
    <w:rsid w:val="00175CD1"/>
    <w:rsid w:val="00175E26"/>
    <w:rsid w:val="00176168"/>
    <w:rsid w:val="0017650C"/>
    <w:rsid w:val="00176564"/>
    <w:rsid w:val="001766E3"/>
    <w:rsid w:val="00176CC6"/>
    <w:rsid w:val="00177028"/>
    <w:rsid w:val="00177158"/>
    <w:rsid w:val="00177B47"/>
    <w:rsid w:val="00181C57"/>
    <w:rsid w:val="0018206C"/>
    <w:rsid w:val="00182A2A"/>
    <w:rsid w:val="00182ECA"/>
    <w:rsid w:val="001831DB"/>
    <w:rsid w:val="00183E8C"/>
    <w:rsid w:val="0018421F"/>
    <w:rsid w:val="001843DE"/>
    <w:rsid w:val="00184FD4"/>
    <w:rsid w:val="00185DA5"/>
    <w:rsid w:val="0018609B"/>
    <w:rsid w:val="00186B04"/>
    <w:rsid w:val="00186F1E"/>
    <w:rsid w:val="00187DD3"/>
    <w:rsid w:val="001902FB"/>
    <w:rsid w:val="00190836"/>
    <w:rsid w:val="00190B4F"/>
    <w:rsid w:val="00190DD1"/>
    <w:rsid w:val="001916A1"/>
    <w:rsid w:val="001918EC"/>
    <w:rsid w:val="00191E06"/>
    <w:rsid w:val="00191F29"/>
    <w:rsid w:val="0019344F"/>
    <w:rsid w:val="00193460"/>
    <w:rsid w:val="0019354A"/>
    <w:rsid w:val="00193832"/>
    <w:rsid w:val="00193930"/>
    <w:rsid w:val="001944E9"/>
    <w:rsid w:val="00194B36"/>
    <w:rsid w:val="00194F66"/>
    <w:rsid w:val="001963A5"/>
    <w:rsid w:val="00196F1E"/>
    <w:rsid w:val="00196FBA"/>
    <w:rsid w:val="00197CFF"/>
    <w:rsid w:val="00197FCA"/>
    <w:rsid w:val="001A0211"/>
    <w:rsid w:val="001A08E3"/>
    <w:rsid w:val="001A0C9B"/>
    <w:rsid w:val="001A0FA8"/>
    <w:rsid w:val="001A1869"/>
    <w:rsid w:val="001A1C55"/>
    <w:rsid w:val="001A1FC3"/>
    <w:rsid w:val="001A24CB"/>
    <w:rsid w:val="001A27DB"/>
    <w:rsid w:val="001A529D"/>
    <w:rsid w:val="001A6852"/>
    <w:rsid w:val="001A6D93"/>
    <w:rsid w:val="001A7AB7"/>
    <w:rsid w:val="001B02A8"/>
    <w:rsid w:val="001B054B"/>
    <w:rsid w:val="001B19C6"/>
    <w:rsid w:val="001B2609"/>
    <w:rsid w:val="001B286A"/>
    <w:rsid w:val="001B2BA6"/>
    <w:rsid w:val="001B2D02"/>
    <w:rsid w:val="001B300F"/>
    <w:rsid w:val="001B3647"/>
    <w:rsid w:val="001B3A1F"/>
    <w:rsid w:val="001B3F2A"/>
    <w:rsid w:val="001B4DE7"/>
    <w:rsid w:val="001B659A"/>
    <w:rsid w:val="001B72FF"/>
    <w:rsid w:val="001B7708"/>
    <w:rsid w:val="001B77FA"/>
    <w:rsid w:val="001B79BE"/>
    <w:rsid w:val="001B7E07"/>
    <w:rsid w:val="001C0ABE"/>
    <w:rsid w:val="001C0B62"/>
    <w:rsid w:val="001C0D92"/>
    <w:rsid w:val="001C19F4"/>
    <w:rsid w:val="001C1CEB"/>
    <w:rsid w:val="001C1FFC"/>
    <w:rsid w:val="001C20B0"/>
    <w:rsid w:val="001C264C"/>
    <w:rsid w:val="001C2981"/>
    <w:rsid w:val="001C38B5"/>
    <w:rsid w:val="001C3BFA"/>
    <w:rsid w:val="001C4250"/>
    <w:rsid w:val="001C4A77"/>
    <w:rsid w:val="001C4AA3"/>
    <w:rsid w:val="001C4D9E"/>
    <w:rsid w:val="001C50F1"/>
    <w:rsid w:val="001C510A"/>
    <w:rsid w:val="001C5852"/>
    <w:rsid w:val="001C6856"/>
    <w:rsid w:val="001C69A5"/>
    <w:rsid w:val="001C7B6D"/>
    <w:rsid w:val="001D040A"/>
    <w:rsid w:val="001D0B67"/>
    <w:rsid w:val="001D19EB"/>
    <w:rsid w:val="001D201F"/>
    <w:rsid w:val="001D236F"/>
    <w:rsid w:val="001D3C4F"/>
    <w:rsid w:val="001D4556"/>
    <w:rsid w:val="001D45F0"/>
    <w:rsid w:val="001D4B77"/>
    <w:rsid w:val="001D5219"/>
    <w:rsid w:val="001D549B"/>
    <w:rsid w:val="001D6D46"/>
    <w:rsid w:val="001D6F62"/>
    <w:rsid w:val="001E05F9"/>
    <w:rsid w:val="001E0E7C"/>
    <w:rsid w:val="001E1335"/>
    <w:rsid w:val="001E1D16"/>
    <w:rsid w:val="001E227F"/>
    <w:rsid w:val="001E2610"/>
    <w:rsid w:val="001E4A33"/>
    <w:rsid w:val="001E5C27"/>
    <w:rsid w:val="001E6CAF"/>
    <w:rsid w:val="001E7117"/>
    <w:rsid w:val="001E789A"/>
    <w:rsid w:val="001F0B56"/>
    <w:rsid w:val="001F0EEB"/>
    <w:rsid w:val="001F110E"/>
    <w:rsid w:val="001F223A"/>
    <w:rsid w:val="001F2A2F"/>
    <w:rsid w:val="001F2BEB"/>
    <w:rsid w:val="001F371A"/>
    <w:rsid w:val="001F3853"/>
    <w:rsid w:val="001F5A94"/>
    <w:rsid w:val="001F602B"/>
    <w:rsid w:val="001F6AC8"/>
    <w:rsid w:val="001F7712"/>
    <w:rsid w:val="001F78DF"/>
    <w:rsid w:val="001F7A4D"/>
    <w:rsid w:val="001F7F4B"/>
    <w:rsid w:val="001F7F4C"/>
    <w:rsid w:val="00200540"/>
    <w:rsid w:val="0020057B"/>
    <w:rsid w:val="00200E75"/>
    <w:rsid w:val="002014DE"/>
    <w:rsid w:val="0020189B"/>
    <w:rsid w:val="002023F8"/>
    <w:rsid w:val="002024A8"/>
    <w:rsid w:val="002024E9"/>
    <w:rsid w:val="0020269F"/>
    <w:rsid w:val="002031DC"/>
    <w:rsid w:val="002031F9"/>
    <w:rsid w:val="00203741"/>
    <w:rsid w:val="002037D5"/>
    <w:rsid w:val="00203CCF"/>
    <w:rsid w:val="00204DD2"/>
    <w:rsid w:val="00204F81"/>
    <w:rsid w:val="002050E1"/>
    <w:rsid w:val="00205BC8"/>
    <w:rsid w:val="00205FB0"/>
    <w:rsid w:val="00206F90"/>
    <w:rsid w:val="00207500"/>
    <w:rsid w:val="00207B24"/>
    <w:rsid w:val="0021000D"/>
    <w:rsid w:val="002110FD"/>
    <w:rsid w:val="002115E5"/>
    <w:rsid w:val="00211D67"/>
    <w:rsid w:val="00212B03"/>
    <w:rsid w:val="002134AD"/>
    <w:rsid w:val="002142B8"/>
    <w:rsid w:val="00214394"/>
    <w:rsid w:val="00214410"/>
    <w:rsid w:val="00214BE4"/>
    <w:rsid w:val="00215828"/>
    <w:rsid w:val="002158CA"/>
    <w:rsid w:val="00215B56"/>
    <w:rsid w:val="00215C10"/>
    <w:rsid w:val="00215C2D"/>
    <w:rsid w:val="0021619E"/>
    <w:rsid w:val="00216B49"/>
    <w:rsid w:val="00216DC7"/>
    <w:rsid w:val="00217576"/>
    <w:rsid w:val="00217AD9"/>
    <w:rsid w:val="00217FA8"/>
    <w:rsid w:val="00220713"/>
    <w:rsid w:val="00220815"/>
    <w:rsid w:val="00220F59"/>
    <w:rsid w:val="002211D0"/>
    <w:rsid w:val="00221A06"/>
    <w:rsid w:val="00221A66"/>
    <w:rsid w:val="00222EC1"/>
    <w:rsid w:val="0022388F"/>
    <w:rsid w:val="0022399E"/>
    <w:rsid w:val="00224AF6"/>
    <w:rsid w:val="002252C4"/>
    <w:rsid w:val="0022541A"/>
    <w:rsid w:val="00226221"/>
    <w:rsid w:val="002267D2"/>
    <w:rsid w:val="00226A7C"/>
    <w:rsid w:val="00227E09"/>
    <w:rsid w:val="002313CF"/>
    <w:rsid w:val="0023140A"/>
    <w:rsid w:val="0023183A"/>
    <w:rsid w:val="0023183E"/>
    <w:rsid w:val="00232B04"/>
    <w:rsid w:val="00232F88"/>
    <w:rsid w:val="002330FC"/>
    <w:rsid w:val="00233227"/>
    <w:rsid w:val="0023377C"/>
    <w:rsid w:val="00233860"/>
    <w:rsid w:val="00233BB3"/>
    <w:rsid w:val="002340B7"/>
    <w:rsid w:val="00234A23"/>
    <w:rsid w:val="00235138"/>
    <w:rsid w:val="002356DD"/>
    <w:rsid w:val="00236BDA"/>
    <w:rsid w:val="00237E1D"/>
    <w:rsid w:val="0024002E"/>
    <w:rsid w:val="00241116"/>
    <w:rsid w:val="002411EE"/>
    <w:rsid w:val="002434ED"/>
    <w:rsid w:val="00243CF0"/>
    <w:rsid w:val="00243E36"/>
    <w:rsid w:val="00244393"/>
    <w:rsid w:val="0024540B"/>
    <w:rsid w:val="00245EF4"/>
    <w:rsid w:val="00245F43"/>
    <w:rsid w:val="002469D3"/>
    <w:rsid w:val="00246B00"/>
    <w:rsid w:val="00247AB0"/>
    <w:rsid w:val="00250E11"/>
    <w:rsid w:val="00250F3F"/>
    <w:rsid w:val="00251383"/>
    <w:rsid w:val="00251568"/>
    <w:rsid w:val="00251754"/>
    <w:rsid w:val="002522C9"/>
    <w:rsid w:val="00252A21"/>
    <w:rsid w:val="00253E4F"/>
    <w:rsid w:val="002542E4"/>
    <w:rsid w:val="0025540F"/>
    <w:rsid w:val="00256502"/>
    <w:rsid w:val="00256B6E"/>
    <w:rsid w:val="00257469"/>
    <w:rsid w:val="00257E7F"/>
    <w:rsid w:val="002602E5"/>
    <w:rsid w:val="00261053"/>
    <w:rsid w:val="002619A4"/>
    <w:rsid w:val="00261D79"/>
    <w:rsid w:val="0026220E"/>
    <w:rsid w:val="00262416"/>
    <w:rsid w:val="002624E5"/>
    <w:rsid w:val="00262FDE"/>
    <w:rsid w:val="00263629"/>
    <w:rsid w:val="00263E94"/>
    <w:rsid w:val="00263F28"/>
    <w:rsid w:val="002641D0"/>
    <w:rsid w:val="00265151"/>
    <w:rsid w:val="002663DC"/>
    <w:rsid w:val="00266A3B"/>
    <w:rsid w:val="0026785C"/>
    <w:rsid w:val="0027010A"/>
    <w:rsid w:val="002715EE"/>
    <w:rsid w:val="00272583"/>
    <w:rsid w:val="00273005"/>
    <w:rsid w:val="002733E5"/>
    <w:rsid w:val="00274649"/>
    <w:rsid w:val="0027499E"/>
    <w:rsid w:val="0027540A"/>
    <w:rsid w:val="00275E25"/>
    <w:rsid w:val="002764E0"/>
    <w:rsid w:val="00276930"/>
    <w:rsid w:val="002769BD"/>
    <w:rsid w:val="0028009F"/>
    <w:rsid w:val="00280912"/>
    <w:rsid w:val="002809EA"/>
    <w:rsid w:val="00280BE8"/>
    <w:rsid w:val="00280D5C"/>
    <w:rsid w:val="00280ED8"/>
    <w:rsid w:val="002812B8"/>
    <w:rsid w:val="00282B61"/>
    <w:rsid w:val="00283DCE"/>
    <w:rsid w:val="002845B9"/>
    <w:rsid w:val="002846C2"/>
    <w:rsid w:val="00284962"/>
    <w:rsid w:val="00284C67"/>
    <w:rsid w:val="00285CE0"/>
    <w:rsid w:val="00286280"/>
    <w:rsid w:val="00286318"/>
    <w:rsid w:val="00286CAE"/>
    <w:rsid w:val="00287414"/>
    <w:rsid w:val="002874BC"/>
    <w:rsid w:val="00287B0E"/>
    <w:rsid w:val="002901A7"/>
    <w:rsid w:val="00290D7E"/>
    <w:rsid w:val="002915C8"/>
    <w:rsid w:val="00293914"/>
    <w:rsid w:val="00293C9D"/>
    <w:rsid w:val="00293E1F"/>
    <w:rsid w:val="00295327"/>
    <w:rsid w:val="0029549C"/>
    <w:rsid w:val="002954B9"/>
    <w:rsid w:val="00295E76"/>
    <w:rsid w:val="00296554"/>
    <w:rsid w:val="00296829"/>
    <w:rsid w:val="002977EC"/>
    <w:rsid w:val="002A07A1"/>
    <w:rsid w:val="002A0B53"/>
    <w:rsid w:val="002A0EEF"/>
    <w:rsid w:val="002A173F"/>
    <w:rsid w:val="002A266B"/>
    <w:rsid w:val="002A28C9"/>
    <w:rsid w:val="002A2A7F"/>
    <w:rsid w:val="002A351C"/>
    <w:rsid w:val="002A478B"/>
    <w:rsid w:val="002A62C7"/>
    <w:rsid w:val="002A6949"/>
    <w:rsid w:val="002A6A34"/>
    <w:rsid w:val="002B1A65"/>
    <w:rsid w:val="002B1D88"/>
    <w:rsid w:val="002B2300"/>
    <w:rsid w:val="002B2316"/>
    <w:rsid w:val="002B2DF7"/>
    <w:rsid w:val="002B325E"/>
    <w:rsid w:val="002B33FF"/>
    <w:rsid w:val="002B3A28"/>
    <w:rsid w:val="002B3F78"/>
    <w:rsid w:val="002B4037"/>
    <w:rsid w:val="002B48D5"/>
    <w:rsid w:val="002B4CD2"/>
    <w:rsid w:val="002B5128"/>
    <w:rsid w:val="002B51C5"/>
    <w:rsid w:val="002B7200"/>
    <w:rsid w:val="002B7889"/>
    <w:rsid w:val="002B7B60"/>
    <w:rsid w:val="002B7D95"/>
    <w:rsid w:val="002C01B5"/>
    <w:rsid w:val="002C0CBD"/>
    <w:rsid w:val="002C0E0E"/>
    <w:rsid w:val="002C1D46"/>
    <w:rsid w:val="002C2111"/>
    <w:rsid w:val="002C2A0D"/>
    <w:rsid w:val="002C31A8"/>
    <w:rsid w:val="002C3BF4"/>
    <w:rsid w:val="002C4653"/>
    <w:rsid w:val="002C4ACC"/>
    <w:rsid w:val="002C5D23"/>
    <w:rsid w:val="002C6A6C"/>
    <w:rsid w:val="002C6CE6"/>
    <w:rsid w:val="002C6E45"/>
    <w:rsid w:val="002C6E9D"/>
    <w:rsid w:val="002C73DB"/>
    <w:rsid w:val="002C749F"/>
    <w:rsid w:val="002D006F"/>
    <w:rsid w:val="002D06D2"/>
    <w:rsid w:val="002D0983"/>
    <w:rsid w:val="002D185A"/>
    <w:rsid w:val="002D1F11"/>
    <w:rsid w:val="002D2288"/>
    <w:rsid w:val="002D2636"/>
    <w:rsid w:val="002D2E51"/>
    <w:rsid w:val="002D37B0"/>
    <w:rsid w:val="002D43AD"/>
    <w:rsid w:val="002D51E5"/>
    <w:rsid w:val="002D5AE6"/>
    <w:rsid w:val="002D60B4"/>
    <w:rsid w:val="002D7444"/>
    <w:rsid w:val="002D7FB6"/>
    <w:rsid w:val="002E1BC5"/>
    <w:rsid w:val="002E42C7"/>
    <w:rsid w:val="002E49B6"/>
    <w:rsid w:val="002E5AE1"/>
    <w:rsid w:val="002E5D57"/>
    <w:rsid w:val="002E6137"/>
    <w:rsid w:val="002E61A3"/>
    <w:rsid w:val="002E76B6"/>
    <w:rsid w:val="002E7A58"/>
    <w:rsid w:val="002E7A78"/>
    <w:rsid w:val="002F059B"/>
    <w:rsid w:val="002F12D7"/>
    <w:rsid w:val="002F13B7"/>
    <w:rsid w:val="002F1561"/>
    <w:rsid w:val="002F24B2"/>
    <w:rsid w:val="002F25A5"/>
    <w:rsid w:val="002F2ED5"/>
    <w:rsid w:val="002F3442"/>
    <w:rsid w:val="002F3A74"/>
    <w:rsid w:val="002F41CD"/>
    <w:rsid w:val="002F546A"/>
    <w:rsid w:val="002F5494"/>
    <w:rsid w:val="002F56C1"/>
    <w:rsid w:val="002F5B0B"/>
    <w:rsid w:val="002F5B13"/>
    <w:rsid w:val="002F6AC3"/>
    <w:rsid w:val="002F74BD"/>
    <w:rsid w:val="00300924"/>
    <w:rsid w:val="00300C1C"/>
    <w:rsid w:val="00300EA6"/>
    <w:rsid w:val="00303979"/>
    <w:rsid w:val="00304D46"/>
    <w:rsid w:val="00305777"/>
    <w:rsid w:val="0030596E"/>
    <w:rsid w:val="00305E7F"/>
    <w:rsid w:val="00305E96"/>
    <w:rsid w:val="003060D9"/>
    <w:rsid w:val="00306A57"/>
    <w:rsid w:val="003073AB"/>
    <w:rsid w:val="003073C3"/>
    <w:rsid w:val="003074AB"/>
    <w:rsid w:val="00307D89"/>
    <w:rsid w:val="00307F10"/>
    <w:rsid w:val="00310428"/>
    <w:rsid w:val="003106D7"/>
    <w:rsid w:val="0031071A"/>
    <w:rsid w:val="003107E1"/>
    <w:rsid w:val="00310992"/>
    <w:rsid w:val="00310B5D"/>
    <w:rsid w:val="00310B89"/>
    <w:rsid w:val="003114D3"/>
    <w:rsid w:val="00311759"/>
    <w:rsid w:val="00311946"/>
    <w:rsid w:val="003119B6"/>
    <w:rsid w:val="003127B4"/>
    <w:rsid w:val="00313941"/>
    <w:rsid w:val="00313A46"/>
    <w:rsid w:val="0031538C"/>
    <w:rsid w:val="00315539"/>
    <w:rsid w:val="0031582A"/>
    <w:rsid w:val="00316937"/>
    <w:rsid w:val="00316A35"/>
    <w:rsid w:val="00316F90"/>
    <w:rsid w:val="00317579"/>
    <w:rsid w:val="003178FB"/>
    <w:rsid w:val="00320A08"/>
    <w:rsid w:val="00320CA2"/>
    <w:rsid w:val="00320CAA"/>
    <w:rsid w:val="0032120A"/>
    <w:rsid w:val="00321C7C"/>
    <w:rsid w:val="00322963"/>
    <w:rsid w:val="00322DF3"/>
    <w:rsid w:val="00323637"/>
    <w:rsid w:val="00323C0E"/>
    <w:rsid w:val="00323FBB"/>
    <w:rsid w:val="00324666"/>
    <w:rsid w:val="00324E8A"/>
    <w:rsid w:val="00324EC9"/>
    <w:rsid w:val="00325E35"/>
    <w:rsid w:val="00326D1B"/>
    <w:rsid w:val="00326EA1"/>
    <w:rsid w:val="00327D26"/>
    <w:rsid w:val="00327DBC"/>
    <w:rsid w:val="0033024E"/>
    <w:rsid w:val="00331786"/>
    <w:rsid w:val="00331D87"/>
    <w:rsid w:val="00332095"/>
    <w:rsid w:val="0033246B"/>
    <w:rsid w:val="00332850"/>
    <w:rsid w:val="00332B80"/>
    <w:rsid w:val="00332D02"/>
    <w:rsid w:val="00332DEB"/>
    <w:rsid w:val="00334478"/>
    <w:rsid w:val="003346B4"/>
    <w:rsid w:val="00334AE6"/>
    <w:rsid w:val="00335107"/>
    <w:rsid w:val="00335249"/>
    <w:rsid w:val="00335BF4"/>
    <w:rsid w:val="00335F85"/>
    <w:rsid w:val="00335FCB"/>
    <w:rsid w:val="003360FA"/>
    <w:rsid w:val="003365D0"/>
    <w:rsid w:val="00336CCE"/>
    <w:rsid w:val="00337D54"/>
    <w:rsid w:val="00340558"/>
    <w:rsid w:val="00340E89"/>
    <w:rsid w:val="0034110C"/>
    <w:rsid w:val="00341CC6"/>
    <w:rsid w:val="00342FA4"/>
    <w:rsid w:val="003431AD"/>
    <w:rsid w:val="003439AB"/>
    <w:rsid w:val="00344195"/>
    <w:rsid w:val="00344667"/>
    <w:rsid w:val="00344C38"/>
    <w:rsid w:val="0034525B"/>
    <w:rsid w:val="003453E4"/>
    <w:rsid w:val="003458AD"/>
    <w:rsid w:val="00345916"/>
    <w:rsid w:val="00345A97"/>
    <w:rsid w:val="00346150"/>
    <w:rsid w:val="00346FFA"/>
    <w:rsid w:val="00350719"/>
    <w:rsid w:val="00351ABA"/>
    <w:rsid w:val="0035236E"/>
    <w:rsid w:val="003528F2"/>
    <w:rsid w:val="003536F7"/>
    <w:rsid w:val="00353B87"/>
    <w:rsid w:val="00353CB8"/>
    <w:rsid w:val="00354695"/>
    <w:rsid w:val="0035549B"/>
    <w:rsid w:val="00355563"/>
    <w:rsid w:val="00356B87"/>
    <w:rsid w:val="00356F62"/>
    <w:rsid w:val="00357CB3"/>
    <w:rsid w:val="003609F6"/>
    <w:rsid w:val="00360F0B"/>
    <w:rsid w:val="0036100C"/>
    <w:rsid w:val="00361882"/>
    <w:rsid w:val="00361CBE"/>
    <w:rsid w:val="0036350D"/>
    <w:rsid w:val="003635EA"/>
    <w:rsid w:val="003635EC"/>
    <w:rsid w:val="00363D47"/>
    <w:rsid w:val="0036429F"/>
    <w:rsid w:val="003645AD"/>
    <w:rsid w:val="003649EF"/>
    <w:rsid w:val="00365078"/>
    <w:rsid w:val="00365E7D"/>
    <w:rsid w:val="003665BC"/>
    <w:rsid w:val="00366C43"/>
    <w:rsid w:val="00367D8B"/>
    <w:rsid w:val="00367FD9"/>
    <w:rsid w:val="00371419"/>
    <w:rsid w:val="0037225F"/>
    <w:rsid w:val="00373E8F"/>
    <w:rsid w:val="00374119"/>
    <w:rsid w:val="00374B59"/>
    <w:rsid w:val="00374CA0"/>
    <w:rsid w:val="003755C8"/>
    <w:rsid w:val="00375687"/>
    <w:rsid w:val="003757C4"/>
    <w:rsid w:val="003759FC"/>
    <w:rsid w:val="00375C20"/>
    <w:rsid w:val="00375F6B"/>
    <w:rsid w:val="00376316"/>
    <w:rsid w:val="00377EAE"/>
    <w:rsid w:val="00380A75"/>
    <w:rsid w:val="00380AE0"/>
    <w:rsid w:val="00381078"/>
    <w:rsid w:val="00381DBD"/>
    <w:rsid w:val="00382C8A"/>
    <w:rsid w:val="00383324"/>
    <w:rsid w:val="00383465"/>
    <w:rsid w:val="00383967"/>
    <w:rsid w:val="00384FD5"/>
    <w:rsid w:val="00385B6A"/>
    <w:rsid w:val="00385CA8"/>
    <w:rsid w:val="00387357"/>
    <w:rsid w:val="00387527"/>
    <w:rsid w:val="00387A75"/>
    <w:rsid w:val="00387FB2"/>
    <w:rsid w:val="003904DC"/>
    <w:rsid w:val="003904FD"/>
    <w:rsid w:val="00390545"/>
    <w:rsid w:val="003906A8"/>
    <w:rsid w:val="00390F34"/>
    <w:rsid w:val="003914DB"/>
    <w:rsid w:val="00391694"/>
    <w:rsid w:val="003916DE"/>
    <w:rsid w:val="00391BFC"/>
    <w:rsid w:val="00391F83"/>
    <w:rsid w:val="003920AB"/>
    <w:rsid w:val="003923AF"/>
    <w:rsid w:val="0039246C"/>
    <w:rsid w:val="00393863"/>
    <w:rsid w:val="00394125"/>
    <w:rsid w:val="00394254"/>
    <w:rsid w:val="0039465F"/>
    <w:rsid w:val="00394B73"/>
    <w:rsid w:val="003976DE"/>
    <w:rsid w:val="00397B4F"/>
    <w:rsid w:val="003A0394"/>
    <w:rsid w:val="003A04BA"/>
    <w:rsid w:val="003A0B80"/>
    <w:rsid w:val="003A247D"/>
    <w:rsid w:val="003A2A3C"/>
    <w:rsid w:val="003A3172"/>
    <w:rsid w:val="003A326E"/>
    <w:rsid w:val="003A3B17"/>
    <w:rsid w:val="003A4B66"/>
    <w:rsid w:val="003A5098"/>
    <w:rsid w:val="003A5147"/>
    <w:rsid w:val="003A5331"/>
    <w:rsid w:val="003A5971"/>
    <w:rsid w:val="003A641F"/>
    <w:rsid w:val="003A65B9"/>
    <w:rsid w:val="003A71B0"/>
    <w:rsid w:val="003B0143"/>
    <w:rsid w:val="003B1B24"/>
    <w:rsid w:val="003B30BA"/>
    <w:rsid w:val="003B312F"/>
    <w:rsid w:val="003B46BA"/>
    <w:rsid w:val="003B4C3C"/>
    <w:rsid w:val="003C039B"/>
    <w:rsid w:val="003C05FA"/>
    <w:rsid w:val="003C08F8"/>
    <w:rsid w:val="003C14E0"/>
    <w:rsid w:val="003C1669"/>
    <w:rsid w:val="003C18A0"/>
    <w:rsid w:val="003C1902"/>
    <w:rsid w:val="003C1EF6"/>
    <w:rsid w:val="003C204A"/>
    <w:rsid w:val="003C2BFB"/>
    <w:rsid w:val="003C3440"/>
    <w:rsid w:val="003C3BA9"/>
    <w:rsid w:val="003C3CF9"/>
    <w:rsid w:val="003C3E2D"/>
    <w:rsid w:val="003C3FD6"/>
    <w:rsid w:val="003C436B"/>
    <w:rsid w:val="003C4D7A"/>
    <w:rsid w:val="003C4F20"/>
    <w:rsid w:val="003C5109"/>
    <w:rsid w:val="003C5337"/>
    <w:rsid w:val="003C5EEF"/>
    <w:rsid w:val="003C5F92"/>
    <w:rsid w:val="003C67D3"/>
    <w:rsid w:val="003C6CED"/>
    <w:rsid w:val="003C770D"/>
    <w:rsid w:val="003C7B5F"/>
    <w:rsid w:val="003C7BBE"/>
    <w:rsid w:val="003C7FD8"/>
    <w:rsid w:val="003D0EAB"/>
    <w:rsid w:val="003D0EAE"/>
    <w:rsid w:val="003D0F03"/>
    <w:rsid w:val="003D279E"/>
    <w:rsid w:val="003D2FD6"/>
    <w:rsid w:val="003D329F"/>
    <w:rsid w:val="003D37EE"/>
    <w:rsid w:val="003D3DFC"/>
    <w:rsid w:val="003D4C7B"/>
    <w:rsid w:val="003D6F2E"/>
    <w:rsid w:val="003D7771"/>
    <w:rsid w:val="003D794D"/>
    <w:rsid w:val="003D7A8C"/>
    <w:rsid w:val="003D7C00"/>
    <w:rsid w:val="003D7E27"/>
    <w:rsid w:val="003E0EB4"/>
    <w:rsid w:val="003E1662"/>
    <w:rsid w:val="003E3071"/>
    <w:rsid w:val="003E3078"/>
    <w:rsid w:val="003E38C6"/>
    <w:rsid w:val="003E423D"/>
    <w:rsid w:val="003E4D48"/>
    <w:rsid w:val="003E56E5"/>
    <w:rsid w:val="003E5BAE"/>
    <w:rsid w:val="003E6BA5"/>
    <w:rsid w:val="003E7051"/>
    <w:rsid w:val="003E7237"/>
    <w:rsid w:val="003E74FE"/>
    <w:rsid w:val="003E7E60"/>
    <w:rsid w:val="003F00D4"/>
    <w:rsid w:val="003F00E8"/>
    <w:rsid w:val="003F0171"/>
    <w:rsid w:val="003F01E9"/>
    <w:rsid w:val="003F0592"/>
    <w:rsid w:val="003F08BB"/>
    <w:rsid w:val="003F0DDC"/>
    <w:rsid w:val="003F2209"/>
    <w:rsid w:val="003F28DB"/>
    <w:rsid w:val="003F2C3F"/>
    <w:rsid w:val="003F381E"/>
    <w:rsid w:val="003F3D39"/>
    <w:rsid w:val="003F3F1B"/>
    <w:rsid w:val="003F500E"/>
    <w:rsid w:val="003F5337"/>
    <w:rsid w:val="003F5621"/>
    <w:rsid w:val="003F646A"/>
    <w:rsid w:val="003F6761"/>
    <w:rsid w:val="003F6A0A"/>
    <w:rsid w:val="003F6A36"/>
    <w:rsid w:val="003F7ECD"/>
    <w:rsid w:val="00400D8D"/>
    <w:rsid w:val="00400FEE"/>
    <w:rsid w:val="00401032"/>
    <w:rsid w:val="00401C1B"/>
    <w:rsid w:val="004020EA"/>
    <w:rsid w:val="00402156"/>
    <w:rsid w:val="004024F5"/>
    <w:rsid w:val="00402D79"/>
    <w:rsid w:val="00402DE1"/>
    <w:rsid w:val="0040369D"/>
    <w:rsid w:val="004038D8"/>
    <w:rsid w:val="00403D8B"/>
    <w:rsid w:val="00403DDD"/>
    <w:rsid w:val="0040582C"/>
    <w:rsid w:val="004058F1"/>
    <w:rsid w:val="00405F00"/>
    <w:rsid w:val="00407E7D"/>
    <w:rsid w:val="00410214"/>
    <w:rsid w:val="0041040B"/>
    <w:rsid w:val="0041076A"/>
    <w:rsid w:val="0041283D"/>
    <w:rsid w:val="004130B9"/>
    <w:rsid w:val="00413899"/>
    <w:rsid w:val="00413AB4"/>
    <w:rsid w:val="00413DAB"/>
    <w:rsid w:val="00415EBC"/>
    <w:rsid w:val="00417182"/>
    <w:rsid w:val="00417467"/>
    <w:rsid w:val="00417468"/>
    <w:rsid w:val="0042037B"/>
    <w:rsid w:val="00420597"/>
    <w:rsid w:val="00420814"/>
    <w:rsid w:val="00421373"/>
    <w:rsid w:val="00421AE6"/>
    <w:rsid w:val="00421FB7"/>
    <w:rsid w:val="004220C3"/>
    <w:rsid w:val="00422512"/>
    <w:rsid w:val="00422D8F"/>
    <w:rsid w:val="00422D96"/>
    <w:rsid w:val="00422FD4"/>
    <w:rsid w:val="00423F44"/>
    <w:rsid w:val="004240E2"/>
    <w:rsid w:val="00424568"/>
    <w:rsid w:val="00424A75"/>
    <w:rsid w:val="004251D4"/>
    <w:rsid w:val="004261F4"/>
    <w:rsid w:val="00426AD1"/>
    <w:rsid w:val="0042763B"/>
    <w:rsid w:val="00427B1E"/>
    <w:rsid w:val="00427B79"/>
    <w:rsid w:val="00427D1C"/>
    <w:rsid w:val="00427D2C"/>
    <w:rsid w:val="0043024C"/>
    <w:rsid w:val="00430FCF"/>
    <w:rsid w:val="004319A9"/>
    <w:rsid w:val="00431A0D"/>
    <w:rsid w:val="004321C9"/>
    <w:rsid w:val="00432D8E"/>
    <w:rsid w:val="00432DF6"/>
    <w:rsid w:val="00433887"/>
    <w:rsid w:val="004338A0"/>
    <w:rsid w:val="00433FEC"/>
    <w:rsid w:val="00433FF7"/>
    <w:rsid w:val="00434D6D"/>
    <w:rsid w:val="004358FD"/>
    <w:rsid w:val="004359DD"/>
    <w:rsid w:val="00436706"/>
    <w:rsid w:val="004367EC"/>
    <w:rsid w:val="00436F96"/>
    <w:rsid w:val="004371A0"/>
    <w:rsid w:val="004371CE"/>
    <w:rsid w:val="00440657"/>
    <w:rsid w:val="00440CC4"/>
    <w:rsid w:val="00440CFA"/>
    <w:rsid w:val="00440EF5"/>
    <w:rsid w:val="00441CF0"/>
    <w:rsid w:val="00441EEE"/>
    <w:rsid w:val="00442487"/>
    <w:rsid w:val="004437EF"/>
    <w:rsid w:val="00443D38"/>
    <w:rsid w:val="00445EE3"/>
    <w:rsid w:val="00446015"/>
    <w:rsid w:val="00446740"/>
    <w:rsid w:val="00446CEC"/>
    <w:rsid w:val="0044723A"/>
    <w:rsid w:val="00447885"/>
    <w:rsid w:val="00447960"/>
    <w:rsid w:val="00447D5F"/>
    <w:rsid w:val="00447D8E"/>
    <w:rsid w:val="00450E7A"/>
    <w:rsid w:val="0045102B"/>
    <w:rsid w:val="0045135E"/>
    <w:rsid w:val="00451656"/>
    <w:rsid w:val="00451D96"/>
    <w:rsid w:val="00452496"/>
    <w:rsid w:val="00452AD0"/>
    <w:rsid w:val="00453A82"/>
    <w:rsid w:val="00453B5E"/>
    <w:rsid w:val="0045469A"/>
    <w:rsid w:val="00454F47"/>
    <w:rsid w:val="0045573C"/>
    <w:rsid w:val="0045593F"/>
    <w:rsid w:val="00456348"/>
    <w:rsid w:val="004563DB"/>
    <w:rsid w:val="004567AD"/>
    <w:rsid w:val="0045680D"/>
    <w:rsid w:val="00456AF8"/>
    <w:rsid w:val="004571C5"/>
    <w:rsid w:val="00457A79"/>
    <w:rsid w:val="004600C0"/>
    <w:rsid w:val="00460938"/>
    <w:rsid w:val="00460B85"/>
    <w:rsid w:val="00460E65"/>
    <w:rsid w:val="00461D4B"/>
    <w:rsid w:val="00462678"/>
    <w:rsid w:val="00462983"/>
    <w:rsid w:val="004631C3"/>
    <w:rsid w:val="0046343D"/>
    <w:rsid w:val="00463460"/>
    <w:rsid w:val="004645A4"/>
    <w:rsid w:val="0046475E"/>
    <w:rsid w:val="00464D98"/>
    <w:rsid w:val="0046682B"/>
    <w:rsid w:val="00466871"/>
    <w:rsid w:val="00466979"/>
    <w:rsid w:val="0046720F"/>
    <w:rsid w:val="00467611"/>
    <w:rsid w:val="004678DF"/>
    <w:rsid w:val="00470089"/>
    <w:rsid w:val="004702A0"/>
    <w:rsid w:val="00470537"/>
    <w:rsid w:val="00470B15"/>
    <w:rsid w:val="00470D8B"/>
    <w:rsid w:val="00472BCC"/>
    <w:rsid w:val="00472D89"/>
    <w:rsid w:val="00473AA5"/>
    <w:rsid w:val="00474955"/>
    <w:rsid w:val="00475869"/>
    <w:rsid w:val="00475A77"/>
    <w:rsid w:val="00476299"/>
    <w:rsid w:val="004765AC"/>
    <w:rsid w:val="0047670C"/>
    <w:rsid w:val="00476736"/>
    <w:rsid w:val="00476FC9"/>
    <w:rsid w:val="004776A8"/>
    <w:rsid w:val="00477EF1"/>
    <w:rsid w:val="004801EB"/>
    <w:rsid w:val="00480282"/>
    <w:rsid w:val="00482595"/>
    <w:rsid w:val="00482DDC"/>
    <w:rsid w:val="00483261"/>
    <w:rsid w:val="00483E6C"/>
    <w:rsid w:val="00484421"/>
    <w:rsid w:val="00485129"/>
    <w:rsid w:val="00485254"/>
    <w:rsid w:val="0048565B"/>
    <w:rsid w:val="00486335"/>
    <w:rsid w:val="004866A9"/>
    <w:rsid w:val="004867FF"/>
    <w:rsid w:val="0048687E"/>
    <w:rsid w:val="004904CD"/>
    <w:rsid w:val="00490FB8"/>
    <w:rsid w:val="00491018"/>
    <w:rsid w:val="00491220"/>
    <w:rsid w:val="00492774"/>
    <w:rsid w:val="00493E0B"/>
    <w:rsid w:val="00493EFE"/>
    <w:rsid w:val="004958F5"/>
    <w:rsid w:val="004961F3"/>
    <w:rsid w:val="004962AB"/>
    <w:rsid w:val="00496BB4"/>
    <w:rsid w:val="00496CB0"/>
    <w:rsid w:val="00496D7A"/>
    <w:rsid w:val="004979DC"/>
    <w:rsid w:val="00497B6D"/>
    <w:rsid w:val="004A1852"/>
    <w:rsid w:val="004A2136"/>
    <w:rsid w:val="004A229D"/>
    <w:rsid w:val="004A2EBF"/>
    <w:rsid w:val="004A2F3C"/>
    <w:rsid w:val="004A31BC"/>
    <w:rsid w:val="004A3F1A"/>
    <w:rsid w:val="004A3F45"/>
    <w:rsid w:val="004A65D1"/>
    <w:rsid w:val="004A704F"/>
    <w:rsid w:val="004B0550"/>
    <w:rsid w:val="004B0CE7"/>
    <w:rsid w:val="004B1262"/>
    <w:rsid w:val="004B148F"/>
    <w:rsid w:val="004B1743"/>
    <w:rsid w:val="004B19FC"/>
    <w:rsid w:val="004B1AFA"/>
    <w:rsid w:val="004B1D73"/>
    <w:rsid w:val="004B1F26"/>
    <w:rsid w:val="004B22C0"/>
    <w:rsid w:val="004B4626"/>
    <w:rsid w:val="004B5B67"/>
    <w:rsid w:val="004B5DA2"/>
    <w:rsid w:val="004B6047"/>
    <w:rsid w:val="004B6B0A"/>
    <w:rsid w:val="004B6BBA"/>
    <w:rsid w:val="004B7088"/>
    <w:rsid w:val="004B74BC"/>
    <w:rsid w:val="004B761C"/>
    <w:rsid w:val="004B7CF2"/>
    <w:rsid w:val="004B7F3D"/>
    <w:rsid w:val="004C252E"/>
    <w:rsid w:val="004C2A6B"/>
    <w:rsid w:val="004C319C"/>
    <w:rsid w:val="004C3479"/>
    <w:rsid w:val="004C3948"/>
    <w:rsid w:val="004C3E08"/>
    <w:rsid w:val="004C4B79"/>
    <w:rsid w:val="004C4C94"/>
    <w:rsid w:val="004C5491"/>
    <w:rsid w:val="004C5B76"/>
    <w:rsid w:val="004C5C04"/>
    <w:rsid w:val="004C60A0"/>
    <w:rsid w:val="004C6918"/>
    <w:rsid w:val="004C6EC9"/>
    <w:rsid w:val="004D02CD"/>
    <w:rsid w:val="004D0ADC"/>
    <w:rsid w:val="004D0B24"/>
    <w:rsid w:val="004D1243"/>
    <w:rsid w:val="004D1450"/>
    <w:rsid w:val="004D1FA1"/>
    <w:rsid w:val="004D2A8D"/>
    <w:rsid w:val="004D31B3"/>
    <w:rsid w:val="004D3EA5"/>
    <w:rsid w:val="004D4283"/>
    <w:rsid w:val="004D4B90"/>
    <w:rsid w:val="004D5056"/>
    <w:rsid w:val="004D537A"/>
    <w:rsid w:val="004D56A4"/>
    <w:rsid w:val="004D620F"/>
    <w:rsid w:val="004D6247"/>
    <w:rsid w:val="004D6B95"/>
    <w:rsid w:val="004D6DA3"/>
    <w:rsid w:val="004D7E4E"/>
    <w:rsid w:val="004D7F41"/>
    <w:rsid w:val="004E03A2"/>
    <w:rsid w:val="004E043E"/>
    <w:rsid w:val="004E12C9"/>
    <w:rsid w:val="004E1422"/>
    <w:rsid w:val="004E205F"/>
    <w:rsid w:val="004E2730"/>
    <w:rsid w:val="004E2765"/>
    <w:rsid w:val="004E317E"/>
    <w:rsid w:val="004E31B9"/>
    <w:rsid w:val="004E339A"/>
    <w:rsid w:val="004E3906"/>
    <w:rsid w:val="004E3954"/>
    <w:rsid w:val="004E3A9D"/>
    <w:rsid w:val="004E3AD2"/>
    <w:rsid w:val="004E408F"/>
    <w:rsid w:val="004E4A5D"/>
    <w:rsid w:val="004E4E24"/>
    <w:rsid w:val="004E5856"/>
    <w:rsid w:val="004E667F"/>
    <w:rsid w:val="004E7246"/>
    <w:rsid w:val="004E728F"/>
    <w:rsid w:val="004E7B1A"/>
    <w:rsid w:val="004E7DB9"/>
    <w:rsid w:val="004F02BE"/>
    <w:rsid w:val="004F0D22"/>
    <w:rsid w:val="004F10B8"/>
    <w:rsid w:val="004F2330"/>
    <w:rsid w:val="004F2631"/>
    <w:rsid w:val="004F27F6"/>
    <w:rsid w:val="004F2C85"/>
    <w:rsid w:val="004F378E"/>
    <w:rsid w:val="004F3D3A"/>
    <w:rsid w:val="004F4C0F"/>
    <w:rsid w:val="004F53C6"/>
    <w:rsid w:val="004F5789"/>
    <w:rsid w:val="004F5989"/>
    <w:rsid w:val="004F5F81"/>
    <w:rsid w:val="004F619E"/>
    <w:rsid w:val="004F677A"/>
    <w:rsid w:val="004F69DB"/>
    <w:rsid w:val="004F6B87"/>
    <w:rsid w:val="004F6BFE"/>
    <w:rsid w:val="004F7544"/>
    <w:rsid w:val="004F7AE7"/>
    <w:rsid w:val="004F7F01"/>
    <w:rsid w:val="0050015A"/>
    <w:rsid w:val="005006DE"/>
    <w:rsid w:val="00501C2D"/>
    <w:rsid w:val="00502103"/>
    <w:rsid w:val="00502487"/>
    <w:rsid w:val="00502637"/>
    <w:rsid w:val="0050483E"/>
    <w:rsid w:val="00505167"/>
    <w:rsid w:val="005059F2"/>
    <w:rsid w:val="00506053"/>
    <w:rsid w:val="00506F7A"/>
    <w:rsid w:val="005078DF"/>
    <w:rsid w:val="00507EE9"/>
    <w:rsid w:val="00510179"/>
    <w:rsid w:val="005109CB"/>
    <w:rsid w:val="00511018"/>
    <w:rsid w:val="00511140"/>
    <w:rsid w:val="0051157E"/>
    <w:rsid w:val="0051175C"/>
    <w:rsid w:val="00511DED"/>
    <w:rsid w:val="00511F86"/>
    <w:rsid w:val="005122A0"/>
    <w:rsid w:val="00512514"/>
    <w:rsid w:val="00513CFE"/>
    <w:rsid w:val="00513EAF"/>
    <w:rsid w:val="00514C65"/>
    <w:rsid w:val="00514DB6"/>
    <w:rsid w:val="005156F1"/>
    <w:rsid w:val="00515C33"/>
    <w:rsid w:val="00516849"/>
    <w:rsid w:val="00516C82"/>
    <w:rsid w:val="00516E55"/>
    <w:rsid w:val="00516EDB"/>
    <w:rsid w:val="00521071"/>
    <w:rsid w:val="005216BB"/>
    <w:rsid w:val="00521C23"/>
    <w:rsid w:val="0052260A"/>
    <w:rsid w:val="00522EEB"/>
    <w:rsid w:val="00522F21"/>
    <w:rsid w:val="0052384A"/>
    <w:rsid w:val="00523B6A"/>
    <w:rsid w:val="005243DC"/>
    <w:rsid w:val="00524827"/>
    <w:rsid w:val="00524CBF"/>
    <w:rsid w:val="00525F53"/>
    <w:rsid w:val="00525F6C"/>
    <w:rsid w:val="00526373"/>
    <w:rsid w:val="005264D9"/>
    <w:rsid w:val="005273D4"/>
    <w:rsid w:val="005319D8"/>
    <w:rsid w:val="00531AD3"/>
    <w:rsid w:val="00531EE5"/>
    <w:rsid w:val="005335E1"/>
    <w:rsid w:val="005354C7"/>
    <w:rsid w:val="005354D8"/>
    <w:rsid w:val="00535C98"/>
    <w:rsid w:val="005360F6"/>
    <w:rsid w:val="0053701A"/>
    <w:rsid w:val="00537564"/>
    <w:rsid w:val="00537EAA"/>
    <w:rsid w:val="00540463"/>
    <w:rsid w:val="00540700"/>
    <w:rsid w:val="00540B9A"/>
    <w:rsid w:val="0054188D"/>
    <w:rsid w:val="00542BBF"/>
    <w:rsid w:val="0054481C"/>
    <w:rsid w:val="00544D9D"/>
    <w:rsid w:val="0054525B"/>
    <w:rsid w:val="0054526B"/>
    <w:rsid w:val="00545FC2"/>
    <w:rsid w:val="00546AB4"/>
    <w:rsid w:val="00546BE2"/>
    <w:rsid w:val="00547D97"/>
    <w:rsid w:val="00550591"/>
    <w:rsid w:val="00550AD2"/>
    <w:rsid w:val="00551090"/>
    <w:rsid w:val="005514E5"/>
    <w:rsid w:val="00551E9C"/>
    <w:rsid w:val="00552A47"/>
    <w:rsid w:val="00552B23"/>
    <w:rsid w:val="00552CC3"/>
    <w:rsid w:val="00553500"/>
    <w:rsid w:val="00554CEE"/>
    <w:rsid w:val="00554E77"/>
    <w:rsid w:val="00554F99"/>
    <w:rsid w:val="005550B5"/>
    <w:rsid w:val="00555998"/>
    <w:rsid w:val="0055684B"/>
    <w:rsid w:val="00557D20"/>
    <w:rsid w:val="005622A4"/>
    <w:rsid w:val="005628AE"/>
    <w:rsid w:val="005629C6"/>
    <w:rsid w:val="00562C3D"/>
    <w:rsid w:val="005637A7"/>
    <w:rsid w:val="00563BFF"/>
    <w:rsid w:val="00563C84"/>
    <w:rsid w:val="00563D67"/>
    <w:rsid w:val="005659F9"/>
    <w:rsid w:val="005661BE"/>
    <w:rsid w:val="0056661C"/>
    <w:rsid w:val="00566A44"/>
    <w:rsid w:val="0056730D"/>
    <w:rsid w:val="00567AF3"/>
    <w:rsid w:val="005703FB"/>
    <w:rsid w:val="00570DDA"/>
    <w:rsid w:val="00570E4B"/>
    <w:rsid w:val="00570F6D"/>
    <w:rsid w:val="00571545"/>
    <w:rsid w:val="00571C20"/>
    <w:rsid w:val="00572F95"/>
    <w:rsid w:val="0057392D"/>
    <w:rsid w:val="005746CD"/>
    <w:rsid w:val="00574EDD"/>
    <w:rsid w:val="00574FB4"/>
    <w:rsid w:val="005761C7"/>
    <w:rsid w:val="005762F6"/>
    <w:rsid w:val="00580680"/>
    <w:rsid w:val="00580DC5"/>
    <w:rsid w:val="00580F36"/>
    <w:rsid w:val="00581CCC"/>
    <w:rsid w:val="0058214A"/>
    <w:rsid w:val="0058393E"/>
    <w:rsid w:val="00583C56"/>
    <w:rsid w:val="00584398"/>
    <w:rsid w:val="00584511"/>
    <w:rsid w:val="00584FBE"/>
    <w:rsid w:val="0058501A"/>
    <w:rsid w:val="00585483"/>
    <w:rsid w:val="005858A5"/>
    <w:rsid w:val="00585B32"/>
    <w:rsid w:val="005861C9"/>
    <w:rsid w:val="00586CFE"/>
    <w:rsid w:val="00587378"/>
    <w:rsid w:val="00587C05"/>
    <w:rsid w:val="00587D57"/>
    <w:rsid w:val="005903FF"/>
    <w:rsid w:val="00590AAB"/>
    <w:rsid w:val="00590F9C"/>
    <w:rsid w:val="00591160"/>
    <w:rsid w:val="0059116F"/>
    <w:rsid w:val="0059331E"/>
    <w:rsid w:val="005938C3"/>
    <w:rsid w:val="00593EE2"/>
    <w:rsid w:val="00594185"/>
    <w:rsid w:val="0059468C"/>
    <w:rsid w:val="00594D24"/>
    <w:rsid w:val="00595125"/>
    <w:rsid w:val="005957EA"/>
    <w:rsid w:val="005965B9"/>
    <w:rsid w:val="00596B38"/>
    <w:rsid w:val="00596F21"/>
    <w:rsid w:val="005A03FA"/>
    <w:rsid w:val="005A05E4"/>
    <w:rsid w:val="005A1957"/>
    <w:rsid w:val="005A288B"/>
    <w:rsid w:val="005A34EA"/>
    <w:rsid w:val="005A44AC"/>
    <w:rsid w:val="005A466B"/>
    <w:rsid w:val="005A4C4B"/>
    <w:rsid w:val="005A5E10"/>
    <w:rsid w:val="005A62FC"/>
    <w:rsid w:val="005A7745"/>
    <w:rsid w:val="005A7B8E"/>
    <w:rsid w:val="005A7D03"/>
    <w:rsid w:val="005B0082"/>
    <w:rsid w:val="005B0704"/>
    <w:rsid w:val="005B0CBB"/>
    <w:rsid w:val="005B155C"/>
    <w:rsid w:val="005B15CC"/>
    <w:rsid w:val="005B1B51"/>
    <w:rsid w:val="005B1CDD"/>
    <w:rsid w:val="005B1E19"/>
    <w:rsid w:val="005B22C9"/>
    <w:rsid w:val="005B4144"/>
    <w:rsid w:val="005B4435"/>
    <w:rsid w:val="005B55FC"/>
    <w:rsid w:val="005B6456"/>
    <w:rsid w:val="005B78F3"/>
    <w:rsid w:val="005C151D"/>
    <w:rsid w:val="005C1D3F"/>
    <w:rsid w:val="005C2D5D"/>
    <w:rsid w:val="005C2D5E"/>
    <w:rsid w:val="005C3B81"/>
    <w:rsid w:val="005C4C9D"/>
    <w:rsid w:val="005C4D16"/>
    <w:rsid w:val="005C5182"/>
    <w:rsid w:val="005C57F3"/>
    <w:rsid w:val="005C5967"/>
    <w:rsid w:val="005C650C"/>
    <w:rsid w:val="005C6670"/>
    <w:rsid w:val="005C6855"/>
    <w:rsid w:val="005C71F1"/>
    <w:rsid w:val="005C7DCD"/>
    <w:rsid w:val="005D0360"/>
    <w:rsid w:val="005D086C"/>
    <w:rsid w:val="005D0B6B"/>
    <w:rsid w:val="005D11D3"/>
    <w:rsid w:val="005D13FD"/>
    <w:rsid w:val="005D1403"/>
    <w:rsid w:val="005D2143"/>
    <w:rsid w:val="005D2A02"/>
    <w:rsid w:val="005D2DA9"/>
    <w:rsid w:val="005D44A7"/>
    <w:rsid w:val="005D4E1F"/>
    <w:rsid w:val="005D4FB3"/>
    <w:rsid w:val="005D4FF2"/>
    <w:rsid w:val="005D515D"/>
    <w:rsid w:val="005D5F58"/>
    <w:rsid w:val="005D613A"/>
    <w:rsid w:val="005D6938"/>
    <w:rsid w:val="005D7EBA"/>
    <w:rsid w:val="005E0064"/>
    <w:rsid w:val="005E0A59"/>
    <w:rsid w:val="005E0B58"/>
    <w:rsid w:val="005E0CA0"/>
    <w:rsid w:val="005E24B2"/>
    <w:rsid w:val="005E2616"/>
    <w:rsid w:val="005E2F07"/>
    <w:rsid w:val="005E2FEA"/>
    <w:rsid w:val="005E3331"/>
    <w:rsid w:val="005E3F78"/>
    <w:rsid w:val="005E400C"/>
    <w:rsid w:val="005E536E"/>
    <w:rsid w:val="005E67F6"/>
    <w:rsid w:val="005E727A"/>
    <w:rsid w:val="005E7648"/>
    <w:rsid w:val="005E76CF"/>
    <w:rsid w:val="005E7A83"/>
    <w:rsid w:val="005E7B59"/>
    <w:rsid w:val="005F047A"/>
    <w:rsid w:val="005F0C07"/>
    <w:rsid w:val="005F1D8C"/>
    <w:rsid w:val="005F253C"/>
    <w:rsid w:val="005F314B"/>
    <w:rsid w:val="005F3C28"/>
    <w:rsid w:val="005F4722"/>
    <w:rsid w:val="005F4A85"/>
    <w:rsid w:val="005F5624"/>
    <w:rsid w:val="005F56DA"/>
    <w:rsid w:val="005F67D5"/>
    <w:rsid w:val="005F7187"/>
    <w:rsid w:val="005F722D"/>
    <w:rsid w:val="005F7707"/>
    <w:rsid w:val="00601223"/>
    <w:rsid w:val="006012AC"/>
    <w:rsid w:val="0060140E"/>
    <w:rsid w:val="00601604"/>
    <w:rsid w:val="00601886"/>
    <w:rsid w:val="00602044"/>
    <w:rsid w:val="006022AC"/>
    <w:rsid w:val="00602ED2"/>
    <w:rsid w:val="00603C9D"/>
    <w:rsid w:val="00603E6B"/>
    <w:rsid w:val="006051E3"/>
    <w:rsid w:val="006053E8"/>
    <w:rsid w:val="0060576B"/>
    <w:rsid w:val="00605797"/>
    <w:rsid w:val="00605CB7"/>
    <w:rsid w:val="00606383"/>
    <w:rsid w:val="00606DE4"/>
    <w:rsid w:val="00610C10"/>
    <w:rsid w:val="006110CF"/>
    <w:rsid w:val="006118A9"/>
    <w:rsid w:val="00611AF2"/>
    <w:rsid w:val="00611B72"/>
    <w:rsid w:val="0061212B"/>
    <w:rsid w:val="00612349"/>
    <w:rsid w:val="006127AF"/>
    <w:rsid w:val="0061307D"/>
    <w:rsid w:val="0061311D"/>
    <w:rsid w:val="00613212"/>
    <w:rsid w:val="0061483E"/>
    <w:rsid w:val="00614871"/>
    <w:rsid w:val="00615237"/>
    <w:rsid w:val="0061531B"/>
    <w:rsid w:val="006158B3"/>
    <w:rsid w:val="00615D12"/>
    <w:rsid w:val="00615DB9"/>
    <w:rsid w:val="00615FB2"/>
    <w:rsid w:val="006175C9"/>
    <w:rsid w:val="00617A07"/>
    <w:rsid w:val="00617BD1"/>
    <w:rsid w:val="00617C55"/>
    <w:rsid w:val="00617CE8"/>
    <w:rsid w:val="00621FF0"/>
    <w:rsid w:val="006225F3"/>
    <w:rsid w:val="006233F8"/>
    <w:rsid w:val="00625168"/>
    <w:rsid w:val="0062548D"/>
    <w:rsid w:val="00625E41"/>
    <w:rsid w:val="006264DB"/>
    <w:rsid w:val="006271F3"/>
    <w:rsid w:val="006278A0"/>
    <w:rsid w:val="00627E7F"/>
    <w:rsid w:val="00630408"/>
    <w:rsid w:val="0063095F"/>
    <w:rsid w:val="00630E8E"/>
    <w:rsid w:val="00630FBB"/>
    <w:rsid w:val="006311E2"/>
    <w:rsid w:val="00632221"/>
    <w:rsid w:val="006338B0"/>
    <w:rsid w:val="00634236"/>
    <w:rsid w:val="006345DB"/>
    <w:rsid w:val="006346DF"/>
    <w:rsid w:val="00635BF0"/>
    <w:rsid w:val="006361A6"/>
    <w:rsid w:val="00636626"/>
    <w:rsid w:val="00636EFC"/>
    <w:rsid w:val="006371A9"/>
    <w:rsid w:val="0063731C"/>
    <w:rsid w:val="0063780F"/>
    <w:rsid w:val="00640E34"/>
    <w:rsid w:val="00640FA8"/>
    <w:rsid w:val="0064103C"/>
    <w:rsid w:val="00641062"/>
    <w:rsid w:val="00641A42"/>
    <w:rsid w:val="00642D36"/>
    <w:rsid w:val="00643F5C"/>
    <w:rsid w:val="00644E36"/>
    <w:rsid w:val="0064640D"/>
    <w:rsid w:val="006467FA"/>
    <w:rsid w:val="00646AC2"/>
    <w:rsid w:val="00646E81"/>
    <w:rsid w:val="00647031"/>
    <w:rsid w:val="006477FB"/>
    <w:rsid w:val="00650390"/>
    <w:rsid w:val="006508F0"/>
    <w:rsid w:val="00651080"/>
    <w:rsid w:val="006520C9"/>
    <w:rsid w:val="00653FCE"/>
    <w:rsid w:val="00654DAB"/>
    <w:rsid w:val="0065534F"/>
    <w:rsid w:val="00655521"/>
    <w:rsid w:val="00655736"/>
    <w:rsid w:val="00656F1E"/>
    <w:rsid w:val="00657C6F"/>
    <w:rsid w:val="0066056F"/>
    <w:rsid w:val="0066112F"/>
    <w:rsid w:val="00661ABD"/>
    <w:rsid w:val="0066204A"/>
    <w:rsid w:val="00663599"/>
    <w:rsid w:val="00663812"/>
    <w:rsid w:val="00663DA1"/>
    <w:rsid w:val="00665875"/>
    <w:rsid w:val="00666565"/>
    <w:rsid w:val="00666761"/>
    <w:rsid w:val="00666E6A"/>
    <w:rsid w:val="00667562"/>
    <w:rsid w:val="00667792"/>
    <w:rsid w:val="00667906"/>
    <w:rsid w:val="00667B11"/>
    <w:rsid w:val="00667FB0"/>
    <w:rsid w:val="00667FC0"/>
    <w:rsid w:val="00670145"/>
    <w:rsid w:val="006701C0"/>
    <w:rsid w:val="00670D82"/>
    <w:rsid w:val="00670E3C"/>
    <w:rsid w:val="006729EE"/>
    <w:rsid w:val="0067439E"/>
    <w:rsid w:val="00675ED3"/>
    <w:rsid w:val="00676601"/>
    <w:rsid w:val="00677092"/>
    <w:rsid w:val="006770E6"/>
    <w:rsid w:val="006772F5"/>
    <w:rsid w:val="006779EB"/>
    <w:rsid w:val="00677F57"/>
    <w:rsid w:val="006801C0"/>
    <w:rsid w:val="00680F95"/>
    <w:rsid w:val="00680FC5"/>
    <w:rsid w:val="00681088"/>
    <w:rsid w:val="00681299"/>
    <w:rsid w:val="00681543"/>
    <w:rsid w:val="006820B1"/>
    <w:rsid w:val="00682A7D"/>
    <w:rsid w:val="00682DDD"/>
    <w:rsid w:val="006832F1"/>
    <w:rsid w:val="0068459E"/>
    <w:rsid w:val="00685176"/>
    <w:rsid w:val="00686035"/>
    <w:rsid w:val="0068651E"/>
    <w:rsid w:val="0068726F"/>
    <w:rsid w:val="0068732B"/>
    <w:rsid w:val="00687473"/>
    <w:rsid w:val="006877B4"/>
    <w:rsid w:val="00687818"/>
    <w:rsid w:val="006878A8"/>
    <w:rsid w:val="00690738"/>
    <w:rsid w:val="00691264"/>
    <w:rsid w:val="00691627"/>
    <w:rsid w:val="0069225C"/>
    <w:rsid w:val="00692C7D"/>
    <w:rsid w:val="00692C9D"/>
    <w:rsid w:val="00692E7B"/>
    <w:rsid w:val="00693396"/>
    <w:rsid w:val="006934C0"/>
    <w:rsid w:val="0069577E"/>
    <w:rsid w:val="00695F5F"/>
    <w:rsid w:val="0069634B"/>
    <w:rsid w:val="00696623"/>
    <w:rsid w:val="00697369"/>
    <w:rsid w:val="006A0376"/>
    <w:rsid w:val="006A04E9"/>
    <w:rsid w:val="006A08E2"/>
    <w:rsid w:val="006A09C7"/>
    <w:rsid w:val="006A0A18"/>
    <w:rsid w:val="006A10C8"/>
    <w:rsid w:val="006A1AA2"/>
    <w:rsid w:val="006A24AF"/>
    <w:rsid w:val="006A268F"/>
    <w:rsid w:val="006A41DE"/>
    <w:rsid w:val="006A42EC"/>
    <w:rsid w:val="006A452E"/>
    <w:rsid w:val="006A4A03"/>
    <w:rsid w:val="006A4F6E"/>
    <w:rsid w:val="006A531E"/>
    <w:rsid w:val="006A55DB"/>
    <w:rsid w:val="006A585F"/>
    <w:rsid w:val="006A5BDC"/>
    <w:rsid w:val="006A5D27"/>
    <w:rsid w:val="006A67ED"/>
    <w:rsid w:val="006A72FA"/>
    <w:rsid w:val="006A7543"/>
    <w:rsid w:val="006A7C44"/>
    <w:rsid w:val="006B0FF4"/>
    <w:rsid w:val="006B0FFA"/>
    <w:rsid w:val="006B1690"/>
    <w:rsid w:val="006B2E21"/>
    <w:rsid w:val="006B3EB8"/>
    <w:rsid w:val="006B4C0D"/>
    <w:rsid w:val="006B4FE5"/>
    <w:rsid w:val="006B5EC0"/>
    <w:rsid w:val="006B6EDE"/>
    <w:rsid w:val="006B710D"/>
    <w:rsid w:val="006B725C"/>
    <w:rsid w:val="006B7553"/>
    <w:rsid w:val="006B7791"/>
    <w:rsid w:val="006C03DF"/>
    <w:rsid w:val="006C14FD"/>
    <w:rsid w:val="006C1B85"/>
    <w:rsid w:val="006C1DE9"/>
    <w:rsid w:val="006C273D"/>
    <w:rsid w:val="006C2B8D"/>
    <w:rsid w:val="006C2F2C"/>
    <w:rsid w:val="006C3420"/>
    <w:rsid w:val="006C3ECB"/>
    <w:rsid w:val="006C3FE4"/>
    <w:rsid w:val="006C41F1"/>
    <w:rsid w:val="006C4973"/>
    <w:rsid w:val="006C52F7"/>
    <w:rsid w:val="006C5C4F"/>
    <w:rsid w:val="006C6282"/>
    <w:rsid w:val="006C6419"/>
    <w:rsid w:val="006C641D"/>
    <w:rsid w:val="006C762A"/>
    <w:rsid w:val="006C7A87"/>
    <w:rsid w:val="006D0156"/>
    <w:rsid w:val="006D05A1"/>
    <w:rsid w:val="006D0D09"/>
    <w:rsid w:val="006D10CD"/>
    <w:rsid w:val="006D10E5"/>
    <w:rsid w:val="006D1863"/>
    <w:rsid w:val="006D1CB4"/>
    <w:rsid w:val="006D24F1"/>
    <w:rsid w:val="006D3C2A"/>
    <w:rsid w:val="006D42F5"/>
    <w:rsid w:val="006D5FF9"/>
    <w:rsid w:val="006D690C"/>
    <w:rsid w:val="006D7D9B"/>
    <w:rsid w:val="006E0772"/>
    <w:rsid w:val="006E0C77"/>
    <w:rsid w:val="006E0F86"/>
    <w:rsid w:val="006E13D7"/>
    <w:rsid w:val="006E1874"/>
    <w:rsid w:val="006E1B8A"/>
    <w:rsid w:val="006E204B"/>
    <w:rsid w:val="006E2F3B"/>
    <w:rsid w:val="006E2F8B"/>
    <w:rsid w:val="006E4459"/>
    <w:rsid w:val="006E74B5"/>
    <w:rsid w:val="006E76FD"/>
    <w:rsid w:val="006F037E"/>
    <w:rsid w:val="006F099E"/>
    <w:rsid w:val="006F0B15"/>
    <w:rsid w:val="006F0DCC"/>
    <w:rsid w:val="006F0FF4"/>
    <w:rsid w:val="006F1141"/>
    <w:rsid w:val="006F1862"/>
    <w:rsid w:val="006F1928"/>
    <w:rsid w:val="006F25F3"/>
    <w:rsid w:val="006F2DDF"/>
    <w:rsid w:val="006F405C"/>
    <w:rsid w:val="006F4732"/>
    <w:rsid w:val="006F474E"/>
    <w:rsid w:val="006F4AA5"/>
    <w:rsid w:val="006F52DA"/>
    <w:rsid w:val="006F54D1"/>
    <w:rsid w:val="006F5EEB"/>
    <w:rsid w:val="006F6711"/>
    <w:rsid w:val="006F6836"/>
    <w:rsid w:val="006F7338"/>
    <w:rsid w:val="007009F9"/>
    <w:rsid w:val="007016CC"/>
    <w:rsid w:val="007018E7"/>
    <w:rsid w:val="00701BDE"/>
    <w:rsid w:val="00702151"/>
    <w:rsid w:val="007023C8"/>
    <w:rsid w:val="00702579"/>
    <w:rsid w:val="00703DF9"/>
    <w:rsid w:val="007048EB"/>
    <w:rsid w:val="00704B6E"/>
    <w:rsid w:val="00704FBB"/>
    <w:rsid w:val="0070505E"/>
    <w:rsid w:val="0070551C"/>
    <w:rsid w:val="00705D2B"/>
    <w:rsid w:val="007067DD"/>
    <w:rsid w:val="0070715D"/>
    <w:rsid w:val="0070726A"/>
    <w:rsid w:val="0070729B"/>
    <w:rsid w:val="00707886"/>
    <w:rsid w:val="00707A8A"/>
    <w:rsid w:val="00707AFA"/>
    <w:rsid w:val="007103D8"/>
    <w:rsid w:val="00711094"/>
    <w:rsid w:val="007112E3"/>
    <w:rsid w:val="00711DF0"/>
    <w:rsid w:val="007121BC"/>
    <w:rsid w:val="0071226B"/>
    <w:rsid w:val="00713D39"/>
    <w:rsid w:val="0071410E"/>
    <w:rsid w:val="0071532B"/>
    <w:rsid w:val="00715470"/>
    <w:rsid w:val="00715C90"/>
    <w:rsid w:val="00715FAE"/>
    <w:rsid w:val="007161DA"/>
    <w:rsid w:val="00716A7A"/>
    <w:rsid w:val="00717040"/>
    <w:rsid w:val="00717184"/>
    <w:rsid w:val="007207E2"/>
    <w:rsid w:val="00721430"/>
    <w:rsid w:val="00721C92"/>
    <w:rsid w:val="00721D02"/>
    <w:rsid w:val="00722353"/>
    <w:rsid w:val="007223BF"/>
    <w:rsid w:val="00722409"/>
    <w:rsid w:val="00722A7B"/>
    <w:rsid w:val="00722F97"/>
    <w:rsid w:val="0072336D"/>
    <w:rsid w:val="00723861"/>
    <w:rsid w:val="00725E86"/>
    <w:rsid w:val="00725F2C"/>
    <w:rsid w:val="00726228"/>
    <w:rsid w:val="00726AAF"/>
    <w:rsid w:val="00726CBE"/>
    <w:rsid w:val="00726F3A"/>
    <w:rsid w:val="00727496"/>
    <w:rsid w:val="00727B40"/>
    <w:rsid w:val="007302E1"/>
    <w:rsid w:val="007304EE"/>
    <w:rsid w:val="00730643"/>
    <w:rsid w:val="00730882"/>
    <w:rsid w:val="0073091F"/>
    <w:rsid w:val="00730A2C"/>
    <w:rsid w:val="00730DF0"/>
    <w:rsid w:val="00732B7A"/>
    <w:rsid w:val="00733508"/>
    <w:rsid w:val="00733983"/>
    <w:rsid w:val="007339B7"/>
    <w:rsid w:val="007348EE"/>
    <w:rsid w:val="00734A38"/>
    <w:rsid w:val="0073590D"/>
    <w:rsid w:val="00735AA2"/>
    <w:rsid w:val="00736209"/>
    <w:rsid w:val="007368A3"/>
    <w:rsid w:val="00736E0A"/>
    <w:rsid w:val="0074003B"/>
    <w:rsid w:val="00741DA1"/>
    <w:rsid w:val="007420D3"/>
    <w:rsid w:val="00742506"/>
    <w:rsid w:val="0074357D"/>
    <w:rsid w:val="0074368B"/>
    <w:rsid w:val="00743AB6"/>
    <w:rsid w:val="00743BAE"/>
    <w:rsid w:val="007448A5"/>
    <w:rsid w:val="007456C6"/>
    <w:rsid w:val="00745B5A"/>
    <w:rsid w:val="0074681B"/>
    <w:rsid w:val="00746875"/>
    <w:rsid w:val="00746C9F"/>
    <w:rsid w:val="00746D68"/>
    <w:rsid w:val="00747640"/>
    <w:rsid w:val="00747981"/>
    <w:rsid w:val="00750B64"/>
    <w:rsid w:val="0075174E"/>
    <w:rsid w:val="007519EA"/>
    <w:rsid w:val="00751F52"/>
    <w:rsid w:val="0075201E"/>
    <w:rsid w:val="007527D4"/>
    <w:rsid w:val="00752E13"/>
    <w:rsid w:val="00753046"/>
    <w:rsid w:val="00753C7D"/>
    <w:rsid w:val="00753D7F"/>
    <w:rsid w:val="007553B6"/>
    <w:rsid w:val="00755C17"/>
    <w:rsid w:val="00756EC4"/>
    <w:rsid w:val="00756EDF"/>
    <w:rsid w:val="00757112"/>
    <w:rsid w:val="0075713B"/>
    <w:rsid w:val="00757C32"/>
    <w:rsid w:val="007603F6"/>
    <w:rsid w:val="00760DA8"/>
    <w:rsid w:val="0076146B"/>
    <w:rsid w:val="00761844"/>
    <w:rsid w:val="00762012"/>
    <w:rsid w:val="00762288"/>
    <w:rsid w:val="007628B1"/>
    <w:rsid w:val="007634AB"/>
    <w:rsid w:val="00763529"/>
    <w:rsid w:val="00763E59"/>
    <w:rsid w:val="00765D6A"/>
    <w:rsid w:val="00766054"/>
    <w:rsid w:val="007662D5"/>
    <w:rsid w:val="00766473"/>
    <w:rsid w:val="00766CC0"/>
    <w:rsid w:val="0076743B"/>
    <w:rsid w:val="007674FD"/>
    <w:rsid w:val="007706BC"/>
    <w:rsid w:val="00772492"/>
    <w:rsid w:val="00772720"/>
    <w:rsid w:val="00772DA9"/>
    <w:rsid w:val="00772F19"/>
    <w:rsid w:val="007735D1"/>
    <w:rsid w:val="007738AA"/>
    <w:rsid w:val="00773F5E"/>
    <w:rsid w:val="00773FE2"/>
    <w:rsid w:val="007750A2"/>
    <w:rsid w:val="007751AD"/>
    <w:rsid w:val="00775A52"/>
    <w:rsid w:val="00775CDC"/>
    <w:rsid w:val="00777D76"/>
    <w:rsid w:val="00777EDA"/>
    <w:rsid w:val="00780E28"/>
    <w:rsid w:val="00781175"/>
    <w:rsid w:val="007817D6"/>
    <w:rsid w:val="00782D70"/>
    <w:rsid w:val="00783618"/>
    <w:rsid w:val="007837BD"/>
    <w:rsid w:val="00783A31"/>
    <w:rsid w:val="00783B15"/>
    <w:rsid w:val="00783B42"/>
    <w:rsid w:val="00784E65"/>
    <w:rsid w:val="00786203"/>
    <w:rsid w:val="0078637F"/>
    <w:rsid w:val="00786E0A"/>
    <w:rsid w:val="00786F92"/>
    <w:rsid w:val="00786FFD"/>
    <w:rsid w:val="00787912"/>
    <w:rsid w:val="00790DB1"/>
    <w:rsid w:val="0079177A"/>
    <w:rsid w:val="00791CFA"/>
    <w:rsid w:val="007929DA"/>
    <w:rsid w:val="00793EC4"/>
    <w:rsid w:val="00794836"/>
    <w:rsid w:val="007948D5"/>
    <w:rsid w:val="00794F4C"/>
    <w:rsid w:val="00795501"/>
    <w:rsid w:val="00795AC7"/>
    <w:rsid w:val="00795C1D"/>
    <w:rsid w:val="00795FE0"/>
    <w:rsid w:val="00796130"/>
    <w:rsid w:val="0079624E"/>
    <w:rsid w:val="007978D4"/>
    <w:rsid w:val="00797B23"/>
    <w:rsid w:val="007A033F"/>
    <w:rsid w:val="007A06A1"/>
    <w:rsid w:val="007A14F0"/>
    <w:rsid w:val="007A15C9"/>
    <w:rsid w:val="007A1FE3"/>
    <w:rsid w:val="007A21C5"/>
    <w:rsid w:val="007A38E6"/>
    <w:rsid w:val="007A4001"/>
    <w:rsid w:val="007A459F"/>
    <w:rsid w:val="007A501C"/>
    <w:rsid w:val="007A52A0"/>
    <w:rsid w:val="007A612A"/>
    <w:rsid w:val="007A618B"/>
    <w:rsid w:val="007A6676"/>
    <w:rsid w:val="007A7B26"/>
    <w:rsid w:val="007B0070"/>
    <w:rsid w:val="007B01BC"/>
    <w:rsid w:val="007B01DC"/>
    <w:rsid w:val="007B0587"/>
    <w:rsid w:val="007B1C4F"/>
    <w:rsid w:val="007B3255"/>
    <w:rsid w:val="007B341E"/>
    <w:rsid w:val="007B459C"/>
    <w:rsid w:val="007B5BA6"/>
    <w:rsid w:val="007B60EA"/>
    <w:rsid w:val="007B6145"/>
    <w:rsid w:val="007B6223"/>
    <w:rsid w:val="007B622D"/>
    <w:rsid w:val="007B6CF5"/>
    <w:rsid w:val="007B6D4B"/>
    <w:rsid w:val="007B6E19"/>
    <w:rsid w:val="007B79A1"/>
    <w:rsid w:val="007B7FF5"/>
    <w:rsid w:val="007C057D"/>
    <w:rsid w:val="007C0B8E"/>
    <w:rsid w:val="007C2C22"/>
    <w:rsid w:val="007C2C57"/>
    <w:rsid w:val="007C3FC6"/>
    <w:rsid w:val="007C4200"/>
    <w:rsid w:val="007C5578"/>
    <w:rsid w:val="007C6353"/>
    <w:rsid w:val="007C653B"/>
    <w:rsid w:val="007C6A25"/>
    <w:rsid w:val="007C6D16"/>
    <w:rsid w:val="007C7164"/>
    <w:rsid w:val="007C71AA"/>
    <w:rsid w:val="007C72B9"/>
    <w:rsid w:val="007D0D82"/>
    <w:rsid w:val="007D1641"/>
    <w:rsid w:val="007D1AC0"/>
    <w:rsid w:val="007D1D6F"/>
    <w:rsid w:val="007D2CE9"/>
    <w:rsid w:val="007D39F2"/>
    <w:rsid w:val="007D4400"/>
    <w:rsid w:val="007D47E9"/>
    <w:rsid w:val="007D4951"/>
    <w:rsid w:val="007D4D10"/>
    <w:rsid w:val="007D4FED"/>
    <w:rsid w:val="007D5770"/>
    <w:rsid w:val="007D5AD4"/>
    <w:rsid w:val="007D6128"/>
    <w:rsid w:val="007D69DA"/>
    <w:rsid w:val="007D70B1"/>
    <w:rsid w:val="007D7140"/>
    <w:rsid w:val="007D7797"/>
    <w:rsid w:val="007D7EB8"/>
    <w:rsid w:val="007E11A0"/>
    <w:rsid w:val="007E1B62"/>
    <w:rsid w:val="007E1C73"/>
    <w:rsid w:val="007E1CDB"/>
    <w:rsid w:val="007E2767"/>
    <w:rsid w:val="007E3302"/>
    <w:rsid w:val="007E3532"/>
    <w:rsid w:val="007E408C"/>
    <w:rsid w:val="007E41AF"/>
    <w:rsid w:val="007E42D3"/>
    <w:rsid w:val="007E42E7"/>
    <w:rsid w:val="007E679B"/>
    <w:rsid w:val="007E6B19"/>
    <w:rsid w:val="007E6FA2"/>
    <w:rsid w:val="007E7E21"/>
    <w:rsid w:val="007F0460"/>
    <w:rsid w:val="007F0DA2"/>
    <w:rsid w:val="007F1D85"/>
    <w:rsid w:val="007F2220"/>
    <w:rsid w:val="007F25BE"/>
    <w:rsid w:val="007F39CE"/>
    <w:rsid w:val="007F3B58"/>
    <w:rsid w:val="007F3E71"/>
    <w:rsid w:val="007F49E9"/>
    <w:rsid w:val="007F5E09"/>
    <w:rsid w:val="007F5E0D"/>
    <w:rsid w:val="007F6510"/>
    <w:rsid w:val="007F6C44"/>
    <w:rsid w:val="007F6F3F"/>
    <w:rsid w:val="007F7997"/>
    <w:rsid w:val="007F7F7F"/>
    <w:rsid w:val="00800C1B"/>
    <w:rsid w:val="00801027"/>
    <w:rsid w:val="00801085"/>
    <w:rsid w:val="00801592"/>
    <w:rsid w:val="00801A89"/>
    <w:rsid w:val="00805038"/>
    <w:rsid w:val="0080603F"/>
    <w:rsid w:val="008071B0"/>
    <w:rsid w:val="0080727A"/>
    <w:rsid w:val="00807800"/>
    <w:rsid w:val="00807B57"/>
    <w:rsid w:val="008103CF"/>
    <w:rsid w:val="0081052D"/>
    <w:rsid w:val="008106AE"/>
    <w:rsid w:val="00810714"/>
    <w:rsid w:val="00810E22"/>
    <w:rsid w:val="0081174F"/>
    <w:rsid w:val="00812132"/>
    <w:rsid w:val="00812138"/>
    <w:rsid w:val="008125A3"/>
    <w:rsid w:val="00812CC4"/>
    <w:rsid w:val="00813050"/>
    <w:rsid w:val="00814391"/>
    <w:rsid w:val="008151F2"/>
    <w:rsid w:val="008152C7"/>
    <w:rsid w:val="008161B9"/>
    <w:rsid w:val="00816D46"/>
    <w:rsid w:val="00816D7C"/>
    <w:rsid w:val="008171BB"/>
    <w:rsid w:val="0081777A"/>
    <w:rsid w:val="008178EA"/>
    <w:rsid w:val="00817F5A"/>
    <w:rsid w:val="00820D3D"/>
    <w:rsid w:val="00820E3A"/>
    <w:rsid w:val="008210E0"/>
    <w:rsid w:val="008210E2"/>
    <w:rsid w:val="00822191"/>
    <w:rsid w:val="0082291F"/>
    <w:rsid w:val="00822E1B"/>
    <w:rsid w:val="00822F91"/>
    <w:rsid w:val="008236D7"/>
    <w:rsid w:val="00823F36"/>
    <w:rsid w:val="00824079"/>
    <w:rsid w:val="00824789"/>
    <w:rsid w:val="008247E4"/>
    <w:rsid w:val="008252D5"/>
    <w:rsid w:val="008257DC"/>
    <w:rsid w:val="00825B60"/>
    <w:rsid w:val="00826078"/>
    <w:rsid w:val="00826121"/>
    <w:rsid w:val="00826538"/>
    <w:rsid w:val="00826839"/>
    <w:rsid w:val="00827185"/>
    <w:rsid w:val="0082769D"/>
    <w:rsid w:val="008277B8"/>
    <w:rsid w:val="008307E1"/>
    <w:rsid w:val="00830B89"/>
    <w:rsid w:val="008311F9"/>
    <w:rsid w:val="00831C05"/>
    <w:rsid w:val="00831F0A"/>
    <w:rsid w:val="008320B2"/>
    <w:rsid w:val="00832B37"/>
    <w:rsid w:val="00833791"/>
    <w:rsid w:val="00833A78"/>
    <w:rsid w:val="00833E92"/>
    <w:rsid w:val="00834B9B"/>
    <w:rsid w:val="00835088"/>
    <w:rsid w:val="008356E6"/>
    <w:rsid w:val="008356FA"/>
    <w:rsid w:val="00835F60"/>
    <w:rsid w:val="00836638"/>
    <w:rsid w:val="008368CA"/>
    <w:rsid w:val="00837A1A"/>
    <w:rsid w:val="008407D5"/>
    <w:rsid w:val="008409B0"/>
    <w:rsid w:val="00842165"/>
    <w:rsid w:val="0084222C"/>
    <w:rsid w:val="008438ED"/>
    <w:rsid w:val="00844500"/>
    <w:rsid w:val="00844B16"/>
    <w:rsid w:val="0084585F"/>
    <w:rsid w:val="00845CCD"/>
    <w:rsid w:val="00845F6A"/>
    <w:rsid w:val="008462B4"/>
    <w:rsid w:val="00846A62"/>
    <w:rsid w:val="008471F2"/>
    <w:rsid w:val="0085047C"/>
    <w:rsid w:val="00850FB3"/>
    <w:rsid w:val="00851066"/>
    <w:rsid w:val="008514A9"/>
    <w:rsid w:val="0085172F"/>
    <w:rsid w:val="00851A29"/>
    <w:rsid w:val="0085290F"/>
    <w:rsid w:val="00853414"/>
    <w:rsid w:val="008534C4"/>
    <w:rsid w:val="00853E53"/>
    <w:rsid w:val="008547CD"/>
    <w:rsid w:val="008549B6"/>
    <w:rsid w:val="00854D91"/>
    <w:rsid w:val="00855133"/>
    <w:rsid w:val="00856118"/>
    <w:rsid w:val="00856239"/>
    <w:rsid w:val="00856321"/>
    <w:rsid w:val="00856671"/>
    <w:rsid w:val="008569B3"/>
    <w:rsid w:val="00856BBC"/>
    <w:rsid w:val="0085716E"/>
    <w:rsid w:val="00857B77"/>
    <w:rsid w:val="00860312"/>
    <w:rsid w:val="00860A57"/>
    <w:rsid w:val="008615FF"/>
    <w:rsid w:val="00862019"/>
    <w:rsid w:val="008621E0"/>
    <w:rsid w:val="0086294A"/>
    <w:rsid w:val="00863317"/>
    <w:rsid w:val="008647D0"/>
    <w:rsid w:val="00864D76"/>
    <w:rsid w:val="0086506A"/>
    <w:rsid w:val="00865159"/>
    <w:rsid w:val="008653A0"/>
    <w:rsid w:val="00865663"/>
    <w:rsid w:val="008656C9"/>
    <w:rsid w:val="00865BA8"/>
    <w:rsid w:val="008669FD"/>
    <w:rsid w:val="0086711C"/>
    <w:rsid w:val="008671B4"/>
    <w:rsid w:val="00867535"/>
    <w:rsid w:val="00867686"/>
    <w:rsid w:val="00867C30"/>
    <w:rsid w:val="00870242"/>
    <w:rsid w:val="00870762"/>
    <w:rsid w:val="0087076C"/>
    <w:rsid w:val="0087177D"/>
    <w:rsid w:val="0087236A"/>
    <w:rsid w:val="008727ED"/>
    <w:rsid w:val="008729EB"/>
    <w:rsid w:val="00874110"/>
    <w:rsid w:val="00874456"/>
    <w:rsid w:val="00875285"/>
    <w:rsid w:val="008758F9"/>
    <w:rsid w:val="00875C5B"/>
    <w:rsid w:val="00877D5C"/>
    <w:rsid w:val="0088004C"/>
    <w:rsid w:val="00880F13"/>
    <w:rsid w:val="00880FE2"/>
    <w:rsid w:val="0088193E"/>
    <w:rsid w:val="008822E4"/>
    <w:rsid w:val="0088232B"/>
    <w:rsid w:val="00882425"/>
    <w:rsid w:val="0088309C"/>
    <w:rsid w:val="008831D9"/>
    <w:rsid w:val="00883C5F"/>
    <w:rsid w:val="00883FCA"/>
    <w:rsid w:val="008844DD"/>
    <w:rsid w:val="00884C4A"/>
    <w:rsid w:val="00885CAA"/>
    <w:rsid w:val="00887978"/>
    <w:rsid w:val="0089016C"/>
    <w:rsid w:val="008901ED"/>
    <w:rsid w:val="0089107C"/>
    <w:rsid w:val="008913BB"/>
    <w:rsid w:val="00891C7D"/>
    <w:rsid w:val="0089200C"/>
    <w:rsid w:val="00892FA7"/>
    <w:rsid w:val="00893B8C"/>
    <w:rsid w:val="00895030"/>
    <w:rsid w:val="00895628"/>
    <w:rsid w:val="00896B4D"/>
    <w:rsid w:val="00896BB4"/>
    <w:rsid w:val="00896F44"/>
    <w:rsid w:val="008976C9"/>
    <w:rsid w:val="00897794"/>
    <w:rsid w:val="008A0B4F"/>
    <w:rsid w:val="008A0D12"/>
    <w:rsid w:val="008A2226"/>
    <w:rsid w:val="008A2603"/>
    <w:rsid w:val="008A2796"/>
    <w:rsid w:val="008A2CFC"/>
    <w:rsid w:val="008A3301"/>
    <w:rsid w:val="008A4775"/>
    <w:rsid w:val="008A4DF1"/>
    <w:rsid w:val="008A54E7"/>
    <w:rsid w:val="008A55D2"/>
    <w:rsid w:val="008A5636"/>
    <w:rsid w:val="008A6877"/>
    <w:rsid w:val="008A6899"/>
    <w:rsid w:val="008A71AD"/>
    <w:rsid w:val="008A74D3"/>
    <w:rsid w:val="008A7531"/>
    <w:rsid w:val="008A78FB"/>
    <w:rsid w:val="008B06EC"/>
    <w:rsid w:val="008B0967"/>
    <w:rsid w:val="008B0BA0"/>
    <w:rsid w:val="008B125E"/>
    <w:rsid w:val="008B2022"/>
    <w:rsid w:val="008B241C"/>
    <w:rsid w:val="008B2AFA"/>
    <w:rsid w:val="008B2E01"/>
    <w:rsid w:val="008B36BF"/>
    <w:rsid w:val="008B3A64"/>
    <w:rsid w:val="008B3F08"/>
    <w:rsid w:val="008B408B"/>
    <w:rsid w:val="008B4C6D"/>
    <w:rsid w:val="008B4F11"/>
    <w:rsid w:val="008B5184"/>
    <w:rsid w:val="008B54FE"/>
    <w:rsid w:val="008B6745"/>
    <w:rsid w:val="008B6D2E"/>
    <w:rsid w:val="008B7D7A"/>
    <w:rsid w:val="008B7F10"/>
    <w:rsid w:val="008C008D"/>
    <w:rsid w:val="008C04C4"/>
    <w:rsid w:val="008C0C0B"/>
    <w:rsid w:val="008C2362"/>
    <w:rsid w:val="008C23C5"/>
    <w:rsid w:val="008C2E45"/>
    <w:rsid w:val="008C3049"/>
    <w:rsid w:val="008C32E8"/>
    <w:rsid w:val="008C3A0C"/>
    <w:rsid w:val="008C5CCB"/>
    <w:rsid w:val="008C6836"/>
    <w:rsid w:val="008C6F2C"/>
    <w:rsid w:val="008C736F"/>
    <w:rsid w:val="008C75AF"/>
    <w:rsid w:val="008C777E"/>
    <w:rsid w:val="008C7780"/>
    <w:rsid w:val="008C7F9A"/>
    <w:rsid w:val="008D0590"/>
    <w:rsid w:val="008D0D9D"/>
    <w:rsid w:val="008D16A9"/>
    <w:rsid w:val="008D1AFA"/>
    <w:rsid w:val="008D1B27"/>
    <w:rsid w:val="008D1C80"/>
    <w:rsid w:val="008D232D"/>
    <w:rsid w:val="008D2A34"/>
    <w:rsid w:val="008D31D0"/>
    <w:rsid w:val="008D3363"/>
    <w:rsid w:val="008D4AE9"/>
    <w:rsid w:val="008D55A6"/>
    <w:rsid w:val="008D5C3A"/>
    <w:rsid w:val="008D5CA4"/>
    <w:rsid w:val="008D5CF3"/>
    <w:rsid w:val="008D5E21"/>
    <w:rsid w:val="008D5F78"/>
    <w:rsid w:val="008D6097"/>
    <w:rsid w:val="008D62AF"/>
    <w:rsid w:val="008D6A3E"/>
    <w:rsid w:val="008D7D39"/>
    <w:rsid w:val="008E0C0D"/>
    <w:rsid w:val="008E1C9F"/>
    <w:rsid w:val="008E2B8A"/>
    <w:rsid w:val="008E3AA1"/>
    <w:rsid w:val="008E3E6B"/>
    <w:rsid w:val="008E418D"/>
    <w:rsid w:val="008E4574"/>
    <w:rsid w:val="008E5409"/>
    <w:rsid w:val="008E553C"/>
    <w:rsid w:val="008E5956"/>
    <w:rsid w:val="008E5FAB"/>
    <w:rsid w:val="008E5FFE"/>
    <w:rsid w:val="008E61F0"/>
    <w:rsid w:val="008F00D0"/>
    <w:rsid w:val="008F1182"/>
    <w:rsid w:val="008F22FF"/>
    <w:rsid w:val="008F3976"/>
    <w:rsid w:val="008F400E"/>
    <w:rsid w:val="008F4016"/>
    <w:rsid w:val="008F41A0"/>
    <w:rsid w:val="008F42FE"/>
    <w:rsid w:val="008F4A00"/>
    <w:rsid w:val="008F51CF"/>
    <w:rsid w:val="008F5402"/>
    <w:rsid w:val="008F6652"/>
    <w:rsid w:val="008F67D8"/>
    <w:rsid w:val="008F6C91"/>
    <w:rsid w:val="008F7073"/>
    <w:rsid w:val="008F79F5"/>
    <w:rsid w:val="008F7D19"/>
    <w:rsid w:val="00900085"/>
    <w:rsid w:val="0090053A"/>
    <w:rsid w:val="00900EB3"/>
    <w:rsid w:val="009010DD"/>
    <w:rsid w:val="00901272"/>
    <w:rsid w:val="00901C2A"/>
    <w:rsid w:val="00902091"/>
    <w:rsid w:val="00902219"/>
    <w:rsid w:val="009029E7"/>
    <w:rsid w:val="00902F72"/>
    <w:rsid w:val="00902F7B"/>
    <w:rsid w:val="009031F2"/>
    <w:rsid w:val="00903976"/>
    <w:rsid w:val="00903B30"/>
    <w:rsid w:val="00904137"/>
    <w:rsid w:val="00904806"/>
    <w:rsid w:val="00904D49"/>
    <w:rsid w:val="009059C6"/>
    <w:rsid w:val="00905C32"/>
    <w:rsid w:val="0090606C"/>
    <w:rsid w:val="00906B56"/>
    <w:rsid w:val="00906ECA"/>
    <w:rsid w:val="009076F9"/>
    <w:rsid w:val="00907CF1"/>
    <w:rsid w:val="009104AB"/>
    <w:rsid w:val="009113E7"/>
    <w:rsid w:val="009118C7"/>
    <w:rsid w:val="00911CDA"/>
    <w:rsid w:val="009126E5"/>
    <w:rsid w:val="00912808"/>
    <w:rsid w:val="00914AEC"/>
    <w:rsid w:val="00915316"/>
    <w:rsid w:val="0091648E"/>
    <w:rsid w:val="0091680C"/>
    <w:rsid w:val="00916B32"/>
    <w:rsid w:val="00916EB5"/>
    <w:rsid w:val="00917D76"/>
    <w:rsid w:val="00917DBE"/>
    <w:rsid w:val="00917E51"/>
    <w:rsid w:val="00917E8A"/>
    <w:rsid w:val="00917F2F"/>
    <w:rsid w:val="009201A0"/>
    <w:rsid w:val="0092046E"/>
    <w:rsid w:val="009210B0"/>
    <w:rsid w:val="00921641"/>
    <w:rsid w:val="00921B69"/>
    <w:rsid w:val="009223A1"/>
    <w:rsid w:val="009225B6"/>
    <w:rsid w:val="00922F4C"/>
    <w:rsid w:val="00923B4E"/>
    <w:rsid w:val="009242CA"/>
    <w:rsid w:val="009243A0"/>
    <w:rsid w:val="00925015"/>
    <w:rsid w:val="00925397"/>
    <w:rsid w:val="009253F5"/>
    <w:rsid w:val="0092749D"/>
    <w:rsid w:val="0092756A"/>
    <w:rsid w:val="009278D3"/>
    <w:rsid w:val="00930DFA"/>
    <w:rsid w:val="0093148D"/>
    <w:rsid w:val="009322CA"/>
    <w:rsid w:val="00932A7E"/>
    <w:rsid w:val="0093351B"/>
    <w:rsid w:val="0093382E"/>
    <w:rsid w:val="00933A21"/>
    <w:rsid w:val="009345EE"/>
    <w:rsid w:val="00934C10"/>
    <w:rsid w:val="00934FF6"/>
    <w:rsid w:val="00934FFB"/>
    <w:rsid w:val="0093564E"/>
    <w:rsid w:val="0093662A"/>
    <w:rsid w:val="009369E8"/>
    <w:rsid w:val="009369F1"/>
    <w:rsid w:val="00936E5C"/>
    <w:rsid w:val="009375C3"/>
    <w:rsid w:val="009375D1"/>
    <w:rsid w:val="00940015"/>
    <w:rsid w:val="009401CE"/>
    <w:rsid w:val="00940214"/>
    <w:rsid w:val="00940345"/>
    <w:rsid w:val="0094051B"/>
    <w:rsid w:val="0094060C"/>
    <w:rsid w:val="00940666"/>
    <w:rsid w:val="009421D6"/>
    <w:rsid w:val="00942E5B"/>
    <w:rsid w:val="009431FC"/>
    <w:rsid w:val="00943BB4"/>
    <w:rsid w:val="00943F66"/>
    <w:rsid w:val="00944075"/>
    <w:rsid w:val="00947042"/>
    <w:rsid w:val="00947B88"/>
    <w:rsid w:val="00947E32"/>
    <w:rsid w:val="0095038D"/>
    <w:rsid w:val="0095096B"/>
    <w:rsid w:val="00950A6F"/>
    <w:rsid w:val="00951550"/>
    <w:rsid w:val="00951CBC"/>
    <w:rsid w:val="00951F5C"/>
    <w:rsid w:val="00952389"/>
    <w:rsid w:val="0095316A"/>
    <w:rsid w:val="009533AB"/>
    <w:rsid w:val="009534AA"/>
    <w:rsid w:val="009535E8"/>
    <w:rsid w:val="009538BD"/>
    <w:rsid w:val="00953928"/>
    <w:rsid w:val="00953EE0"/>
    <w:rsid w:val="0095408A"/>
    <w:rsid w:val="00954331"/>
    <w:rsid w:val="0095444A"/>
    <w:rsid w:val="00955A4A"/>
    <w:rsid w:val="00955A7E"/>
    <w:rsid w:val="0095736E"/>
    <w:rsid w:val="009606A5"/>
    <w:rsid w:val="00962C79"/>
    <w:rsid w:val="00962F1F"/>
    <w:rsid w:val="00962FD0"/>
    <w:rsid w:val="00963351"/>
    <w:rsid w:val="00963702"/>
    <w:rsid w:val="00964083"/>
    <w:rsid w:val="00964B6F"/>
    <w:rsid w:val="00965304"/>
    <w:rsid w:val="009655F0"/>
    <w:rsid w:val="00966D01"/>
    <w:rsid w:val="00966F1B"/>
    <w:rsid w:val="00966FC7"/>
    <w:rsid w:val="00970041"/>
    <w:rsid w:val="00970715"/>
    <w:rsid w:val="00971293"/>
    <w:rsid w:val="009716E3"/>
    <w:rsid w:val="00971FA5"/>
    <w:rsid w:val="009733BF"/>
    <w:rsid w:val="0097363E"/>
    <w:rsid w:val="009736BB"/>
    <w:rsid w:val="00973926"/>
    <w:rsid w:val="00973A3B"/>
    <w:rsid w:val="00973C8C"/>
    <w:rsid w:val="009743B9"/>
    <w:rsid w:val="00975B1A"/>
    <w:rsid w:val="00975C03"/>
    <w:rsid w:val="00976025"/>
    <w:rsid w:val="00976205"/>
    <w:rsid w:val="0097674A"/>
    <w:rsid w:val="009770D0"/>
    <w:rsid w:val="009779EA"/>
    <w:rsid w:val="009802F4"/>
    <w:rsid w:val="009806A7"/>
    <w:rsid w:val="009808AB"/>
    <w:rsid w:val="00980AFF"/>
    <w:rsid w:val="00981045"/>
    <w:rsid w:val="00981930"/>
    <w:rsid w:val="00981D12"/>
    <w:rsid w:val="00981E6C"/>
    <w:rsid w:val="00981F02"/>
    <w:rsid w:val="00982227"/>
    <w:rsid w:val="00982532"/>
    <w:rsid w:val="00982678"/>
    <w:rsid w:val="00982B0B"/>
    <w:rsid w:val="009832DB"/>
    <w:rsid w:val="00983797"/>
    <w:rsid w:val="00983EAE"/>
    <w:rsid w:val="00984816"/>
    <w:rsid w:val="00984D51"/>
    <w:rsid w:val="00985663"/>
    <w:rsid w:val="00985FBF"/>
    <w:rsid w:val="00986122"/>
    <w:rsid w:val="0098682E"/>
    <w:rsid w:val="0098760B"/>
    <w:rsid w:val="00987A2A"/>
    <w:rsid w:val="00991AAF"/>
    <w:rsid w:val="00991EF7"/>
    <w:rsid w:val="00993124"/>
    <w:rsid w:val="00993C75"/>
    <w:rsid w:val="0099406B"/>
    <w:rsid w:val="009960C3"/>
    <w:rsid w:val="00996113"/>
    <w:rsid w:val="0099768E"/>
    <w:rsid w:val="00997864"/>
    <w:rsid w:val="009A11DD"/>
    <w:rsid w:val="009A3D48"/>
    <w:rsid w:val="009A3DF3"/>
    <w:rsid w:val="009A5563"/>
    <w:rsid w:val="009A5FB5"/>
    <w:rsid w:val="009B27DD"/>
    <w:rsid w:val="009B29E0"/>
    <w:rsid w:val="009B30AA"/>
    <w:rsid w:val="009B3B00"/>
    <w:rsid w:val="009B3CCB"/>
    <w:rsid w:val="009B4265"/>
    <w:rsid w:val="009B49FD"/>
    <w:rsid w:val="009B5217"/>
    <w:rsid w:val="009B69DB"/>
    <w:rsid w:val="009B70DB"/>
    <w:rsid w:val="009C0A06"/>
    <w:rsid w:val="009C1941"/>
    <w:rsid w:val="009C1C25"/>
    <w:rsid w:val="009C2151"/>
    <w:rsid w:val="009C3FC6"/>
    <w:rsid w:val="009C4798"/>
    <w:rsid w:val="009C48DE"/>
    <w:rsid w:val="009C677B"/>
    <w:rsid w:val="009C7583"/>
    <w:rsid w:val="009C7861"/>
    <w:rsid w:val="009C7A5B"/>
    <w:rsid w:val="009C7EFF"/>
    <w:rsid w:val="009D0A6A"/>
    <w:rsid w:val="009D0A6F"/>
    <w:rsid w:val="009D115B"/>
    <w:rsid w:val="009D1834"/>
    <w:rsid w:val="009D1B6B"/>
    <w:rsid w:val="009D2C29"/>
    <w:rsid w:val="009D2C61"/>
    <w:rsid w:val="009D3108"/>
    <w:rsid w:val="009D6394"/>
    <w:rsid w:val="009D7C68"/>
    <w:rsid w:val="009D7CBF"/>
    <w:rsid w:val="009E003B"/>
    <w:rsid w:val="009E065D"/>
    <w:rsid w:val="009E19C4"/>
    <w:rsid w:val="009E1D16"/>
    <w:rsid w:val="009E1E1E"/>
    <w:rsid w:val="009E20D2"/>
    <w:rsid w:val="009E33E3"/>
    <w:rsid w:val="009E3657"/>
    <w:rsid w:val="009E365B"/>
    <w:rsid w:val="009E3D39"/>
    <w:rsid w:val="009E44CB"/>
    <w:rsid w:val="009E4C84"/>
    <w:rsid w:val="009E4DC6"/>
    <w:rsid w:val="009E5590"/>
    <w:rsid w:val="009E55B4"/>
    <w:rsid w:val="009E561E"/>
    <w:rsid w:val="009E66D2"/>
    <w:rsid w:val="009E7E78"/>
    <w:rsid w:val="009E7F16"/>
    <w:rsid w:val="009F16A7"/>
    <w:rsid w:val="009F20B3"/>
    <w:rsid w:val="009F26A9"/>
    <w:rsid w:val="009F2957"/>
    <w:rsid w:val="009F2D7D"/>
    <w:rsid w:val="009F4871"/>
    <w:rsid w:val="009F5052"/>
    <w:rsid w:val="009F5376"/>
    <w:rsid w:val="009F5817"/>
    <w:rsid w:val="009F5CB5"/>
    <w:rsid w:val="009F5E35"/>
    <w:rsid w:val="009F5FFE"/>
    <w:rsid w:val="009F65C7"/>
    <w:rsid w:val="009F6677"/>
    <w:rsid w:val="009F6AD9"/>
    <w:rsid w:val="009F7C6E"/>
    <w:rsid w:val="00A00842"/>
    <w:rsid w:val="00A00857"/>
    <w:rsid w:val="00A011A1"/>
    <w:rsid w:val="00A0167E"/>
    <w:rsid w:val="00A017E6"/>
    <w:rsid w:val="00A020B3"/>
    <w:rsid w:val="00A024FF"/>
    <w:rsid w:val="00A02A1C"/>
    <w:rsid w:val="00A034B7"/>
    <w:rsid w:val="00A04C85"/>
    <w:rsid w:val="00A05B30"/>
    <w:rsid w:val="00A05F97"/>
    <w:rsid w:val="00A0654A"/>
    <w:rsid w:val="00A06639"/>
    <w:rsid w:val="00A07467"/>
    <w:rsid w:val="00A07489"/>
    <w:rsid w:val="00A07F53"/>
    <w:rsid w:val="00A100F0"/>
    <w:rsid w:val="00A107BD"/>
    <w:rsid w:val="00A12027"/>
    <w:rsid w:val="00A12030"/>
    <w:rsid w:val="00A12C9A"/>
    <w:rsid w:val="00A13C4C"/>
    <w:rsid w:val="00A141F1"/>
    <w:rsid w:val="00A156E6"/>
    <w:rsid w:val="00A1596E"/>
    <w:rsid w:val="00A164A3"/>
    <w:rsid w:val="00A17AD1"/>
    <w:rsid w:val="00A17F61"/>
    <w:rsid w:val="00A17F87"/>
    <w:rsid w:val="00A20C1B"/>
    <w:rsid w:val="00A220E8"/>
    <w:rsid w:val="00A2278D"/>
    <w:rsid w:val="00A228AA"/>
    <w:rsid w:val="00A23C8B"/>
    <w:rsid w:val="00A23DBC"/>
    <w:rsid w:val="00A241D0"/>
    <w:rsid w:val="00A247DA"/>
    <w:rsid w:val="00A257C5"/>
    <w:rsid w:val="00A267BA"/>
    <w:rsid w:val="00A27630"/>
    <w:rsid w:val="00A27CE3"/>
    <w:rsid w:val="00A27D86"/>
    <w:rsid w:val="00A30566"/>
    <w:rsid w:val="00A30CED"/>
    <w:rsid w:val="00A316C0"/>
    <w:rsid w:val="00A32F8F"/>
    <w:rsid w:val="00A33151"/>
    <w:rsid w:val="00A33472"/>
    <w:rsid w:val="00A339B0"/>
    <w:rsid w:val="00A34E2C"/>
    <w:rsid w:val="00A35086"/>
    <w:rsid w:val="00A36792"/>
    <w:rsid w:val="00A36970"/>
    <w:rsid w:val="00A36F09"/>
    <w:rsid w:val="00A4175E"/>
    <w:rsid w:val="00A41EB4"/>
    <w:rsid w:val="00A42304"/>
    <w:rsid w:val="00A4250D"/>
    <w:rsid w:val="00A429BC"/>
    <w:rsid w:val="00A42C05"/>
    <w:rsid w:val="00A437B0"/>
    <w:rsid w:val="00A438ED"/>
    <w:rsid w:val="00A43929"/>
    <w:rsid w:val="00A442F6"/>
    <w:rsid w:val="00A44BFF"/>
    <w:rsid w:val="00A463EC"/>
    <w:rsid w:val="00A465DB"/>
    <w:rsid w:val="00A46946"/>
    <w:rsid w:val="00A470D3"/>
    <w:rsid w:val="00A47468"/>
    <w:rsid w:val="00A47B55"/>
    <w:rsid w:val="00A501E3"/>
    <w:rsid w:val="00A5083C"/>
    <w:rsid w:val="00A50F0C"/>
    <w:rsid w:val="00A51A80"/>
    <w:rsid w:val="00A51F08"/>
    <w:rsid w:val="00A523C1"/>
    <w:rsid w:val="00A523F4"/>
    <w:rsid w:val="00A52660"/>
    <w:rsid w:val="00A52C8D"/>
    <w:rsid w:val="00A52DEE"/>
    <w:rsid w:val="00A52F12"/>
    <w:rsid w:val="00A53716"/>
    <w:rsid w:val="00A53A5D"/>
    <w:rsid w:val="00A53E2E"/>
    <w:rsid w:val="00A53F50"/>
    <w:rsid w:val="00A544FA"/>
    <w:rsid w:val="00A547A3"/>
    <w:rsid w:val="00A548F9"/>
    <w:rsid w:val="00A54E12"/>
    <w:rsid w:val="00A54E21"/>
    <w:rsid w:val="00A558F1"/>
    <w:rsid w:val="00A5618A"/>
    <w:rsid w:val="00A56399"/>
    <w:rsid w:val="00A56441"/>
    <w:rsid w:val="00A57134"/>
    <w:rsid w:val="00A57393"/>
    <w:rsid w:val="00A618BF"/>
    <w:rsid w:val="00A62127"/>
    <w:rsid w:val="00A6326C"/>
    <w:rsid w:val="00A63930"/>
    <w:rsid w:val="00A644A3"/>
    <w:rsid w:val="00A651B7"/>
    <w:rsid w:val="00A6689E"/>
    <w:rsid w:val="00A670D4"/>
    <w:rsid w:val="00A70E20"/>
    <w:rsid w:val="00A71B0F"/>
    <w:rsid w:val="00A72818"/>
    <w:rsid w:val="00A72CAE"/>
    <w:rsid w:val="00A731A4"/>
    <w:rsid w:val="00A73208"/>
    <w:rsid w:val="00A736DD"/>
    <w:rsid w:val="00A73A82"/>
    <w:rsid w:val="00A7432D"/>
    <w:rsid w:val="00A75C72"/>
    <w:rsid w:val="00A75D1B"/>
    <w:rsid w:val="00A75E58"/>
    <w:rsid w:val="00A7610B"/>
    <w:rsid w:val="00A761A6"/>
    <w:rsid w:val="00A76B67"/>
    <w:rsid w:val="00A76E10"/>
    <w:rsid w:val="00A76E78"/>
    <w:rsid w:val="00A7728E"/>
    <w:rsid w:val="00A774EA"/>
    <w:rsid w:val="00A77DB8"/>
    <w:rsid w:val="00A8067B"/>
    <w:rsid w:val="00A806EB"/>
    <w:rsid w:val="00A809FF"/>
    <w:rsid w:val="00A81585"/>
    <w:rsid w:val="00A816E2"/>
    <w:rsid w:val="00A81A18"/>
    <w:rsid w:val="00A81E8B"/>
    <w:rsid w:val="00A81EDE"/>
    <w:rsid w:val="00A82248"/>
    <w:rsid w:val="00A8266C"/>
    <w:rsid w:val="00A82869"/>
    <w:rsid w:val="00A83056"/>
    <w:rsid w:val="00A85A1A"/>
    <w:rsid w:val="00A863B3"/>
    <w:rsid w:val="00A87232"/>
    <w:rsid w:val="00A8754E"/>
    <w:rsid w:val="00A8758C"/>
    <w:rsid w:val="00A87CF0"/>
    <w:rsid w:val="00A90E8C"/>
    <w:rsid w:val="00A91006"/>
    <w:rsid w:val="00A91576"/>
    <w:rsid w:val="00A92393"/>
    <w:rsid w:val="00A92538"/>
    <w:rsid w:val="00A92BAF"/>
    <w:rsid w:val="00A93381"/>
    <w:rsid w:val="00A9364C"/>
    <w:rsid w:val="00A93B5C"/>
    <w:rsid w:val="00A93B8C"/>
    <w:rsid w:val="00A93C17"/>
    <w:rsid w:val="00A9410F"/>
    <w:rsid w:val="00A944A9"/>
    <w:rsid w:val="00A94949"/>
    <w:rsid w:val="00A95E79"/>
    <w:rsid w:val="00A96099"/>
    <w:rsid w:val="00A9630A"/>
    <w:rsid w:val="00A968F4"/>
    <w:rsid w:val="00A96BF0"/>
    <w:rsid w:val="00A97127"/>
    <w:rsid w:val="00A9775A"/>
    <w:rsid w:val="00AA06F3"/>
    <w:rsid w:val="00AA08C6"/>
    <w:rsid w:val="00AA0BEB"/>
    <w:rsid w:val="00AA127E"/>
    <w:rsid w:val="00AA19AE"/>
    <w:rsid w:val="00AA1BC0"/>
    <w:rsid w:val="00AA2013"/>
    <w:rsid w:val="00AA2856"/>
    <w:rsid w:val="00AA3063"/>
    <w:rsid w:val="00AA3A94"/>
    <w:rsid w:val="00AA423D"/>
    <w:rsid w:val="00AA4DE4"/>
    <w:rsid w:val="00AA69D3"/>
    <w:rsid w:val="00AA6A95"/>
    <w:rsid w:val="00AA7DEC"/>
    <w:rsid w:val="00AB00E3"/>
    <w:rsid w:val="00AB0AE0"/>
    <w:rsid w:val="00AB10DE"/>
    <w:rsid w:val="00AB1AF1"/>
    <w:rsid w:val="00AB3460"/>
    <w:rsid w:val="00AB3668"/>
    <w:rsid w:val="00AB4940"/>
    <w:rsid w:val="00AB56C1"/>
    <w:rsid w:val="00AB5ED7"/>
    <w:rsid w:val="00AB61AD"/>
    <w:rsid w:val="00AB6C24"/>
    <w:rsid w:val="00AB7CD7"/>
    <w:rsid w:val="00AC0001"/>
    <w:rsid w:val="00AC0B4C"/>
    <w:rsid w:val="00AC13FE"/>
    <w:rsid w:val="00AC1CDF"/>
    <w:rsid w:val="00AC3A6F"/>
    <w:rsid w:val="00AC5B9E"/>
    <w:rsid w:val="00AC5F01"/>
    <w:rsid w:val="00AC656D"/>
    <w:rsid w:val="00AC7DB5"/>
    <w:rsid w:val="00AD0567"/>
    <w:rsid w:val="00AD0A2A"/>
    <w:rsid w:val="00AD0AEE"/>
    <w:rsid w:val="00AD1051"/>
    <w:rsid w:val="00AD2291"/>
    <w:rsid w:val="00AD3C6C"/>
    <w:rsid w:val="00AD3EFE"/>
    <w:rsid w:val="00AD49E3"/>
    <w:rsid w:val="00AD4B4F"/>
    <w:rsid w:val="00AD5C58"/>
    <w:rsid w:val="00AD660C"/>
    <w:rsid w:val="00AD6A9A"/>
    <w:rsid w:val="00AD79F3"/>
    <w:rsid w:val="00AE074F"/>
    <w:rsid w:val="00AE078B"/>
    <w:rsid w:val="00AE1668"/>
    <w:rsid w:val="00AE25F0"/>
    <w:rsid w:val="00AE36DA"/>
    <w:rsid w:val="00AE42C6"/>
    <w:rsid w:val="00AE48F5"/>
    <w:rsid w:val="00AE4926"/>
    <w:rsid w:val="00AE4F07"/>
    <w:rsid w:val="00AE627C"/>
    <w:rsid w:val="00AE6BE6"/>
    <w:rsid w:val="00AE6C8B"/>
    <w:rsid w:val="00AE7696"/>
    <w:rsid w:val="00AE7809"/>
    <w:rsid w:val="00AF0616"/>
    <w:rsid w:val="00AF06E5"/>
    <w:rsid w:val="00AF0D73"/>
    <w:rsid w:val="00AF0E28"/>
    <w:rsid w:val="00AF1480"/>
    <w:rsid w:val="00AF1788"/>
    <w:rsid w:val="00AF1824"/>
    <w:rsid w:val="00AF1E5E"/>
    <w:rsid w:val="00AF237C"/>
    <w:rsid w:val="00AF2F1D"/>
    <w:rsid w:val="00AF3ADA"/>
    <w:rsid w:val="00AF5D5E"/>
    <w:rsid w:val="00AF6A87"/>
    <w:rsid w:val="00AF6AB3"/>
    <w:rsid w:val="00AF6BD8"/>
    <w:rsid w:val="00AF6F9B"/>
    <w:rsid w:val="00AF7A07"/>
    <w:rsid w:val="00B007B7"/>
    <w:rsid w:val="00B0132C"/>
    <w:rsid w:val="00B01409"/>
    <w:rsid w:val="00B0149D"/>
    <w:rsid w:val="00B02655"/>
    <w:rsid w:val="00B04D8E"/>
    <w:rsid w:val="00B05126"/>
    <w:rsid w:val="00B0545D"/>
    <w:rsid w:val="00B059BC"/>
    <w:rsid w:val="00B05B09"/>
    <w:rsid w:val="00B068BF"/>
    <w:rsid w:val="00B109D6"/>
    <w:rsid w:val="00B10DBD"/>
    <w:rsid w:val="00B11164"/>
    <w:rsid w:val="00B11364"/>
    <w:rsid w:val="00B11F8D"/>
    <w:rsid w:val="00B11FB1"/>
    <w:rsid w:val="00B12283"/>
    <w:rsid w:val="00B126B3"/>
    <w:rsid w:val="00B131A9"/>
    <w:rsid w:val="00B13998"/>
    <w:rsid w:val="00B14AE1"/>
    <w:rsid w:val="00B14B0F"/>
    <w:rsid w:val="00B14E20"/>
    <w:rsid w:val="00B14F40"/>
    <w:rsid w:val="00B15629"/>
    <w:rsid w:val="00B15FEF"/>
    <w:rsid w:val="00B165C4"/>
    <w:rsid w:val="00B16A32"/>
    <w:rsid w:val="00B16AEF"/>
    <w:rsid w:val="00B16CC9"/>
    <w:rsid w:val="00B171A5"/>
    <w:rsid w:val="00B17C17"/>
    <w:rsid w:val="00B2016F"/>
    <w:rsid w:val="00B20404"/>
    <w:rsid w:val="00B21021"/>
    <w:rsid w:val="00B2203F"/>
    <w:rsid w:val="00B22727"/>
    <w:rsid w:val="00B22AAA"/>
    <w:rsid w:val="00B22ED8"/>
    <w:rsid w:val="00B230DB"/>
    <w:rsid w:val="00B2339C"/>
    <w:rsid w:val="00B2372C"/>
    <w:rsid w:val="00B2413D"/>
    <w:rsid w:val="00B24670"/>
    <w:rsid w:val="00B2473B"/>
    <w:rsid w:val="00B24CAC"/>
    <w:rsid w:val="00B250FE"/>
    <w:rsid w:val="00B25105"/>
    <w:rsid w:val="00B267EE"/>
    <w:rsid w:val="00B26DD6"/>
    <w:rsid w:val="00B27737"/>
    <w:rsid w:val="00B27921"/>
    <w:rsid w:val="00B308EC"/>
    <w:rsid w:val="00B322EB"/>
    <w:rsid w:val="00B32F70"/>
    <w:rsid w:val="00B32FF5"/>
    <w:rsid w:val="00B3365D"/>
    <w:rsid w:val="00B341DE"/>
    <w:rsid w:val="00B348AA"/>
    <w:rsid w:val="00B34AF4"/>
    <w:rsid w:val="00B3503D"/>
    <w:rsid w:val="00B35D0B"/>
    <w:rsid w:val="00B370E0"/>
    <w:rsid w:val="00B37357"/>
    <w:rsid w:val="00B373D0"/>
    <w:rsid w:val="00B37F84"/>
    <w:rsid w:val="00B40BB9"/>
    <w:rsid w:val="00B4142B"/>
    <w:rsid w:val="00B42C4B"/>
    <w:rsid w:val="00B42C99"/>
    <w:rsid w:val="00B43AAA"/>
    <w:rsid w:val="00B44A10"/>
    <w:rsid w:val="00B4507F"/>
    <w:rsid w:val="00B450F0"/>
    <w:rsid w:val="00B45F3C"/>
    <w:rsid w:val="00B45FDB"/>
    <w:rsid w:val="00B47206"/>
    <w:rsid w:val="00B4755F"/>
    <w:rsid w:val="00B47728"/>
    <w:rsid w:val="00B506E7"/>
    <w:rsid w:val="00B509BC"/>
    <w:rsid w:val="00B51270"/>
    <w:rsid w:val="00B51E59"/>
    <w:rsid w:val="00B52AA7"/>
    <w:rsid w:val="00B52C19"/>
    <w:rsid w:val="00B52F9A"/>
    <w:rsid w:val="00B53071"/>
    <w:rsid w:val="00B53139"/>
    <w:rsid w:val="00B53300"/>
    <w:rsid w:val="00B533A8"/>
    <w:rsid w:val="00B53E91"/>
    <w:rsid w:val="00B54425"/>
    <w:rsid w:val="00B544B4"/>
    <w:rsid w:val="00B547D7"/>
    <w:rsid w:val="00B55BF0"/>
    <w:rsid w:val="00B562CE"/>
    <w:rsid w:val="00B56568"/>
    <w:rsid w:val="00B5739F"/>
    <w:rsid w:val="00B60689"/>
    <w:rsid w:val="00B60B84"/>
    <w:rsid w:val="00B61D73"/>
    <w:rsid w:val="00B62A61"/>
    <w:rsid w:val="00B62DE2"/>
    <w:rsid w:val="00B62E1B"/>
    <w:rsid w:val="00B63EA4"/>
    <w:rsid w:val="00B6413B"/>
    <w:rsid w:val="00B64516"/>
    <w:rsid w:val="00B64AE8"/>
    <w:rsid w:val="00B650AB"/>
    <w:rsid w:val="00B65766"/>
    <w:rsid w:val="00B660BD"/>
    <w:rsid w:val="00B70412"/>
    <w:rsid w:val="00B70644"/>
    <w:rsid w:val="00B72D53"/>
    <w:rsid w:val="00B7322D"/>
    <w:rsid w:val="00B737D4"/>
    <w:rsid w:val="00B73949"/>
    <w:rsid w:val="00B7413F"/>
    <w:rsid w:val="00B74417"/>
    <w:rsid w:val="00B74D36"/>
    <w:rsid w:val="00B75275"/>
    <w:rsid w:val="00B7552C"/>
    <w:rsid w:val="00B756E7"/>
    <w:rsid w:val="00B757F4"/>
    <w:rsid w:val="00B77246"/>
    <w:rsid w:val="00B77532"/>
    <w:rsid w:val="00B811E8"/>
    <w:rsid w:val="00B81639"/>
    <w:rsid w:val="00B81C30"/>
    <w:rsid w:val="00B81CAB"/>
    <w:rsid w:val="00B81CD9"/>
    <w:rsid w:val="00B82982"/>
    <w:rsid w:val="00B82A90"/>
    <w:rsid w:val="00B82EC0"/>
    <w:rsid w:val="00B8491B"/>
    <w:rsid w:val="00B84B37"/>
    <w:rsid w:val="00B85042"/>
    <w:rsid w:val="00B8523B"/>
    <w:rsid w:val="00B85321"/>
    <w:rsid w:val="00B8534F"/>
    <w:rsid w:val="00B857CC"/>
    <w:rsid w:val="00B86350"/>
    <w:rsid w:val="00B866CD"/>
    <w:rsid w:val="00B87CD3"/>
    <w:rsid w:val="00B90E41"/>
    <w:rsid w:val="00B91A00"/>
    <w:rsid w:val="00B92A8F"/>
    <w:rsid w:val="00B93034"/>
    <w:rsid w:val="00B93424"/>
    <w:rsid w:val="00B934AE"/>
    <w:rsid w:val="00B9363E"/>
    <w:rsid w:val="00B93AB5"/>
    <w:rsid w:val="00B93AD3"/>
    <w:rsid w:val="00B943F3"/>
    <w:rsid w:val="00B95083"/>
    <w:rsid w:val="00B953DC"/>
    <w:rsid w:val="00B953F2"/>
    <w:rsid w:val="00B96114"/>
    <w:rsid w:val="00B962A2"/>
    <w:rsid w:val="00B96538"/>
    <w:rsid w:val="00B96F3F"/>
    <w:rsid w:val="00B9743B"/>
    <w:rsid w:val="00B976E0"/>
    <w:rsid w:val="00B97C5D"/>
    <w:rsid w:val="00BA098F"/>
    <w:rsid w:val="00BA0D49"/>
    <w:rsid w:val="00BA0DED"/>
    <w:rsid w:val="00BA105B"/>
    <w:rsid w:val="00BA1290"/>
    <w:rsid w:val="00BA215D"/>
    <w:rsid w:val="00BA2584"/>
    <w:rsid w:val="00BA2599"/>
    <w:rsid w:val="00BA259C"/>
    <w:rsid w:val="00BA27BD"/>
    <w:rsid w:val="00BA2DDB"/>
    <w:rsid w:val="00BA3101"/>
    <w:rsid w:val="00BA3297"/>
    <w:rsid w:val="00BA3C02"/>
    <w:rsid w:val="00BA4132"/>
    <w:rsid w:val="00BA4238"/>
    <w:rsid w:val="00BA4F23"/>
    <w:rsid w:val="00BA5391"/>
    <w:rsid w:val="00BA6256"/>
    <w:rsid w:val="00BA69FF"/>
    <w:rsid w:val="00BA7883"/>
    <w:rsid w:val="00BA7F1E"/>
    <w:rsid w:val="00BB0ACA"/>
    <w:rsid w:val="00BB1717"/>
    <w:rsid w:val="00BB1861"/>
    <w:rsid w:val="00BB18D2"/>
    <w:rsid w:val="00BB19F8"/>
    <w:rsid w:val="00BB24ED"/>
    <w:rsid w:val="00BB25E4"/>
    <w:rsid w:val="00BB2792"/>
    <w:rsid w:val="00BB382C"/>
    <w:rsid w:val="00BB39A5"/>
    <w:rsid w:val="00BB3AA7"/>
    <w:rsid w:val="00BB3F68"/>
    <w:rsid w:val="00BB4BC4"/>
    <w:rsid w:val="00BB51A8"/>
    <w:rsid w:val="00BB5625"/>
    <w:rsid w:val="00BB6509"/>
    <w:rsid w:val="00BB690E"/>
    <w:rsid w:val="00BB74AD"/>
    <w:rsid w:val="00BB76BF"/>
    <w:rsid w:val="00BC0634"/>
    <w:rsid w:val="00BC07EA"/>
    <w:rsid w:val="00BC0F25"/>
    <w:rsid w:val="00BC15F9"/>
    <w:rsid w:val="00BC1AD1"/>
    <w:rsid w:val="00BC4167"/>
    <w:rsid w:val="00BC4A58"/>
    <w:rsid w:val="00BC4FE6"/>
    <w:rsid w:val="00BC522C"/>
    <w:rsid w:val="00BC5878"/>
    <w:rsid w:val="00BC5AB9"/>
    <w:rsid w:val="00BC5E95"/>
    <w:rsid w:val="00BC613B"/>
    <w:rsid w:val="00BC6C7B"/>
    <w:rsid w:val="00BC7EA6"/>
    <w:rsid w:val="00BC7F90"/>
    <w:rsid w:val="00BD0343"/>
    <w:rsid w:val="00BD04DA"/>
    <w:rsid w:val="00BD1347"/>
    <w:rsid w:val="00BD1C38"/>
    <w:rsid w:val="00BD1E68"/>
    <w:rsid w:val="00BD23D3"/>
    <w:rsid w:val="00BD2A5D"/>
    <w:rsid w:val="00BD3048"/>
    <w:rsid w:val="00BD3400"/>
    <w:rsid w:val="00BD349B"/>
    <w:rsid w:val="00BD372E"/>
    <w:rsid w:val="00BD51D9"/>
    <w:rsid w:val="00BD5703"/>
    <w:rsid w:val="00BD5BA8"/>
    <w:rsid w:val="00BD5C76"/>
    <w:rsid w:val="00BD6169"/>
    <w:rsid w:val="00BD64E2"/>
    <w:rsid w:val="00BD7216"/>
    <w:rsid w:val="00BD728B"/>
    <w:rsid w:val="00BD78E9"/>
    <w:rsid w:val="00BD7980"/>
    <w:rsid w:val="00BE000C"/>
    <w:rsid w:val="00BE1071"/>
    <w:rsid w:val="00BE1818"/>
    <w:rsid w:val="00BE1A0D"/>
    <w:rsid w:val="00BE2661"/>
    <w:rsid w:val="00BE2BF9"/>
    <w:rsid w:val="00BE3320"/>
    <w:rsid w:val="00BE3797"/>
    <w:rsid w:val="00BE3E95"/>
    <w:rsid w:val="00BE462E"/>
    <w:rsid w:val="00BE4995"/>
    <w:rsid w:val="00BE5107"/>
    <w:rsid w:val="00BE55CA"/>
    <w:rsid w:val="00BE624F"/>
    <w:rsid w:val="00BE707C"/>
    <w:rsid w:val="00BE73E7"/>
    <w:rsid w:val="00BE7764"/>
    <w:rsid w:val="00BF26EF"/>
    <w:rsid w:val="00BF2A9D"/>
    <w:rsid w:val="00BF2E62"/>
    <w:rsid w:val="00BF32DB"/>
    <w:rsid w:val="00BF3573"/>
    <w:rsid w:val="00BF429A"/>
    <w:rsid w:val="00BF4B69"/>
    <w:rsid w:val="00BF4F64"/>
    <w:rsid w:val="00BF5895"/>
    <w:rsid w:val="00BF62BE"/>
    <w:rsid w:val="00BF6562"/>
    <w:rsid w:val="00BF6E19"/>
    <w:rsid w:val="00BF71DB"/>
    <w:rsid w:val="00C0023B"/>
    <w:rsid w:val="00C01D79"/>
    <w:rsid w:val="00C01F42"/>
    <w:rsid w:val="00C02067"/>
    <w:rsid w:val="00C036ED"/>
    <w:rsid w:val="00C051FD"/>
    <w:rsid w:val="00C05A51"/>
    <w:rsid w:val="00C06DBB"/>
    <w:rsid w:val="00C06E5D"/>
    <w:rsid w:val="00C06F1C"/>
    <w:rsid w:val="00C07126"/>
    <w:rsid w:val="00C073A6"/>
    <w:rsid w:val="00C11461"/>
    <w:rsid w:val="00C114D5"/>
    <w:rsid w:val="00C115E2"/>
    <w:rsid w:val="00C125B2"/>
    <w:rsid w:val="00C155BD"/>
    <w:rsid w:val="00C15D78"/>
    <w:rsid w:val="00C166A9"/>
    <w:rsid w:val="00C16853"/>
    <w:rsid w:val="00C16BA6"/>
    <w:rsid w:val="00C17753"/>
    <w:rsid w:val="00C2013A"/>
    <w:rsid w:val="00C2042C"/>
    <w:rsid w:val="00C204F8"/>
    <w:rsid w:val="00C213D6"/>
    <w:rsid w:val="00C21827"/>
    <w:rsid w:val="00C21F19"/>
    <w:rsid w:val="00C2213F"/>
    <w:rsid w:val="00C231A0"/>
    <w:rsid w:val="00C232B7"/>
    <w:rsid w:val="00C234FF"/>
    <w:rsid w:val="00C23554"/>
    <w:rsid w:val="00C24C70"/>
    <w:rsid w:val="00C24E3B"/>
    <w:rsid w:val="00C2632F"/>
    <w:rsid w:val="00C263F0"/>
    <w:rsid w:val="00C275A8"/>
    <w:rsid w:val="00C30C43"/>
    <w:rsid w:val="00C30CC3"/>
    <w:rsid w:val="00C32CD5"/>
    <w:rsid w:val="00C33822"/>
    <w:rsid w:val="00C33D41"/>
    <w:rsid w:val="00C34A8A"/>
    <w:rsid w:val="00C35B43"/>
    <w:rsid w:val="00C36297"/>
    <w:rsid w:val="00C374B8"/>
    <w:rsid w:val="00C37BCC"/>
    <w:rsid w:val="00C40106"/>
    <w:rsid w:val="00C4081F"/>
    <w:rsid w:val="00C40AFD"/>
    <w:rsid w:val="00C41BB5"/>
    <w:rsid w:val="00C41E20"/>
    <w:rsid w:val="00C42573"/>
    <w:rsid w:val="00C42E3E"/>
    <w:rsid w:val="00C441D8"/>
    <w:rsid w:val="00C45333"/>
    <w:rsid w:val="00C45F67"/>
    <w:rsid w:val="00C46023"/>
    <w:rsid w:val="00C46142"/>
    <w:rsid w:val="00C4680C"/>
    <w:rsid w:val="00C47AD6"/>
    <w:rsid w:val="00C511D2"/>
    <w:rsid w:val="00C5166F"/>
    <w:rsid w:val="00C51C13"/>
    <w:rsid w:val="00C51D70"/>
    <w:rsid w:val="00C51ECB"/>
    <w:rsid w:val="00C52295"/>
    <w:rsid w:val="00C525A5"/>
    <w:rsid w:val="00C5300F"/>
    <w:rsid w:val="00C53069"/>
    <w:rsid w:val="00C531FA"/>
    <w:rsid w:val="00C53710"/>
    <w:rsid w:val="00C53718"/>
    <w:rsid w:val="00C54951"/>
    <w:rsid w:val="00C54FAC"/>
    <w:rsid w:val="00C55AC9"/>
    <w:rsid w:val="00C563A1"/>
    <w:rsid w:val="00C566DC"/>
    <w:rsid w:val="00C5678C"/>
    <w:rsid w:val="00C5678E"/>
    <w:rsid w:val="00C56D1A"/>
    <w:rsid w:val="00C578DF"/>
    <w:rsid w:val="00C57A3C"/>
    <w:rsid w:val="00C57BF3"/>
    <w:rsid w:val="00C6035D"/>
    <w:rsid w:val="00C60E12"/>
    <w:rsid w:val="00C61292"/>
    <w:rsid w:val="00C615CC"/>
    <w:rsid w:val="00C61739"/>
    <w:rsid w:val="00C61CCB"/>
    <w:rsid w:val="00C620B7"/>
    <w:rsid w:val="00C649EA"/>
    <w:rsid w:val="00C65824"/>
    <w:rsid w:val="00C65EFD"/>
    <w:rsid w:val="00C66CE0"/>
    <w:rsid w:val="00C6704B"/>
    <w:rsid w:val="00C67B44"/>
    <w:rsid w:val="00C70486"/>
    <w:rsid w:val="00C70978"/>
    <w:rsid w:val="00C70A68"/>
    <w:rsid w:val="00C717C5"/>
    <w:rsid w:val="00C71BED"/>
    <w:rsid w:val="00C71C61"/>
    <w:rsid w:val="00C72AA9"/>
    <w:rsid w:val="00C72B1E"/>
    <w:rsid w:val="00C73020"/>
    <w:rsid w:val="00C738C2"/>
    <w:rsid w:val="00C747C0"/>
    <w:rsid w:val="00C74CF7"/>
    <w:rsid w:val="00C756D3"/>
    <w:rsid w:val="00C75DCC"/>
    <w:rsid w:val="00C76B75"/>
    <w:rsid w:val="00C7759C"/>
    <w:rsid w:val="00C776F4"/>
    <w:rsid w:val="00C77D00"/>
    <w:rsid w:val="00C810A2"/>
    <w:rsid w:val="00C8115A"/>
    <w:rsid w:val="00C81A63"/>
    <w:rsid w:val="00C81B53"/>
    <w:rsid w:val="00C82AD2"/>
    <w:rsid w:val="00C82CD2"/>
    <w:rsid w:val="00C8322E"/>
    <w:rsid w:val="00C834E4"/>
    <w:rsid w:val="00C83734"/>
    <w:rsid w:val="00C8447A"/>
    <w:rsid w:val="00C8594A"/>
    <w:rsid w:val="00C85EEF"/>
    <w:rsid w:val="00C86772"/>
    <w:rsid w:val="00C86CDB"/>
    <w:rsid w:val="00C90005"/>
    <w:rsid w:val="00C90AF8"/>
    <w:rsid w:val="00C90EA9"/>
    <w:rsid w:val="00C90FB6"/>
    <w:rsid w:val="00C9149C"/>
    <w:rsid w:val="00C9220E"/>
    <w:rsid w:val="00C92628"/>
    <w:rsid w:val="00C932BD"/>
    <w:rsid w:val="00C93429"/>
    <w:rsid w:val="00C95968"/>
    <w:rsid w:val="00C9624A"/>
    <w:rsid w:val="00C968FB"/>
    <w:rsid w:val="00C9762E"/>
    <w:rsid w:val="00CA09D7"/>
    <w:rsid w:val="00CA0A1F"/>
    <w:rsid w:val="00CA0EF8"/>
    <w:rsid w:val="00CA1544"/>
    <w:rsid w:val="00CA16C5"/>
    <w:rsid w:val="00CA28CA"/>
    <w:rsid w:val="00CA2FD0"/>
    <w:rsid w:val="00CA415A"/>
    <w:rsid w:val="00CA4718"/>
    <w:rsid w:val="00CA56AF"/>
    <w:rsid w:val="00CA5D3D"/>
    <w:rsid w:val="00CA5F85"/>
    <w:rsid w:val="00CA5FF2"/>
    <w:rsid w:val="00CA60B2"/>
    <w:rsid w:val="00CA7830"/>
    <w:rsid w:val="00CA793B"/>
    <w:rsid w:val="00CA79C3"/>
    <w:rsid w:val="00CA7A35"/>
    <w:rsid w:val="00CB0722"/>
    <w:rsid w:val="00CB0BF4"/>
    <w:rsid w:val="00CB1536"/>
    <w:rsid w:val="00CB18D3"/>
    <w:rsid w:val="00CB1F5F"/>
    <w:rsid w:val="00CB2825"/>
    <w:rsid w:val="00CB2C50"/>
    <w:rsid w:val="00CB37D8"/>
    <w:rsid w:val="00CB5237"/>
    <w:rsid w:val="00CB5C02"/>
    <w:rsid w:val="00CB5D36"/>
    <w:rsid w:val="00CB5F3C"/>
    <w:rsid w:val="00CB5FA1"/>
    <w:rsid w:val="00CB62D9"/>
    <w:rsid w:val="00CB71C7"/>
    <w:rsid w:val="00CB72ED"/>
    <w:rsid w:val="00CB7582"/>
    <w:rsid w:val="00CB7A53"/>
    <w:rsid w:val="00CB7B9F"/>
    <w:rsid w:val="00CB7FB8"/>
    <w:rsid w:val="00CB7FE8"/>
    <w:rsid w:val="00CC045F"/>
    <w:rsid w:val="00CC07AA"/>
    <w:rsid w:val="00CC0D27"/>
    <w:rsid w:val="00CC0F50"/>
    <w:rsid w:val="00CC11E1"/>
    <w:rsid w:val="00CC16E7"/>
    <w:rsid w:val="00CC19DD"/>
    <w:rsid w:val="00CC19FB"/>
    <w:rsid w:val="00CC1F71"/>
    <w:rsid w:val="00CC255A"/>
    <w:rsid w:val="00CC27C4"/>
    <w:rsid w:val="00CC2DC7"/>
    <w:rsid w:val="00CC3146"/>
    <w:rsid w:val="00CC490C"/>
    <w:rsid w:val="00CC4F55"/>
    <w:rsid w:val="00CC5EB3"/>
    <w:rsid w:val="00CC5ED1"/>
    <w:rsid w:val="00CC6780"/>
    <w:rsid w:val="00CC6ADF"/>
    <w:rsid w:val="00CC7681"/>
    <w:rsid w:val="00CD09B8"/>
    <w:rsid w:val="00CD0E7B"/>
    <w:rsid w:val="00CD14ED"/>
    <w:rsid w:val="00CD1734"/>
    <w:rsid w:val="00CD198D"/>
    <w:rsid w:val="00CD1A46"/>
    <w:rsid w:val="00CD1D7A"/>
    <w:rsid w:val="00CD225B"/>
    <w:rsid w:val="00CD242F"/>
    <w:rsid w:val="00CD267B"/>
    <w:rsid w:val="00CD284A"/>
    <w:rsid w:val="00CD2A22"/>
    <w:rsid w:val="00CD2ABD"/>
    <w:rsid w:val="00CD2D4D"/>
    <w:rsid w:val="00CD3533"/>
    <w:rsid w:val="00CD3E82"/>
    <w:rsid w:val="00CD4024"/>
    <w:rsid w:val="00CD4617"/>
    <w:rsid w:val="00CD4855"/>
    <w:rsid w:val="00CD49E3"/>
    <w:rsid w:val="00CD4C3C"/>
    <w:rsid w:val="00CD702D"/>
    <w:rsid w:val="00CD7150"/>
    <w:rsid w:val="00CE0A4A"/>
    <w:rsid w:val="00CE16FD"/>
    <w:rsid w:val="00CE1908"/>
    <w:rsid w:val="00CE4184"/>
    <w:rsid w:val="00CE4C23"/>
    <w:rsid w:val="00CE4DC3"/>
    <w:rsid w:val="00CE54B7"/>
    <w:rsid w:val="00CE55DB"/>
    <w:rsid w:val="00CE6C32"/>
    <w:rsid w:val="00CE6D43"/>
    <w:rsid w:val="00CE7541"/>
    <w:rsid w:val="00CE7644"/>
    <w:rsid w:val="00CE7743"/>
    <w:rsid w:val="00CE7888"/>
    <w:rsid w:val="00CE7A5F"/>
    <w:rsid w:val="00CE7DCE"/>
    <w:rsid w:val="00CF0DD1"/>
    <w:rsid w:val="00CF13A7"/>
    <w:rsid w:val="00CF1775"/>
    <w:rsid w:val="00CF197D"/>
    <w:rsid w:val="00CF285F"/>
    <w:rsid w:val="00CF2FE4"/>
    <w:rsid w:val="00CF3BA9"/>
    <w:rsid w:val="00CF4ADF"/>
    <w:rsid w:val="00CF59BE"/>
    <w:rsid w:val="00CF5A78"/>
    <w:rsid w:val="00CF6688"/>
    <w:rsid w:val="00CF6F2E"/>
    <w:rsid w:val="00CF7A60"/>
    <w:rsid w:val="00CF7F66"/>
    <w:rsid w:val="00D00273"/>
    <w:rsid w:val="00D00ECC"/>
    <w:rsid w:val="00D02CB0"/>
    <w:rsid w:val="00D03F6E"/>
    <w:rsid w:val="00D04AB6"/>
    <w:rsid w:val="00D04D4F"/>
    <w:rsid w:val="00D0650B"/>
    <w:rsid w:val="00D065FB"/>
    <w:rsid w:val="00D06AA3"/>
    <w:rsid w:val="00D06B82"/>
    <w:rsid w:val="00D10E1C"/>
    <w:rsid w:val="00D11ADB"/>
    <w:rsid w:val="00D120BB"/>
    <w:rsid w:val="00D13CE2"/>
    <w:rsid w:val="00D13D0E"/>
    <w:rsid w:val="00D14774"/>
    <w:rsid w:val="00D158B2"/>
    <w:rsid w:val="00D161A3"/>
    <w:rsid w:val="00D173E4"/>
    <w:rsid w:val="00D17D83"/>
    <w:rsid w:val="00D2027F"/>
    <w:rsid w:val="00D216BC"/>
    <w:rsid w:val="00D21BBE"/>
    <w:rsid w:val="00D223A2"/>
    <w:rsid w:val="00D2275F"/>
    <w:rsid w:val="00D22E49"/>
    <w:rsid w:val="00D23716"/>
    <w:rsid w:val="00D24042"/>
    <w:rsid w:val="00D25C3E"/>
    <w:rsid w:val="00D25ED8"/>
    <w:rsid w:val="00D26EC6"/>
    <w:rsid w:val="00D27F8F"/>
    <w:rsid w:val="00D30895"/>
    <w:rsid w:val="00D3160C"/>
    <w:rsid w:val="00D316B8"/>
    <w:rsid w:val="00D31CFC"/>
    <w:rsid w:val="00D321CE"/>
    <w:rsid w:val="00D3255D"/>
    <w:rsid w:val="00D32C09"/>
    <w:rsid w:val="00D331A2"/>
    <w:rsid w:val="00D33DA2"/>
    <w:rsid w:val="00D340C3"/>
    <w:rsid w:val="00D34330"/>
    <w:rsid w:val="00D3459F"/>
    <w:rsid w:val="00D34BF0"/>
    <w:rsid w:val="00D34EEC"/>
    <w:rsid w:val="00D351EB"/>
    <w:rsid w:val="00D3536F"/>
    <w:rsid w:val="00D356F2"/>
    <w:rsid w:val="00D357A2"/>
    <w:rsid w:val="00D35A7A"/>
    <w:rsid w:val="00D36952"/>
    <w:rsid w:val="00D36A82"/>
    <w:rsid w:val="00D36BAF"/>
    <w:rsid w:val="00D36D9A"/>
    <w:rsid w:val="00D409CD"/>
    <w:rsid w:val="00D4195A"/>
    <w:rsid w:val="00D423D4"/>
    <w:rsid w:val="00D42A4D"/>
    <w:rsid w:val="00D42CAF"/>
    <w:rsid w:val="00D4405F"/>
    <w:rsid w:val="00D44721"/>
    <w:rsid w:val="00D44857"/>
    <w:rsid w:val="00D4546D"/>
    <w:rsid w:val="00D455DE"/>
    <w:rsid w:val="00D4657C"/>
    <w:rsid w:val="00D46A1D"/>
    <w:rsid w:val="00D4763B"/>
    <w:rsid w:val="00D47CE9"/>
    <w:rsid w:val="00D506C4"/>
    <w:rsid w:val="00D51515"/>
    <w:rsid w:val="00D51A15"/>
    <w:rsid w:val="00D52116"/>
    <w:rsid w:val="00D5234C"/>
    <w:rsid w:val="00D53136"/>
    <w:rsid w:val="00D54A1F"/>
    <w:rsid w:val="00D54BB2"/>
    <w:rsid w:val="00D54CD3"/>
    <w:rsid w:val="00D54E13"/>
    <w:rsid w:val="00D55EA1"/>
    <w:rsid w:val="00D568A2"/>
    <w:rsid w:val="00D57311"/>
    <w:rsid w:val="00D578CA"/>
    <w:rsid w:val="00D601EF"/>
    <w:rsid w:val="00D604F8"/>
    <w:rsid w:val="00D60729"/>
    <w:rsid w:val="00D6087A"/>
    <w:rsid w:val="00D60D74"/>
    <w:rsid w:val="00D613CF"/>
    <w:rsid w:val="00D61533"/>
    <w:rsid w:val="00D61DD4"/>
    <w:rsid w:val="00D62136"/>
    <w:rsid w:val="00D6277E"/>
    <w:rsid w:val="00D63B2F"/>
    <w:rsid w:val="00D64945"/>
    <w:rsid w:val="00D64DE2"/>
    <w:rsid w:val="00D65C47"/>
    <w:rsid w:val="00D66249"/>
    <w:rsid w:val="00D66912"/>
    <w:rsid w:val="00D66A84"/>
    <w:rsid w:val="00D66B0F"/>
    <w:rsid w:val="00D66BA7"/>
    <w:rsid w:val="00D67278"/>
    <w:rsid w:val="00D67636"/>
    <w:rsid w:val="00D700FF"/>
    <w:rsid w:val="00D7013B"/>
    <w:rsid w:val="00D70176"/>
    <w:rsid w:val="00D7045F"/>
    <w:rsid w:val="00D70747"/>
    <w:rsid w:val="00D70A4F"/>
    <w:rsid w:val="00D70BF4"/>
    <w:rsid w:val="00D7118A"/>
    <w:rsid w:val="00D71E1A"/>
    <w:rsid w:val="00D71E20"/>
    <w:rsid w:val="00D7261D"/>
    <w:rsid w:val="00D72D12"/>
    <w:rsid w:val="00D72EB1"/>
    <w:rsid w:val="00D73101"/>
    <w:rsid w:val="00D73913"/>
    <w:rsid w:val="00D747FD"/>
    <w:rsid w:val="00D74815"/>
    <w:rsid w:val="00D74CF8"/>
    <w:rsid w:val="00D755F2"/>
    <w:rsid w:val="00D755FC"/>
    <w:rsid w:val="00D76A92"/>
    <w:rsid w:val="00D76B6D"/>
    <w:rsid w:val="00D7716B"/>
    <w:rsid w:val="00D77863"/>
    <w:rsid w:val="00D80DBB"/>
    <w:rsid w:val="00D80E77"/>
    <w:rsid w:val="00D82B44"/>
    <w:rsid w:val="00D831EC"/>
    <w:rsid w:val="00D84191"/>
    <w:rsid w:val="00D84756"/>
    <w:rsid w:val="00D84D07"/>
    <w:rsid w:val="00D8526A"/>
    <w:rsid w:val="00D85797"/>
    <w:rsid w:val="00D858FC"/>
    <w:rsid w:val="00D86676"/>
    <w:rsid w:val="00D8750C"/>
    <w:rsid w:val="00D875BC"/>
    <w:rsid w:val="00D87BC1"/>
    <w:rsid w:val="00D907C6"/>
    <w:rsid w:val="00D90E17"/>
    <w:rsid w:val="00D90E91"/>
    <w:rsid w:val="00D91318"/>
    <w:rsid w:val="00D91DDC"/>
    <w:rsid w:val="00D91E1B"/>
    <w:rsid w:val="00D92AE2"/>
    <w:rsid w:val="00D92E72"/>
    <w:rsid w:val="00D934A2"/>
    <w:rsid w:val="00D939A9"/>
    <w:rsid w:val="00D93B3D"/>
    <w:rsid w:val="00D93CA9"/>
    <w:rsid w:val="00D94265"/>
    <w:rsid w:val="00D94634"/>
    <w:rsid w:val="00D9521D"/>
    <w:rsid w:val="00D95C9F"/>
    <w:rsid w:val="00D9654E"/>
    <w:rsid w:val="00D975FF"/>
    <w:rsid w:val="00DA008E"/>
    <w:rsid w:val="00DA378C"/>
    <w:rsid w:val="00DA3A4B"/>
    <w:rsid w:val="00DA41C9"/>
    <w:rsid w:val="00DA4208"/>
    <w:rsid w:val="00DA4806"/>
    <w:rsid w:val="00DA4C38"/>
    <w:rsid w:val="00DA5085"/>
    <w:rsid w:val="00DA54BF"/>
    <w:rsid w:val="00DA5A93"/>
    <w:rsid w:val="00DA62C6"/>
    <w:rsid w:val="00DA69C0"/>
    <w:rsid w:val="00DA6A89"/>
    <w:rsid w:val="00DA6B21"/>
    <w:rsid w:val="00DA6BA7"/>
    <w:rsid w:val="00DA717D"/>
    <w:rsid w:val="00DA789E"/>
    <w:rsid w:val="00DA79D6"/>
    <w:rsid w:val="00DA7D7A"/>
    <w:rsid w:val="00DB0011"/>
    <w:rsid w:val="00DB01E5"/>
    <w:rsid w:val="00DB09AE"/>
    <w:rsid w:val="00DB09BB"/>
    <w:rsid w:val="00DB1055"/>
    <w:rsid w:val="00DB1107"/>
    <w:rsid w:val="00DB1543"/>
    <w:rsid w:val="00DB28BC"/>
    <w:rsid w:val="00DB365F"/>
    <w:rsid w:val="00DB39EB"/>
    <w:rsid w:val="00DB39F4"/>
    <w:rsid w:val="00DB3C80"/>
    <w:rsid w:val="00DB42F3"/>
    <w:rsid w:val="00DB4BE9"/>
    <w:rsid w:val="00DB4D14"/>
    <w:rsid w:val="00DB53C1"/>
    <w:rsid w:val="00DB5BB4"/>
    <w:rsid w:val="00DB7190"/>
    <w:rsid w:val="00DB7AF7"/>
    <w:rsid w:val="00DB7D87"/>
    <w:rsid w:val="00DC085E"/>
    <w:rsid w:val="00DC0B44"/>
    <w:rsid w:val="00DC1347"/>
    <w:rsid w:val="00DC137A"/>
    <w:rsid w:val="00DC19F4"/>
    <w:rsid w:val="00DC1A0A"/>
    <w:rsid w:val="00DC205E"/>
    <w:rsid w:val="00DC2465"/>
    <w:rsid w:val="00DC25C3"/>
    <w:rsid w:val="00DC39F1"/>
    <w:rsid w:val="00DC42E4"/>
    <w:rsid w:val="00DC47AB"/>
    <w:rsid w:val="00DC4C7E"/>
    <w:rsid w:val="00DC528F"/>
    <w:rsid w:val="00DC5E37"/>
    <w:rsid w:val="00DC68FA"/>
    <w:rsid w:val="00DC7001"/>
    <w:rsid w:val="00DC7158"/>
    <w:rsid w:val="00DC73A3"/>
    <w:rsid w:val="00DC7E8E"/>
    <w:rsid w:val="00DD0162"/>
    <w:rsid w:val="00DD0560"/>
    <w:rsid w:val="00DD0DC2"/>
    <w:rsid w:val="00DD31A7"/>
    <w:rsid w:val="00DD32E1"/>
    <w:rsid w:val="00DD38F4"/>
    <w:rsid w:val="00DD3D06"/>
    <w:rsid w:val="00DD485B"/>
    <w:rsid w:val="00DD5D1D"/>
    <w:rsid w:val="00DD5F47"/>
    <w:rsid w:val="00DD6415"/>
    <w:rsid w:val="00DD6C4F"/>
    <w:rsid w:val="00DD74A6"/>
    <w:rsid w:val="00DD786D"/>
    <w:rsid w:val="00DE002A"/>
    <w:rsid w:val="00DE06FA"/>
    <w:rsid w:val="00DE20F2"/>
    <w:rsid w:val="00DE3766"/>
    <w:rsid w:val="00DE44C0"/>
    <w:rsid w:val="00DE47F0"/>
    <w:rsid w:val="00DE4B35"/>
    <w:rsid w:val="00DE4D9A"/>
    <w:rsid w:val="00DE4F9E"/>
    <w:rsid w:val="00DE5576"/>
    <w:rsid w:val="00DE56A1"/>
    <w:rsid w:val="00DE5CE6"/>
    <w:rsid w:val="00DE6C84"/>
    <w:rsid w:val="00DE6DAE"/>
    <w:rsid w:val="00DF0CBB"/>
    <w:rsid w:val="00DF1184"/>
    <w:rsid w:val="00DF1327"/>
    <w:rsid w:val="00DF18CC"/>
    <w:rsid w:val="00DF19C1"/>
    <w:rsid w:val="00DF1C2D"/>
    <w:rsid w:val="00DF2BDB"/>
    <w:rsid w:val="00DF31E7"/>
    <w:rsid w:val="00DF38F8"/>
    <w:rsid w:val="00DF3C65"/>
    <w:rsid w:val="00DF4685"/>
    <w:rsid w:val="00DF47CE"/>
    <w:rsid w:val="00DF4C1E"/>
    <w:rsid w:val="00DF5362"/>
    <w:rsid w:val="00DF54CA"/>
    <w:rsid w:val="00DF559E"/>
    <w:rsid w:val="00DF597D"/>
    <w:rsid w:val="00DF5B64"/>
    <w:rsid w:val="00DF649A"/>
    <w:rsid w:val="00DF6A6D"/>
    <w:rsid w:val="00DF6C4E"/>
    <w:rsid w:val="00DF7683"/>
    <w:rsid w:val="00DF77E8"/>
    <w:rsid w:val="00DF7F64"/>
    <w:rsid w:val="00E00AE5"/>
    <w:rsid w:val="00E021A4"/>
    <w:rsid w:val="00E0247F"/>
    <w:rsid w:val="00E024A2"/>
    <w:rsid w:val="00E0267D"/>
    <w:rsid w:val="00E02794"/>
    <w:rsid w:val="00E03410"/>
    <w:rsid w:val="00E03A2F"/>
    <w:rsid w:val="00E03AD7"/>
    <w:rsid w:val="00E03CED"/>
    <w:rsid w:val="00E03D93"/>
    <w:rsid w:val="00E042E2"/>
    <w:rsid w:val="00E043E3"/>
    <w:rsid w:val="00E046F0"/>
    <w:rsid w:val="00E0491C"/>
    <w:rsid w:val="00E0505B"/>
    <w:rsid w:val="00E06170"/>
    <w:rsid w:val="00E06EEA"/>
    <w:rsid w:val="00E10750"/>
    <w:rsid w:val="00E11280"/>
    <w:rsid w:val="00E11DEC"/>
    <w:rsid w:val="00E12359"/>
    <w:rsid w:val="00E12A2C"/>
    <w:rsid w:val="00E131E9"/>
    <w:rsid w:val="00E134C6"/>
    <w:rsid w:val="00E1408D"/>
    <w:rsid w:val="00E1423E"/>
    <w:rsid w:val="00E145E6"/>
    <w:rsid w:val="00E14682"/>
    <w:rsid w:val="00E15009"/>
    <w:rsid w:val="00E152FF"/>
    <w:rsid w:val="00E15AD8"/>
    <w:rsid w:val="00E17732"/>
    <w:rsid w:val="00E1791C"/>
    <w:rsid w:val="00E17AFE"/>
    <w:rsid w:val="00E20257"/>
    <w:rsid w:val="00E2081E"/>
    <w:rsid w:val="00E2088D"/>
    <w:rsid w:val="00E20E04"/>
    <w:rsid w:val="00E21351"/>
    <w:rsid w:val="00E2141C"/>
    <w:rsid w:val="00E22314"/>
    <w:rsid w:val="00E22BCD"/>
    <w:rsid w:val="00E23C60"/>
    <w:rsid w:val="00E240B0"/>
    <w:rsid w:val="00E24572"/>
    <w:rsid w:val="00E2461B"/>
    <w:rsid w:val="00E24886"/>
    <w:rsid w:val="00E248EB"/>
    <w:rsid w:val="00E2514E"/>
    <w:rsid w:val="00E263B4"/>
    <w:rsid w:val="00E271DE"/>
    <w:rsid w:val="00E276FB"/>
    <w:rsid w:val="00E305FD"/>
    <w:rsid w:val="00E320AF"/>
    <w:rsid w:val="00E32279"/>
    <w:rsid w:val="00E32595"/>
    <w:rsid w:val="00E32A88"/>
    <w:rsid w:val="00E33160"/>
    <w:rsid w:val="00E333AE"/>
    <w:rsid w:val="00E33853"/>
    <w:rsid w:val="00E33A74"/>
    <w:rsid w:val="00E33D8D"/>
    <w:rsid w:val="00E33E4F"/>
    <w:rsid w:val="00E33F30"/>
    <w:rsid w:val="00E35530"/>
    <w:rsid w:val="00E35C68"/>
    <w:rsid w:val="00E4030B"/>
    <w:rsid w:val="00E419FA"/>
    <w:rsid w:val="00E41D56"/>
    <w:rsid w:val="00E43776"/>
    <w:rsid w:val="00E44133"/>
    <w:rsid w:val="00E45131"/>
    <w:rsid w:val="00E457DF"/>
    <w:rsid w:val="00E46086"/>
    <w:rsid w:val="00E4653D"/>
    <w:rsid w:val="00E46642"/>
    <w:rsid w:val="00E475F4"/>
    <w:rsid w:val="00E47A87"/>
    <w:rsid w:val="00E5029D"/>
    <w:rsid w:val="00E50FA1"/>
    <w:rsid w:val="00E5139A"/>
    <w:rsid w:val="00E51AD4"/>
    <w:rsid w:val="00E51C18"/>
    <w:rsid w:val="00E5413D"/>
    <w:rsid w:val="00E55F6D"/>
    <w:rsid w:val="00E564B0"/>
    <w:rsid w:val="00E56911"/>
    <w:rsid w:val="00E575D3"/>
    <w:rsid w:val="00E57977"/>
    <w:rsid w:val="00E57AAD"/>
    <w:rsid w:val="00E60757"/>
    <w:rsid w:val="00E60C84"/>
    <w:rsid w:val="00E61E79"/>
    <w:rsid w:val="00E62278"/>
    <w:rsid w:val="00E624B8"/>
    <w:rsid w:val="00E635D7"/>
    <w:rsid w:val="00E66202"/>
    <w:rsid w:val="00E67592"/>
    <w:rsid w:val="00E676F1"/>
    <w:rsid w:val="00E67B8E"/>
    <w:rsid w:val="00E70576"/>
    <w:rsid w:val="00E71818"/>
    <w:rsid w:val="00E72212"/>
    <w:rsid w:val="00E72433"/>
    <w:rsid w:val="00E7251E"/>
    <w:rsid w:val="00E72527"/>
    <w:rsid w:val="00E7284C"/>
    <w:rsid w:val="00E72946"/>
    <w:rsid w:val="00E72AA7"/>
    <w:rsid w:val="00E72C71"/>
    <w:rsid w:val="00E730B7"/>
    <w:rsid w:val="00E73629"/>
    <w:rsid w:val="00E7397B"/>
    <w:rsid w:val="00E73D63"/>
    <w:rsid w:val="00E74596"/>
    <w:rsid w:val="00E7484D"/>
    <w:rsid w:val="00E74C92"/>
    <w:rsid w:val="00E74DCC"/>
    <w:rsid w:val="00E7579B"/>
    <w:rsid w:val="00E76175"/>
    <w:rsid w:val="00E76570"/>
    <w:rsid w:val="00E7727B"/>
    <w:rsid w:val="00E77886"/>
    <w:rsid w:val="00E77960"/>
    <w:rsid w:val="00E779E2"/>
    <w:rsid w:val="00E8035B"/>
    <w:rsid w:val="00E80425"/>
    <w:rsid w:val="00E80F40"/>
    <w:rsid w:val="00E8194C"/>
    <w:rsid w:val="00E81FB1"/>
    <w:rsid w:val="00E8271B"/>
    <w:rsid w:val="00E829BC"/>
    <w:rsid w:val="00E83041"/>
    <w:rsid w:val="00E83954"/>
    <w:rsid w:val="00E83BBB"/>
    <w:rsid w:val="00E84040"/>
    <w:rsid w:val="00E84751"/>
    <w:rsid w:val="00E86F35"/>
    <w:rsid w:val="00E8786E"/>
    <w:rsid w:val="00E87AC2"/>
    <w:rsid w:val="00E87BC7"/>
    <w:rsid w:val="00E87FDF"/>
    <w:rsid w:val="00E9096B"/>
    <w:rsid w:val="00E91043"/>
    <w:rsid w:val="00E911B5"/>
    <w:rsid w:val="00E914EF"/>
    <w:rsid w:val="00E91730"/>
    <w:rsid w:val="00E91DB4"/>
    <w:rsid w:val="00E936FF"/>
    <w:rsid w:val="00E93A2A"/>
    <w:rsid w:val="00E94468"/>
    <w:rsid w:val="00E946E2"/>
    <w:rsid w:val="00E95940"/>
    <w:rsid w:val="00E95AC9"/>
    <w:rsid w:val="00E95F6E"/>
    <w:rsid w:val="00E96203"/>
    <w:rsid w:val="00E96F04"/>
    <w:rsid w:val="00E97AEC"/>
    <w:rsid w:val="00EA0359"/>
    <w:rsid w:val="00EA1592"/>
    <w:rsid w:val="00EA20FE"/>
    <w:rsid w:val="00EA291E"/>
    <w:rsid w:val="00EA3433"/>
    <w:rsid w:val="00EA459B"/>
    <w:rsid w:val="00EA5C07"/>
    <w:rsid w:val="00EA6D67"/>
    <w:rsid w:val="00EA728B"/>
    <w:rsid w:val="00EA76C9"/>
    <w:rsid w:val="00EA7CA4"/>
    <w:rsid w:val="00EB08A4"/>
    <w:rsid w:val="00EB0F8F"/>
    <w:rsid w:val="00EB21C3"/>
    <w:rsid w:val="00EB235F"/>
    <w:rsid w:val="00EB261E"/>
    <w:rsid w:val="00EB2B5B"/>
    <w:rsid w:val="00EB2DBF"/>
    <w:rsid w:val="00EB398D"/>
    <w:rsid w:val="00EB491E"/>
    <w:rsid w:val="00EB4F07"/>
    <w:rsid w:val="00EB4FB2"/>
    <w:rsid w:val="00EB5031"/>
    <w:rsid w:val="00EB60D1"/>
    <w:rsid w:val="00EB681B"/>
    <w:rsid w:val="00EB6A6B"/>
    <w:rsid w:val="00EB7290"/>
    <w:rsid w:val="00EC011B"/>
    <w:rsid w:val="00EC0561"/>
    <w:rsid w:val="00EC0E76"/>
    <w:rsid w:val="00EC12D9"/>
    <w:rsid w:val="00EC1654"/>
    <w:rsid w:val="00EC1C84"/>
    <w:rsid w:val="00EC1E0D"/>
    <w:rsid w:val="00EC2491"/>
    <w:rsid w:val="00EC2830"/>
    <w:rsid w:val="00EC2C54"/>
    <w:rsid w:val="00EC33AC"/>
    <w:rsid w:val="00EC3883"/>
    <w:rsid w:val="00EC40E4"/>
    <w:rsid w:val="00EC4D95"/>
    <w:rsid w:val="00EC4FAD"/>
    <w:rsid w:val="00EC5D9A"/>
    <w:rsid w:val="00EC69AA"/>
    <w:rsid w:val="00EC6B19"/>
    <w:rsid w:val="00EC6B6D"/>
    <w:rsid w:val="00ED05ED"/>
    <w:rsid w:val="00ED0A8E"/>
    <w:rsid w:val="00ED0CCB"/>
    <w:rsid w:val="00ED112D"/>
    <w:rsid w:val="00ED1A52"/>
    <w:rsid w:val="00ED1A5D"/>
    <w:rsid w:val="00ED1BC4"/>
    <w:rsid w:val="00ED29CD"/>
    <w:rsid w:val="00ED2BE0"/>
    <w:rsid w:val="00ED2FAC"/>
    <w:rsid w:val="00ED329E"/>
    <w:rsid w:val="00ED3F11"/>
    <w:rsid w:val="00ED48B5"/>
    <w:rsid w:val="00ED4DBC"/>
    <w:rsid w:val="00ED5217"/>
    <w:rsid w:val="00ED71A0"/>
    <w:rsid w:val="00EE0EE9"/>
    <w:rsid w:val="00EE12A5"/>
    <w:rsid w:val="00EE190E"/>
    <w:rsid w:val="00EE1A4C"/>
    <w:rsid w:val="00EE1C7A"/>
    <w:rsid w:val="00EE2D54"/>
    <w:rsid w:val="00EE36CB"/>
    <w:rsid w:val="00EE3CFA"/>
    <w:rsid w:val="00EE5BDB"/>
    <w:rsid w:val="00EE66B8"/>
    <w:rsid w:val="00EE69E4"/>
    <w:rsid w:val="00EE7055"/>
    <w:rsid w:val="00EE7201"/>
    <w:rsid w:val="00EE7774"/>
    <w:rsid w:val="00EF02AE"/>
    <w:rsid w:val="00EF09ED"/>
    <w:rsid w:val="00EF1115"/>
    <w:rsid w:val="00EF1E4B"/>
    <w:rsid w:val="00EF2013"/>
    <w:rsid w:val="00EF236E"/>
    <w:rsid w:val="00EF2A7F"/>
    <w:rsid w:val="00EF3622"/>
    <w:rsid w:val="00EF3B49"/>
    <w:rsid w:val="00EF4718"/>
    <w:rsid w:val="00EF4EAB"/>
    <w:rsid w:val="00EF5FF6"/>
    <w:rsid w:val="00EF6400"/>
    <w:rsid w:val="00EF68E9"/>
    <w:rsid w:val="00EF6C44"/>
    <w:rsid w:val="00EF6DDD"/>
    <w:rsid w:val="00EF7A85"/>
    <w:rsid w:val="00EF7D3A"/>
    <w:rsid w:val="00EF7E90"/>
    <w:rsid w:val="00F000EC"/>
    <w:rsid w:val="00F002B6"/>
    <w:rsid w:val="00F00506"/>
    <w:rsid w:val="00F00C8E"/>
    <w:rsid w:val="00F02B52"/>
    <w:rsid w:val="00F02C03"/>
    <w:rsid w:val="00F02D34"/>
    <w:rsid w:val="00F02DA7"/>
    <w:rsid w:val="00F03826"/>
    <w:rsid w:val="00F05080"/>
    <w:rsid w:val="00F07441"/>
    <w:rsid w:val="00F10AFE"/>
    <w:rsid w:val="00F115E7"/>
    <w:rsid w:val="00F12905"/>
    <w:rsid w:val="00F129F1"/>
    <w:rsid w:val="00F13E23"/>
    <w:rsid w:val="00F13E4C"/>
    <w:rsid w:val="00F14E62"/>
    <w:rsid w:val="00F15C6C"/>
    <w:rsid w:val="00F15FD6"/>
    <w:rsid w:val="00F17173"/>
    <w:rsid w:val="00F173EF"/>
    <w:rsid w:val="00F17601"/>
    <w:rsid w:val="00F201CE"/>
    <w:rsid w:val="00F2026F"/>
    <w:rsid w:val="00F2058E"/>
    <w:rsid w:val="00F20A70"/>
    <w:rsid w:val="00F21AC8"/>
    <w:rsid w:val="00F224DC"/>
    <w:rsid w:val="00F22D52"/>
    <w:rsid w:val="00F235CB"/>
    <w:rsid w:val="00F23826"/>
    <w:rsid w:val="00F24638"/>
    <w:rsid w:val="00F2466B"/>
    <w:rsid w:val="00F25666"/>
    <w:rsid w:val="00F2574C"/>
    <w:rsid w:val="00F267A3"/>
    <w:rsid w:val="00F2687F"/>
    <w:rsid w:val="00F26ED4"/>
    <w:rsid w:val="00F273E9"/>
    <w:rsid w:val="00F27D35"/>
    <w:rsid w:val="00F27F29"/>
    <w:rsid w:val="00F3047F"/>
    <w:rsid w:val="00F30986"/>
    <w:rsid w:val="00F30DBD"/>
    <w:rsid w:val="00F313CF"/>
    <w:rsid w:val="00F31A76"/>
    <w:rsid w:val="00F3200C"/>
    <w:rsid w:val="00F325AA"/>
    <w:rsid w:val="00F327D1"/>
    <w:rsid w:val="00F32D54"/>
    <w:rsid w:val="00F3314A"/>
    <w:rsid w:val="00F33593"/>
    <w:rsid w:val="00F339A9"/>
    <w:rsid w:val="00F33DC1"/>
    <w:rsid w:val="00F33E87"/>
    <w:rsid w:val="00F33F91"/>
    <w:rsid w:val="00F34157"/>
    <w:rsid w:val="00F34936"/>
    <w:rsid w:val="00F349ED"/>
    <w:rsid w:val="00F34BA8"/>
    <w:rsid w:val="00F34BF9"/>
    <w:rsid w:val="00F35181"/>
    <w:rsid w:val="00F35D7D"/>
    <w:rsid w:val="00F36699"/>
    <w:rsid w:val="00F36822"/>
    <w:rsid w:val="00F36C54"/>
    <w:rsid w:val="00F378A7"/>
    <w:rsid w:val="00F40448"/>
    <w:rsid w:val="00F40BB8"/>
    <w:rsid w:val="00F418EA"/>
    <w:rsid w:val="00F41A29"/>
    <w:rsid w:val="00F41FEF"/>
    <w:rsid w:val="00F42685"/>
    <w:rsid w:val="00F4359D"/>
    <w:rsid w:val="00F43C22"/>
    <w:rsid w:val="00F44C1C"/>
    <w:rsid w:val="00F44C30"/>
    <w:rsid w:val="00F45214"/>
    <w:rsid w:val="00F4645F"/>
    <w:rsid w:val="00F477C5"/>
    <w:rsid w:val="00F504DB"/>
    <w:rsid w:val="00F50BEA"/>
    <w:rsid w:val="00F51025"/>
    <w:rsid w:val="00F514D8"/>
    <w:rsid w:val="00F518DF"/>
    <w:rsid w:val="00F52599"/>
    <w:rsid w:val="00F52A65"/>
    <w:rsid w:val="00F52B46"/>
    <w:rsid w:val="00F53380"/>
    <w:rsid w:val="00F54243"/>
    <w:rsid w:val="00F544DB"/>
    <w:rsid w:val="00F5641A"/>
    <w:rsid w:val="00F569D0"/>
    <w:rsid w:val="00F57C2D"/>
    <w:rsid w:val="00F57DF4"/>
    <w:rsid w:val="00F60030"/>
    <w:rsid w:val="00F603BB"/>
    <w:rsid w:val="00F604AC"/>
    <w:rsid w:val="00F60575"/>
    <w:rsid w:val="00F615D0"/>
    <w:rsid w:val="00F62929"/>
    <w:rsid w:val="00F64035"/>
    <w:rsid w:val="00F6475C"/>
    <w:rsid w:val="00F6494A"/>
    <w:rsid w:val="00F6502E"/>
    <w:rsid w:val="00F654D1"/>
    <w:rsid w:val="00F65663"/>
    <w:rsid w:val="00F660B2"/>
    <w:rsid w:val="00F67371"/>
    <w:rsid w:val="00F67D12"/>
    <w:rsid w:val="00F67EE3"/>
    <w:rsid w:val="00F70A29"/>
    <w:rsid w:val="00F70B65"/>
    <w:rsid w:val="00F70C8B"/>
    <w:rsid w:val="00F713CD"/>
    <w:rsid w:val="00F71939"/>
    <w:rsid w:val="00F71C33"/>
    <w:rsid w:val="00F71F68"/>
    <w:rsid w:val="00F72092"/>
    <w:rsid w:val="00F72A5E"/>
    <w:rsid w:val="00F738F6"/>
    <w:rsid w:val="00F741B2"/>
    <w:rsid w:val="00F74FE5"/>
    <w:rsid w:val="00F7506E"/>
    <w:rsid w:val="00F756C0"/>
    <w:rsid w:val="00F75A40"/>
    <w:rsid w:val="00F77637"/>
    <w:rsid w:val="00F77BFB"/>
    <w:rsid w:val="00F804C2"/>
    <w:rsid w:val="00F8088B"/>
    <w:rsid w:val="00F80A24"/>
    <w:rsid w:val="00F80E3F"/>
    <w:rsid w:val="00F81C81"/>
    <w:rsid w:val="00F81FFB"/>
    <w:rsid w:val="00F8211E"/>
    <w:rsid w:val="00F83080"/>
    <w:rsid w:val="00F83191"/>
    <w:rsid w:val="00F83ADC"/>
    <w:rsid w:val="00F83D04"/>
    <w:rsid w:val="00F8435D"/>
    <w:rsid w:val="00F84625"/>
    <w:rsid w:val="00F855E6"/>
    <w:rsid w:val="00F85BC0"/>
    <w:rsid w:val="00F86CEB"/>
    <w:rsid w:val="00F87D19"/>
    <w:rsid w:val="00F87DD0"/>
    <w:rsid w:val="00F87EFC"/>
    <w:rsid w:val="00F905A7"/>
    <w:rsid w:val="00F91C29"/>
    <w:rsid w:val="00F91CA8"/>
    <w:rsid w:val="00F93360"/>
    <w:rsid w:val="00F93C25"/>
    <w:rsid w:val="00F93FE4"/>
    <w:rsid w:val="00F94832"/>
    <w:rsid w:val="00F95B2C"/>
    <w:rsid w:val="00F95F86"/>
    <w:rsid w:val="00F963F8"/>
    <w:rsid w:val="00F969AD"/>
    <w:rsid w:val="00F97953"/>
    <w:rsid w:val="00F97B7F"/>
    <w:rsid w:val="00F97E4E"/>
    <w:rsid w:val="00F97FEE"/>
    <w:rsid w:val="00FA0562"/>
    <w:rsid w:val="00FA217B"/>
    <w:rsid w:val="00FA2A37"/>
    <w:rsid w:val="00FA440E"/>
    <w:rsid w:val="00FA4AE7"/>
    <w:rsid w:val="00FA4E35"/>
    <w:rsid w:val="00FA4F92"/>
    <w:rsid w:val="00FA5329"/>
    <w:rsid w:val="00FA60C8"/>
    <w:rsid w:val="00FA6BD3"/>
    <w:rsid w:val="00FB01B3"/>
    <w:rsid w:val="00FB047E"/>
    <w:rsid w:val="00FB0495"/>
    <w:rsid w:val="00FB0BC5"/>
    <w:rsid w:val="00FB0BCC"/>
    <w:rsid w:val="00FB0F1D"/>
    <w:rsid w:val="00FB1F32"/>
    <w:rsid w:val="00FB22EA"/>
    <w:rsid w:val="00FB2575"/>
    <w:rsid w:val="00FB5137"/>
    <w:rsid w:val="00FB5898"/>
    <w:rsid w:val="00FB65B7"/>
    <w:rsid w:val="00FB7B03"/>
    <w:rsid w:val="00FC0A70"/>
    <w:rsid w:val="00FC0FE5"/>
    <w:rsid w:val="00FC101D"/>
    <w:rsid w:val="00FC2213"/>
    <w:rsid w:val="00FC2636"/>
    <w:rsid w:val="00FC2CF1"/>
    <w:rsid w:val="00FC37F1"/>
    <w:rsid w:val="00FC3AA1"/>
    <w:rsid w:val="00FC4719"/>
    <w:rsid w:val="00FC4753"/>
    <w:rsid w:val="00FC5EBB"/>
    <w:rsid w:val="00FC6C81"/>
    <w:rsid w:val="00FD0044"/>
    <w:rsid w:val="00FD0191"/>
    <w:rsid w:val="00FD03B0"/>
    <w:rsid w:val="00FD07CB"/>
    <w:rsid w:val="00FD122D"/>
    <w:rsid w:val="00FD1A2E"/>
    <w:rsid w:val="00FD1ABC"/>
    <w:rsid w:val="00FD205F"/>
    <w:rsid w:val="00FD439E"/>
    <w:rsid w:val="00FD4DFE"/>
    <w:rsid w:val="00FD4E6A"/>
    <w:rsid w:val="00FD5AFC"/>
    <w:rsid w:val="00FD5F5D"/>
    <w:rsid w:val="00FD6910"/>
    <w:rsid w:val="00FD6E1B"/>
    <w:rsid w:val="00FD7DDF"/>
    <w:rsid w:val="00FE0696"/>
    <w:rsid w:val="00FE0D68"/>
    <w:rsid w:val="00FE1817"/>
    <w:rsid w:val="00FE1B54"/>
    <w:rsid w:val="00FE2C7A"/>
    <w:rsid w:val="00FE2DDB"/>
    <w:rsid w:val="00FE36FE"/>
    <w:rsid w:val="00FE45C4"/>
    <w:rsid w:val="00FE4C92"/>
    <w:rsid w:val="00FE4D63"/>
    <w:rsid w:val="00FE4D6F"/>
    <w:rsid w:val="00FE5126"/>
    <w:rsid w:val="00FE5395"/>
    <w:rsid w:val="00FE6197"/>
    <w:rsid w:val="00FE6E7C"/>
    <w:rsid w:val="00FE70AD"/>
    <w:rsid w:val="00FE7DCE"/>
    <w:rsid w:val="00FF015C"/>
    <w:rsid w:val="00FF0428"/>
    <w:rsid w:val="00FF05E2"/>
    <w:rsid w:val="00FF068B"/>
    <w:rsid w:val="00FF0DC6"/>
    <w:rsid w:val="00FF0FAA"/>
    <w:rsid w:val="00FF12D9"/>
    <w:rsid w:val="00FF1394"/>
    <w:rsid w:val="00FF1FDA"/>
    <w:rsid w:val="00FF23CC"/>
    <w:rsid w:val="00FF24D4"/>
    <w:rsid w:val="00FF2D63"/>
    <w:rsid w:val="00FF3E4E"/>
    <w:rsid w:val="00FF417C"/>
    <w:rsid w:val="00FF4396"/>
    <w:rsid w:val="00FF43BF"/>
    <w:rsid w:val="00FF5792"/>
    <w:rsid w:val="00FF5D5E"/>
    <w:rsid w:val="00FF643A"/>
    <w:rsid w:val="00FF666A"/>
    <w:rsid w:val="00FF6E63"/>
    <w:rsid w:val="00FF7261"/>
    <w:rsid w:val="00FF7A8E"/>
    <w:rsid w:val="00FF7AC0"/>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9633"/>
    <o:shapelayout v:ext="edit">
      <o:idmap v:ext="edit" data="1"/>
    </o:shapelayout>
  </w:shapeDefaults>
  <w:decimalSymbol w:val=","/>
  <w:listSeparator w:val=";"/>
  <w14:docId w14:val="4DA07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fr-FR"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2636"/>
    <w:pPr>
      <w:spacing w:line="288" w:lineRule="auto"/>
      <w:jc w:val="both"/>
    </w:pPr>
    <w:rPr>
      <w:lang w:eastAsia="en-US" w:bidi="ar-SA"/>
    </w:rPr>
  </w:style>
  <w:style w:type="paragraph" w:styleId="Heading1">
    <w:name w:val="heading 1"/>
    <w:basedOn w:val="Normal"/>
    <w:next w:val="Normal"/>
    <w:link w:val="Heading1Char"/>
    <w:qFormat/>
    <w:rsid w:val="00FC2636"/>
    <w:pPr>
      <w:numPr>
        <w:numId w:val="2"/>
      </w:numPr>
      <w:ind w:left="567" w:hanging="567"/>
      <w:outlineLvl w:val="0"/>
    </w:pPr>
    <w:rPr>
      <w:kern w:val="28"/>
    </w:rPr>
  </w:style>
  <w:style w:type="paragraph" w:styleId="Heading2">
    <w:name w:val="heading 2"/>
    <w:basedOn w:val="Normal"/>
    <w:next w:val="Normal"/>
    <w:link w:val="Heading2Char"/>
    <w:qFormat/>
    <w:rsid w:val="00FC2636"/>
    <w:pPr>
      <w:numPr>
        <w:ilvl w:val="1"/>
        <w:numId w:val="2"/>
      </w:numPr>
      <w:ind w:left="567" w:hanging="567"/>
      <w:outlineLvl w:val="1"/>
    </w:pPr>
  </w:style>
  <w:style w:type="paragraph" w:styleId="Heading3">
    <w:name w:val="heading 3"/>
    <w:basedOn w:val="Normal"/>
    <w:next w:val="Normal"/>
    <w:link w:val="Heading3Char"/>
    <w:qFormat/>
    <w:rsid w:val="00FC2636"/>
    <w:pPr>
      <w:numPr>
        <w:ilvl w:val="2"/>
        <w:numId w:val="2"/>
      </w:numPr>
      <w:ind w:left="567" w:hanging="567"/>
      <w:outlineLvl w:val="2"/>
    </w:pPr>
  </w:style>
  <w:style w:type="paragraph" w:styleId="Heading4">
    <w:name w:val="heading 4"/>
    <w:basedOn w:val="Normal"/>
    <w:next w:val="Normal"/>
    <w:link w:val="Heading4Char"/>
    <w:qFormat/>
    <w:rsid w:val="00FC2636"/>
    <w:pPr>
      <w:numPr>
        <w:ilvl w:val="3"/>
        <w:numId w:val="2"/>
      </w:numPr>
      <w:ind w:left="567" w:hanging="567"/>
      <w:outlineLvl w:val="3"/>
    </w:pPr>
  </w:style>
  <w:style w:type="paragraph" w:styleId="Heading5">
    <w:name w:val="heading 5"/>
    <w:basedOn w:val="Normal"/>
    <w:next w:val="Normal"/>
    <w:link w:val="Heading5Char"/>
    <w:qFormat/>
    <w:rsid w:val="00FC2636"/>
    <w:pPr>
      <w:numPr>
        <w:ilvl w:val="4"/>
        <w:numId w:val="2"/>
      </w:numPr>
      <w:ind w:left="567" w:hanging="567"/>
      <w:outlineLvl w:val="4"/>
    </w:pPr>
  </w:style>
  <w:style w:type="paragraph" w:styleId="Heading6">
    <w:name w:val="heading 6"/>
    <w:basedOn w:val="Normal"/>
    <w:next w:val="Normal"/>
    <w:link w:val="Heading6Char"/>
    <w:qFormat/>
    <w:rsid w:val="00FC2636"/>
    <w:pPr>
      <w:numPr>
        <w:ilvl w:val="5"/>
        <w:numId w:val="2"/>
      </w:numPr>
      <w:ind w:left="567" w:hanging="567"/>
      <w:outlineLvl w:val="5"/>
    </w:pPr>
  </w:style>
  <w:style w:type="paragraph" w:styleId="Heading7">
    <w:name w:val="heading 7"/>
    <w:basedOn w:val="Normal"/>
    <w:next w:val="Normal"/>
    <w:link w:val="Heading7Char"/>
    <w:qFormat/>
    <w:rsid w:val="00FC2636"/>
    <w:pPr>
      <w:numPr>
        <w:ilvl w:val="6"/>
        <w:numId w:val="2"/>
      </w:numPr>
      <w:ind w:left="567" w:hanging="567"/>
      <w:outlineLvl w:val="6"/>
    </w:pPr>
  </w:style>
  <w:style w:type="paragraph" w:styleId="Heading8">
    <w:name w:val="heading 8"/>
    <w:basedOn w:val="Normal"/>
    <w:next w:val="Normal"/>
    <w:link w:val="Heading8Char"/>
    <w:qFormat/>
    <w:rsid w:val="00FC2636"/>
    <w:pPr>
      <w:numPr>
        <w:ilvl w:val="7"/>
        <w:numId w:val="2"/>
      </w:numPr>
      <w:ind w:left="567" w:hanging="567"/>
      <w:outlineLvl w:val="7"/>
    </w:pPr>
  </w:style>
  <w:style w:type="paragraph" w:styleId="Heading9">
    <w:name w:val="heading 9"/>
    <w:basedOn w:val="Normal"/>
    <w:next w:val="Normal"/>
    <w:link w:val="Heading9Char"/>
    <w:qFormat/>
    <w:rsid w:val="00FC2636"/>
    <w:pPr>
      <w:numPr>
        <w:ilvl w:val="8"/>
        <w:numId w:val="2"/>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fr-FR" w:eastAsia="en-US" w:bidi="ar-SA"/>
    </w:rPr>
  </w:style>
  <w:style w:type="character" w:customStyle="1" w:styleId="Heading2Char">
    <w:name w:val="Heading 2 Char"/>
    <w:basedOn w:val="DefaultParagraphFont"/>
    <w:link w:val="Heading2"/>
    <w:locked/>
    <w:rsid w:val="00CB1536"/>
    <w:rPr>
      <w:lang w:val="fr-FR" w:eastAsia="en-US" w:bidi="ar-SA"/>
    </w:rPr>
  </w:style>
  <w:style w:type="character" w:customStyle="1" w:styleId="Heading3Char">
    <w:name w:val="Heading 3 Char"/>
    <w:basedOn w:val="DefaultParagraphFont"/>
    <w:link w:val="Heading3"/>
    <w:locked/>
    <w:rsid w:val="00CB1536"/>
    <w:rPr>
      <w:lang w:val="fr-FR" w:eastAsia="en-US" w:bidi="ar-SA"/>
    </w:rPr>
  </w:style>
  <w:style w:type="character" w:customStyle="1" w:styleId="Heading4Char">
    <w:name w:val="Heading 4 Char"/>
    <w:basedOn w:val="DefaultParagraphFont"/>
    <w:link w:val="Heading4"/>
    <w:locked/>
    <w:rsid w:val="00CB1536"/>
    <w:rPr>
      <w:lang w:val="fr-FR" w:eastAsia="en-US" w:bidi="ar-SA"/>
    </w:rPr>
  </w:style>
  <w:style w:type="character" w:customStyle="1" w:styleId="Heading5Char">
    <w:name w:val="Heading 5 Char"/>
    <w:basedOn w:val="DefaultParagraphFont"/>
    <w:link w:val="Heading5"/>
    <w:locked/>
    <w:rsid w:val="00CB1536"/>
    <w:rPr>
      <w:lang w:val="fr-FR" w:eastAsia="en-US" w:bidi="ar-SA"/>
    </w:rPr>
  </w:style>
  <w:style w:type="character" w:customStyle="1" w:styleId="Heading6Char">
    <w:name w:val="Heading 6 Char"/>
    <w:basedOn w:val="DefaultParagraphFont"/>
    <w:link w:val="Heading6"/>
    <w:locked/>
    <w:rsid w:val="00CB1536"/>
    <w:rPr>
      <w:lang w:val="fr-FR" w:eastAsia="en-US" w:bidi="ar-SA"/>
    </w:rPr>
  </w:style>
  <w:style w:type="character" w:customStyle="1" w:styleId="Heading7Char">
    <w:name w:val="Heading 7 Char"/>
    <w:basedOn w:val="DefaultParagraphFont"/>
    <w:link w:val="Heading7"/>
    <w:locked/>
    <w:rsid w:val="00CB1536"/>
    <w:rPr>
      <w:lang w:val="fr-FR" w:eastAsia="en-US" w:bidi="ar-SA"/>
    </w:rPr>
  </w:style>
  <w:style w:type="character" w:customStyle="1" w:styleId="Heading8Char">
    <w:name w:val="Heading 8 Char"/>
    <w:basedOn w:val="DefaultParagraphFont"/>
    <w:link w:val="Heading8"/>
    <w:locked/>
    <w:rsid w:val="00CB1536"/>
    <w:rPr>
      <w:lang w:val="fr-FR" w:eastAsia="en-US" w:bidi="ar-SA"/>
    </w:rPr>
  </w:style>
  <w:style w:type="character" w:customStyle="1" w:styleId="Heading9Char">
    <w:name w:val="Heading 9 Char"/>
    <w:basedOn w:val="DefaultParagraphFont"/>
    <w:link w:val="Heading9"/>
    <w:locked/>
    <w:rsid w:val="00CB1536"/>
    <w:rPr>
      <w:lang w:val="fr-FR" w:eastAsia="en-US" w:bidi="ar-SA"/>
    </w:rPr>
  </w:style>
  <w:style w:type="paragraph" w:styleId="Footer">
    <w:name w:val="footer"/>
    <w:basedOn w:val="Normal"/>
    <w:link w:val="FooterChar"/>
    <w:qFormat/>
    <w:rsid w:val="00FC2636"/>
  </w:style>
  <w:style w:type="character" w:customStyle="1" w:styleId="FooterChar">
    <w:name w:val="Footer Char"/>
    <w:basedOn w:val="DefaultParagraphFont"/>
    <w:link w:val="Footer"/>
    <w:locked/>
    <w:rsid w:val="00CB1536"/>
    <w:rPr>
      <w:lang w:val="fr-FR" w:eastAsia="en-US" w:bidi="ar-SA"/>
    </w:rPr>
  </w:style>
  <w:style w:type="paragraph" w:styleId="FootnoteText">
    <w:name w:val="footnote text"/>
    <w:basedOn w:val="Normal"/>
    <w:link w:val="FootnoteTextChar"/>
    <w:qFormat/>
    <w:rsid w:val="00FC2636"/>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fr-FR" w:eastAsia="en-US" w:bidi="ar-SA"/>
    </w:rPr>
  </w:style>
  <w:style w:type="paragraph" w:styleId="Header">
    <w:name w:val="header"/>
    <w:basedOn w:val="Normal"/>
    <w:link w:val="HeaderChar"/>
    <w:qFormat/>
    <w:rsid w:val="00FC2636"/>
  </w:style>
  <w:style w:type="character" w:customStyle="1" w:styleId="HeaderChar">
    <w:name w:val="Header Char"/>
    <w:basedOn w:val="DefaultParagraphFont"/>
    <w:link w:val="Header"/>
    <w:locked/>
    <w:rsid w:val="00CB1536"/>
    <w:rPr>
      <w:lang w:val="fr-FR"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aliases w:val="Footnote symbol"/>
    <w:basedOn w:val="DefaultParagraphFont"/>
    <w:unhideWhenUsed/>
    <w:qFormat/>
    <w:rsid w:val="00FC2636"/>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FC2636"/>
    <w:pPr>
      <w:ind w:left="720"/>
    </w:pPr>
    <w:rPr>
      <w:i/>
    </w:rPr>
  </w:style>
  <w:style w:type="paragraph" w:styleId="ListParagraph">
    <w:name w:val="List Paragraph"/>
    <w:basedOn w:val="Normal"/>
    <w:uiPriority w:val="34"/>
    <w:qFormat/>
    <w:rsid w:val="000B68FA"/>
    <w:pPr>
      <w:ind w:left="720"/>
      <w:contextualSpacing/>
    </w:pPr>
  </w:style>
  <w:style w:type="table" w:styleId="TableGrid">
    <w:name w:val="Table Grid"/>
    <w:basedOn w:val="TableNormal"/>
    <w:locked/>
    <w:rsid w:val="000C70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tkaisematonmaininta1">
    <w:name w:val="Ratkaisematon maininta1"/>
    <w:basedOn w:val="DefaultParagraphFont"/>
    <w:uiPriority w:val="99"/>
    <w:semiHidden/>
    <w:unhideWhenUsed/>
    <w:rsid w:val="00A618BF"/>
    <w:rPr>
      <w:color w:val="605E5C"/>
      <w:shd w:val="clear" w:color="auto" w:fill="E1DFDD"/>
    </w:rPr>
  </w:style>
  <w:style w:type="paragraph" w:styleId="BalloonText">
    <w:name w:val="Balloon Text"/>
    <w:basedOn w:val="Normal"/>
    <w:link w:val="BalloonTextChar"/>
    <w:uiPriority w:val="99"/>
    <w:semiHidden/>
    <w:unhideWhenUsed/>
    <w:rsid w:val="00FC0A7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0A70"/>
    <w:rPr>
      <w:rFonts w:ascii="Segoe UI" w:hAnsi="Segoe UI" w:cs="Segoe UI"/>
      <w:sz w:val="18"/>
      <w:szCs w:val="18"/>
      <w:lang w:val="fr-FR" w:eastAsia="en-US" w:bidi="ar-SA"/>
    </w:rPr>
  </w:style>
  <w:style w:type="character" w:styleId="CommentReference">
    <w:name w:val="annotation reference"/>
    <w:basedOn w:val="DefaultParagraphFont"/>
    <w:semiHidden/>
    <w:unhideWhenUsed/>
    <w:rsid w:val="00943BB4"/>
    <w:rPr>
      <w:sz w:val="16"/>
      <w:szCs w:val="16"/>
    </w:rPr>
  </w:style>
  <w:style w:type="paragraph" w:styleId="CommentText">
    <w:name w:val="annotation text"/>
    <w:basedOn w:val="Normal"/>
    <w:link w:val="CommentTextChar"/>
    <w:semiHidden/>
    <w:unhideWhenUsed/>
    <w:rsid w:val="00943BB4"/>
    <w:pPr>
      <w:spacing w:line="240" w:lineRule="auto"/>
    </w:pPr>
    <w:rPr>
      <w:sz w:val="20"/>
      <w:szCs w:val="20"/>
    </w:rPr>
  </w:style>
  <w:style w:type="character" w:customStyle="1" w:styleId="CommentTextChar">
    <w:name w:val="Comment Text Char"/>
    <w:basedOn w:val="DefaultParagraphFont"/>
    <w:link w:val="CommentText"/>
    <w:semiHidden/>
    <w:rsid w:val="00943BB4"/>
    <w:rPr>
      <w:sz w:val="20"/>
      <w:szCs w:val="20"/>
      <w:lang w:val="fr-FR" w:eastAsia="en-US" w:bidi="ar-SA"/>
    </w:rPr>
  </w:style>
  <w:style w:type="paragraph" w:styleId="CommentSubject">
    <w:name w:val="annotation subject"/>
    <w:basedOn w:val="CommentText"/>
    <w:next w:val="CommentText"/>
    <w:link w:val="CommentSubjectChar"/>
    <w:uiPriority w:val="99"/>
    <w:semiHidden/>
    <w:unhideWhenUsed/>
    <w:rsid w:val="00943BB4"/>
    <w:rPr>
      <w:b/>
      <w:bCs/>
    </w:rPr>
  </w:style>
  <w:style w:type="character" w:customStyle="1" w:styleId="CommentSubjectChar">
    <w:name w:val="Comment Subject Char"/>
    <w:basedOn w:val="CommentTextChar"/>
    <w:link w:val="CommentSubject"/>
    <w:uiPriority w:val="99"/>
    <w:semiHidden/>
    <w:rsid w:val="00943BB4"/>
    <w:rPr>
      <w:b/>
      <w:bCs/>
      <w:sz w:val="20"/>
      <w:szCs w:val="20"/>
      <w:lang w:val="fr-FR" w:eastAsia="en-US" w:bidi="ar-SA"/>
    </w:rPr>
  </w:style>
  <w:style w:type="character" w:customStyle="1" w:styleId="UnresolvedMention1">
    <w:name w:val="Unresolved Mention1"/>
    <w:basedOn w:val="DefaultParagraphFont"/>
    <w:uiPriority w:val="99"/>
    <w:semiHidden/>
    <w:unhideWhenUsed/>
    <w:rsid w:val="009031F2"/>
    <w:rPr>
      <w:color w:val="605E5C"/>
      <w:shd w:val="clear" w:color="auto" w:fill="E1DFDD"/>
    </w:rPr>
  </w:style>
  <w:style w:type="character" w:customStyle="1" w:styleId="UnresolvedMention2">
    <w:name w:val="Unresolved Mention2"/>
    <w:basedOn w:val="DefaultParagraphFont"/>
    <w:uiPriority w:val="99"/>
    <w:semiHidden/>
    <w:unhideWhenUsed/>
    <w:rsid w:val="008B67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95196">
      <w:bodyDiv w:val="1"/>
      <w:marLeft w:val="0"/>
      <w:marRight w:val="0"/>
      <w:marTop w:val="0"/>
      <w:marBottom w:val="0"/>
      <w:divBdr>
        <w:top w:val="none" w:sz="0" w:space="0" w:color="auto"/>
        <w:left w:val="none" w:sz="0" w:space="0" w:color="auto"/>
        <w:bottom w:val="none" w:sz="0" w:space="0" w:color="auto"/>
        <w:right w:val="none" w:sz="0" w:space="0" w:color="auto"/>
      </w:divBdr>
    </w:div>
    <w:div w:id="121121979">
      <w:bodyDiv w:val="1"/>
      <w:marLeft w:val="0"/>
      <w:marRight w:val="0"/>
      <w:marTop w:val="0"/>
      <w:marBottom w:val="0"/>
      <w:divBdr>
        <w:top w:val="none" w:sz="0" w:space="0" w:color="auto"/>
        <w:left w:val="none" w:sz="0" w:space="0" w:color="auto"/>
        <w:bottom w:val="none" w:sz="0" w:space="0" w:color="auto"/>
        <w:right w:val="none" w:sz="0" w:space="0" w:color="auto"/>
      </w:divBdr>
    </w:div>
    <w:div w:id="134184824">
      <w:bodyDiv w:val="1"/>
      <w:marLeft w:val="0"/>
      <w:marRight w:val="0"/>
      <w:marTop w:val="0"/>
      <w:marBottom w:val="0"/>
      <w:divBdr>
        <w:top w:val="none" w:sz="0" w:space="0" w:color="auto"/>
        <w:left w:val="none" w:sz="0" w:space="0" w:color="auto"/>
        <w:bottom w:val="none" w:sz="0" w:space="0" w:color="auto"/>
        <w:right w:val="none" w:sz="0" w:space="0" w:color="auto"/>
      </w:divBdr>
    </w:div>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183982903">
      <w:bodyDiv w:val="1"/>
      <w:marLeft w:val="0"/>
      <w:marRight w:val="0"/>
      <w:marTop w:val="0"/>
      <w:marBottom w:val="0"/>
      <w:divBdr>
        <w:top w:val="none" w:sz="0" w:space="0" w:color="auto"/>
        <w:left w:val="none" w:sz="0" w:space="0" w:color="auto"/>
        <w:bottom w:val="none" w:sz="0" w:space="0" w:color="auto"/>
        <w:right w:val="none" w:sz="0" w:space="0" w:color="auto"/>
      </w:divBdr>
    </w:div>
    <w:div w:id="223638641">
      <w:bodyDiv w:val="1"/>
      <w:marLeft w:val="0"/>
      <w:marRight w:val="0"/>
      <w:marTop w:val="0"/>
      <w:marBottom w:val="0"/>
      <w:divBdr>
        <w:top w:val="none" w:sz="0" w:space="0" w:color="auto"/>
        <w:left w:val="none" w:sz="0" w:space="0" w:color="auto"/>
        <w:bottom w:val="none" w:sz="0" w:space="0" w:color="auto"/>
        <w:right w:val="none" w:sz="0" w:space="0" w:color="auto"/>
      </w:divBdr>
    </w:div>
    <w:div w:id="230194187">
      <w:bodyDiv w:val="1"/>
      <w:marLeft w:val="0"/>
      <w:marRight w:val="0"/>
      <w:marTop w:val="0"/>
      <w:marBottom w:val="0"/>
      <w:divBdr>
        <w:top w:val="none" w:sz="0" w:space="0" w:color="auto"/>
        <w:left w:val="none" w:sz="0" w:space="0" w:color="auto"/>
        <w:bottom w:val="none" w:sz="0" w:space="0" w:color="auto"/>
        <w:right w:val="none" w:sz="0" w:space="0" w:color="auto"/>
      </w:divBdr>
    </w:div>
    <w:div w:id="239339586">
      <w:bodyDiv w:val="1"/>
      <w:marLeft w:val="0"/>
      <w:marRight w:val="0"/>
      <w:marTop w:val="0"/>
      <w:marBottom w:val="0"/>
      <w:divBdr>
        <w:top w:val="none" w:sz="0" w:space="0" w:color="auto"/>
        <w:left w:val="none" w:sz="0" w:space="0" w:color="auto"/>
        <w:bottom w:val="none" w:sz="0" w:space="0" w:color="auto"/>
        <w:right w:val="none" w:sz="0" w:space="0" w:color="auto"/>
      </w:divBdr>
    </w:div>
    <w:div w:id="302927604">
      <w:bodyDiv w:val="1"/>
      <w:marLeft w:val="0"/>
      <w:marRight w:val="0"/>
      <w:marTop w:val="0"/>
      <w:marBottom w:val="0"/>
      <w:divBdr>
        <w:top w:val="none" w:sz="0" w:space="0" w:color="auto"/>
        <w:left w:val="none" w:sz="0" w:space="0" w:color="auto"/>
        <w:bottom w:val="none" w:sz="0" w:space="0" w:color="auto"/>
        <w:right w:val="none" w:sz="0" w:space="0" w:color="auto"/>
      </w:divBdr>
    </w:div>
    <w:div w:id="370761660">
      <w:bodyDiv w:val="1"/>
      <w:marLeft w:val="0"/>
      <w:marRight w:val="0"/>
      <w:marTop w:val="0"/>
      <w:marBottom w:val="0"/>
      <w:divBdr>
        <w:top w:val="none" w:sz="0" w:space="0" w:color="auto"/>
        <w:left w:val="none" w:sz="0" w:space="0" w:color="auto"/>
        <w:bottom w:val="none" w:sz="0" w:space="0" w:color="auto"/>
        <w:right w:val="none" w:sz="0" w:space="0" w:color="auto"/>
      </w:divBdr>
    </w:div>
    <w:div w:id="397172266">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62504900">
      <w:bodyDiv w:val="1"/>
      <w:marLeft w:val="0"/>
      <w:marRight w:val="0"/>
      <w:marTop w:val="0"/>
      <w:marBottom w:val="0"/>
      <w:divBdr>
        <w:top w:val="none" w:sz="0" w:space="0" w:color="auto"/>
        <w:left w:val="none" w:sz="0" w:space="0" w:color="auto"/>
        <w:bottom w:val="none" w:sz="0" w:space="0" w:color="auto"/>
        <w:right w:val="none" w:sz="0" w:space="0" w:color="auto"/>
      </w:divBdr>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478115149">
      <w:bodyDiv w:val="1"/>
      <w:marLeft w:val="0"/>
      <w:marRight w:val="0"/>
      <w:marTop w:val="0"/>
      <w:marBottom w:val="0"/>
      <w:divBdr>
        <w:top w:val="none" w:sz="0" w:space="0" w:color="auto"/>
        <w:left w:val="none" w:sz="0" w:space="0" w:color="auto"/>
        <w:bottom w:val="none" w:sz="0" w:space="0" w:color="auto"/>
        <w:right w:val="none" w:sz="0" w:space="0" w:color="auto"/>
      </w:divBdr>
    </w:div>
    <w:div w:id="498543433">
      <w:bodyDiv w:val="1"/>
      <w:marLeft w:val="0"/>
      <w:marRight w:val="0"/>
      <w:marTop w:val="0"/>
      <w:marBottom w:val="0"/>
      <w:divBdr>
        <w:top w:val="none" w:sz="0" w:space="0" w:color="auto"/>
        <w:left w:val="none" w:sz="0" w:space="0" w:color="auto"/>
        <w:bottom w:val="none" w:sz="0" w:space="0" w:color="auto"/>
        <w:right w:val="none" w:sz="0" w:space="0" w:color="auto"/>
      </w:divBdr>
    </w:div>
    <w:div w:id="634991978">
      <w:bodyDiv w:val="1"/>
      <w:marLeft w:val="0"/>
      <w:marRight w:val="0"/>
      <w:marTop w:val="0"/>
      <w:marBottom w:val="0"/>
      <w:divBdr>
        <w:top w:val="none" w:sz="0" w:space="0" w:color="auto"/>
        <w:left w:val="none" w:sz="0" w:space="0" w:color="auto"/>
        <w:bottom w:val="none" w:sz="0" w:space="0" w:color="auto"/>
        <w:right w:val="none" w:sz="0" w:space="0" w:color="auto"/>
      </w:divBdr>
    </w:div>
    <w:div w:id="657348643">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719675686">
      <w:bodyDiv w:val="1"/>
      <w:marLeft w:val="0"/>
      <w:marRight w:val="0"/>
      <w:marTop w:val="0"/>
      <w:marBottom w:val="0"/>
      <w:divBdr>
        <w:top w:val="none" w:sz="0" w:space="0" w:color="auto"/>
        <w:left w:val="none" w:sz="0" w:space="0" w:color="auto"/>
        <w:bottom w:val="none" w:sz="0" w:space="0" w:color="auto"/>
        <w:right w:val="none" w:sz="0" w:space="0" w:color="auto"/>
      </w:divBdr>
    </w:div>
    <w:div w:id="742411855">
      <w:bodyDiv w:val="1"/>
      <w:marLeft w:val="0"/>
      <w:marRight w:val="0"/>
      <w:marTop w:val="0"/>
      <w:marBottom w:val="0"/>
      <w:divBdr>
        <w:top w:val="none" w:sz="0" w:space="0" w:color="auto"/>
        <w:left w:val="none" w:sz="0" w:space="0" w:color="auto"/>
        <w:bottom w:val="none" w:sz="0" w:space="0" w:color="auto"/>
        <w:right w:val="none" w:sz="0" w:space="0" w:color="auto"/>
      </w:divBdr>
    </w:div>
    <w:div w:id="872576705">
      <w:bodyDiv w:val="1"/>
      <w:marLeft w:val="0"/>
      <w:marRight w:val="0"/>
      <w:marTop w:val="0"/>
      <w:marBottom w:val="0"/>
      <w:divBdr>
        <w:top w:val="none" w:sz="0" w:space="0" w:color="auto"/>
        <w:left w:val="none" w:sz="0" w:space="0" w:color="auto"/>
        <w:bottom w:val="none" w:sz="0" w:space="0" w:color="auto"/>
        <w:right w:val="none" w:sz="0" w:space="0" w:color="auto"/>
      </w:divBdr>
    </w:div>
    <w:div w:id="955719985">
      <w:bodyDiv w:val="1"/>
      <w:marLeft w:val="0"/>
      <w:marRight w:val="0"/>
      <w:marTop w:val="0"/>
      <w:marBottom w:val="0"/>
      <w:divBdr>
        <w:top w:val="none" w:sz="0" w:space="0" w:color="auto"/>
        <w:left w:val="none" w:sz="0" w:space="0" w:color="auto"/>
        <w:bottom w:val="none" w:sz="0" w:space="0" w:color="auto"/>
        <w:right w:val="none" w:sz="0" w:space="0" w:color="auto"/>
      </w:divBdr>
    </w:div>
    <w:div w:id="977301004">
      <w:bodyDiv w:val="1"/>
      <w:marLeft w:val="0"/>
      <w:marRight w:val="0"/>
      <w:marTop w:val="0"/>
      <w:marBottom w:val="0"/>
      <w:divBdr>
        <w:top w:val="none" w:sz="0" w:space="0" w:color="auto"/>
        <w:left w:val="none" w:sz="0" w:space="0" w:color="auto"/>
        <w:bottom w:val="none" w:sz="0" w:space="0" w:color="auto"/>
        <w:right w:val="none" w:sz="0" w:space="0" w:color="auto"/>
      </w:divBdr>
    </w:div>
    <w:div w:id="983853935">
      <w:bodyDiv w:val="1"/>
      <w:marLeft w:val="0"/>
      <w:marRight w:val="0"/>
      <w:marTop w:val="0"/>
      <w:marBottom w:val="0"/>
      <w:divBdr>
        <w:top w:val="none" w:sz="0" w:space="0" w:color="auto"/>
        <w:left w:val="none" w:sz="0" w:space="0" w:color="auto"/>
        <w:bottom w:val="none" w:sz="0" w:space="0" w:color="auto"/>
        <w:right w:val="none" w:sz="0" w:space="0" w:color="auto"/>
      </w:divBdr>
    </w:div>
    <w:div w:id="1008218334">
      <w:bodyDiv w:val="1"/>
      <w:marLeft w:val="0"/>
      <w:marRight w:val="0"/>
      <w:marTop w:val="0"/>
      <w:marBottom w:val="0"/>
      <w:divBdr>
        <w:top w:val="none" w:sz="0" w:space="0" w:color="auto"/>
        <w:left w:val="none" w:sz="0" w:space="0" w:color="auto"/>
        <w:bottom w:val="none" w:sz="0" w:space="0" w:color="auto"/>
        <w:right w:val="none" w:sz="0" w:space="0" w:color="auto"/>
      </w:divBdr>
    </w:div>
    <w:div w:id="1090200469">
      <w:bodyDiv w:val="1"/>
      <w:marLeft w:val="0"/>
      <w:marRight w:val="0"/>
      <w:marTop w:val="0"/>
      <w:marBottom w:val="0"/>
      <w:divBdr>
        <w:top w:val="none" w:sz="0" w:space="0" w:color="auto"/>
        <w:left w:val="none" w:sz="0" w:space="0" w:color="auto"/>
        <w:bottom w:val="none" w:sz="0" w:space="0" w:color="auto"/>
        <w:right w:val="none" w:sz="0" w:space="0" w:color="auto"/>
      </w:divBdr>
    </w:div>
    <w:div w:id="1131242432">
      <w:bodyDiv w:val="1"/>
      <w:marLeft w:val="0"/>
      <w:marRight w:val="0"/>
      <w:marTop w:val="0"/>
      <w:marBottom w:val="0"/>
      <w:divBdr>
        <w:top w:val="none" w:sz="0" w:space="0" w:color="auto"/>
        <w:left w:val="none" w:sz="0" w:space="0" w:color="auto"/>
        <w:bottom w:val="none" w:sz="0" w:space="0" w:color="auto"/>
        <w:right w:val="none" w:sz="0" w:space="0" w:color="auto"/>
      </w:divBdr>
    </w:div>
    <w:div w:id="1170869497">
      <w:bodyDiv w:val="1"/>
      <w:marLeft w:val="0"/>
      <w:marRight w:val="0"/>
      <w:marTop w:val="0"/>
      <w:marBottom w:val="0"/>
      <w:divBdr>
        <w:top w:val="none" w:sz="0" w:space="0" w:color="auto"/>
        <w:left w:val="none" w:sz="0" w:space="0" w:color="auto"/>
        <w:bottom w:val="none" w:sz="0" w:space="0" w:color="auto"/>
        <w:right w:val="none" w:sz="0" w:space="0" w:color="auto"/>
      </w:divBdr>
    </w:div>
    <w:div w:id="1180776432">
      <w:bodyDiv w:val="1"/>
      <w:marLeft w:val="0"/>
      <w:marRight w:val="0"/>
      <w:marTop w:val="0"/>
      <w:marBottom w:val="0"/>
      <w:divBdr>
        <w:top w:val="none" w:sz="0" w:space="0" w:color="auto"/>
        <w:left w:val="none" w:sz="0" w:space="0" w:color="auto"/>
        <w:bottom w:val="none" w:sz="0" w:space="0" w:color="auto"/>
        <w:right w:val="none" w:sz="0" w:space="0" w:color="auto"/>
      </w:divBdr>
    </w:div>
    <w:div w:id="1263803455">
      <w:bodyDiv w:val="1"/>
      <w:marLeft w:val="0"/>
      <w:marRight w:val="0"/>
      <w:marTop w:val="0"/>
      <w:marBottom w:val="0"/>
      <w:divBdr>
        <w:top w:val="none" w:sz="0" w:space="0" w:color="auto"/>
        <w:left w:val="none" w:sz="0" w:space="0" w:color="auto"/>
        <w:bottom w:val="none" w:sz="0" w:space="0" w:color="auto"/>
        <w:right w:val="none" w:sz="0" w:space="0" w:color="auto"/>
      </w:divBdr>
    </w:div>
    <w:div w:id="1284579568">
      <w:bodyDiv w:val="1"/>
      <w:marLeft w:val="0"/>
      <w:marRight w:val="0"/>
      <w:marTop w:val="0"/>
      <w:marBottom w:val="0"/>
      <w:divBdr>
        <w:top w:val="none" w:sz="0" w:space="0" w:color="auto"/>
        <w:left w:val="none" w:sz="0" w:space="0" w:color="auto"/>
        <w:bottom w:val="none" w:sz="0" w:space="0" w:color="auto"/>
        <w:right w:val="none" w:sz="0" w:space="0" w:color="auto"/>
      </w:divBdr>
    </w:div>
    <w:div w:id="1288394266">
      <w:bodyDiv w:val="1"/>
      <w:marLeft w:val="0"/>
      <w:marRight w:val="0"/>
      <w:marTop w:val="0"/>
      <w:marBottom w:val="0"/>
      <w:divBdr>
        <w:top w:val="none" w:sz="0" w:space="0" w:color="auto"/>
        <w:left w:val="none" w:sz="0" w:space="0" w:color="auto"/>
        <w:bottom w:val="none" w:sz="0" w:space="0" w:color="auto"/>
        <w:right w:val="none" w:sz="0" w:space="0" w:color="auto"/>
      </w:divBdr>
    </w:div>
    <w:div w:id="1322075909">
      <w:bodyDiv w:val="1"/>
      <w:marLeft w:val="0"/>
      <w:marRight w:val="0"/>
      <w:marTop w:val="0"/>
      <w:marBottom w:val="0"/>
      <w:divBdr>
        <w:top w:val="none" w:sz="0" w:space="0" w:color="auto"/>
        <w:left w:val="none" w:sz="0" w:space="0" w:color="auto"/>
        <w:bottom w:val="none" w:sz="0" w:space="0" w:color="auto"/>
        <w:right w:val="none" w:sz="0" w:space="0" w:color="auto"/>
      </w:divBdr>
    </w:div>
    <w:div w:id="1420902437">
      <w:bodyDiv w:val="1"/>
      <w:marLeft w:val="0"/>
      <w:marRight w:val="0"/>
      <w:marTop w:val="0"/>
      <w:marBottom w:val="0"/>
      <w:divBdr>
        <w:top w:val="none" w:sz="0" w:space="0" w:color="auto"/>
        <w:left w:val="none" w:sz="0" w:space="0" w:color="auto"/>
        <w:bottom w:val="none" w:sz="0" w:space="0" w:color="auto"/>
        <w:right w:val="none" w:sz="0" w:space="0" w:color="auto"/>
      </w:divBdr>
    </w:div>
    <w:div w:id="1422945561">
      <w:bodyDiv w:val="1"/>
      <w:marLeft w:val="0"/>
      <w:marRight w:val="0"/>
      <w:marTop w:val="0"/>
      <w:marBottom w:val="0"/>
      <w:divBdr>
        <w:top w:val="none" w:sz="0" w:space="0" w:color="auto"/>
        <w:left w:val="none" w:sz="0" w:space="0" w:color="auto"/>
        <w:bottom w:val="none" w:sz="0" w:space="0" w:color="auto"/>
        <w:right w:val="none" w:sz="0" w:space="0" w:color="auto"/>
      </w:divBdr>
    </w:div>
    <w:div w:id="1508861237">
      <w:bodyDiv w:val="1"/>
      <w:marLeft w:val="0"/>
      <w:marRight w:val="0"/>
      <w:marTop w:val="0"/>
      <w:marBottom w:val="0"/>
      <w:divBdr>
        <w:top w:val="none" w:sz="0" w:space="0" w:color="auto"/>
        <w:left w:val="none" w:sz="0" w:space="0" w:color="auto"/>
        <w:bottom w:val="none" w:sz="0" w:space="0" w:color="auto"/>
        <w:right w:val="none" w:sz="0" w:space="0" w:color="auto"/>
      </w:divBdr>
    </w:div>
    <w:div w:id="1660499785">
      <w:bodyDiv w:val="1"/>
      <w:marLeft w:val="0"/>
      <w:marRight w:val="0"/>
      <w:marTop w:val="0"/>
      <w:marBottom w:val="0"/>
      <w:divBdr>
        <w:top w:val="none" w:sz="0" w:space="0" w:color="auto"/>
        <w:left w:val="none" w:sz="0" w:space="0" w:color="auto"/>
        <w:bottom w:val="none" w:sz="0" w:space="0" w:color="auto"/>
        <w:right w:val="none" w:sz="0" w:space="0" w:color="auto"/>
      </w:divBdr>
    </w:div>
    <w:div w:id="1792089087">
      <w:bodyDiv w:val="1"/>
      <w:marLeft w:val="0"/>
      <w:marRight w:val="0"/>
      <w:marTop w:val="0"/>
      <w:marBottom w:val="0"/>
      <w:divBdr>
        <w:top w:val="none" w:sz="0" w:space="0" w:color="auto"/>
        <w:left w:val="none" w:sz="0" w:space="0" w:color="auto"/>
        <w:bottom w:val="none" w:sz="0" w:space="0" w:color="auto"/>
        <w:right w:val="none" w:sz="0" w:space="0" w:color="auto"/>
      </w:divBdr>
    </w:div>
    <w:div w:id="1821731224">
      <w:bodyDiv w:val="1"/>
      <w:marLeft w:val="0"/>
      <w:marRight w:val="0"/>
      <w:marTop w:val="0"/>
      <w:marBottom w:val="0"/>
      <w:divBdr>
        <w:top w:val="none" w:sz="0" w:space="0" w:color="auto"/>
        <w:left w:val="none" w:sz="0" w:space="0" w:color="auto"/>
        <w:bottom w:val="none" w:sz="0" w:space="0" w:color="auto"/>
        <w:right w:val="none" w:sz="0" w:space="0" w:color="auto"/>
      </w:divBdr>
    </w:div>
    <w:div w:id="1828133152">
      <w:bodyDiv w:val="1"/>
      <w:marLeft w:val="0"/>
      <w:marRight w:val="0"/>
      <w:marTop w:val="0"/>
      <w:marBottom w:val="0"/>
      <w:divBdr>
        <w:top w:val="none" w:sz="0" w:space="0" w:color="auto"/>
        <w:left w:val="none" w:sz="0" w:space="0" w:color="auto"/>
        <w:bottom w:val="none" w:sz="0" w:space="0" w:color="auto"/>
        <w:right w:val="none" w:sz="0" w:space="0" w:color="auto"/>
      </w:divBdr>
    </w:div>
    <w:div w:id="1830633421">
      <w:bodyDiv w:val="1"/>
      <w:marLeft w:val="0"/>
      <w:marRight w:val="0"/>
      <w:marTop w:val="0"/>
      <w:marBottom w:val="0"/>
      <w:divBdr>
        <w:top w:val="none" w:sz="0" w:space="0" w:color="auto"/>
        <w:left w:val="none" w:sz="0" w:space="0" w:color="auto"/>
        <w:bottom w:val="none" w:sz="0" w:space="0" w:color="auto"/>
        <w:right w:val="none" w:sz="0" w:space="0" w:color="auto"/>
      </w:divBdr>
    </w:div>
    <w:div w:id="1832717406">
      <w:bodyDiv w:val="1"/>
      <w:marLeft w:val="0"/>
      <w:marRight w:val="0"/>
      <w:marTop w:val="0"/>
      <w:marBottom w:val="0"/>
      <w:divBdr>
        <w:top w:val="none" w:sz="0" w:space="0" w:color="auto"/>
        <w:left w:val="none" w:sz="0" w:space="0" w:color="auto"/>
        <w:bottom w:val="none" w:sz="0" w:space="0" w:color="auto"/>
        <w:right w:val="none" w:sz="0" w:space="0" w:color="auto"/>
      </w:divBdr>
    </w:div>
    <w:div w:id="1956478059">
      <w:bodyDiv w:val="1"/>
      <w:marLeft w:val="0"/>
      <w:marRight w:val="0"/>
      <w:marTop w:val="0"/>
      <w:marBottom w:val="0"/>
      <w:divBdr>
        <w:top w:val="none" w:sz="0" w:space="0" w:color="auto"/>
        <w:left w:val="none" w:sz="0" w:space="0" w:color="auto"/>
        <w:bottom w:val="none" w:sz="0" w:space="0" w:color="auto"/>
        <w:right w:val="none" w:sz="0" w:space="0" w:color="auto"/>
      </w:divBdr>
    </w:div>
    <w:div w:id="1994332699">
      <w:bodyDiv w:val="1"/>
      <w:marLeft w:val="0"/>
      <w:marRight w:val="0"/>
      <w:marTop w:val="0"/>
      <w:marBottom w:val="0"/>
      <w:divBdr>
        <w:top w:val="none" w:sz="0" w:space="0" w:color="auto"/>
        <w:left w:val="none" w:sz="0" w:space="0" w:color="auto"/>
        <w:bottom w:val="none" w:sz="0" w:space="0" w:color="auto"/>
        <w:right w:val="none" w:sz="0" w:space="0" w:color="auto"/>
      </w:divBdr>
    </w:div>
    <w:div w:id="1996644794">
      <w:bodyDiv w:val="1"/>
      <w:marLeft w:val="0"/>
      <w:marRight w:val="0"/>
      <w:marTop w:val="0"/>
      <w:marBottom w:val="0"/>
      <w:divBdr>
        <w:top w:val="none" w:sz="0" w:space="0" w:color="auto"/>
        <w:left w:val="none" w:sz="0" w:space="0" w:color="auto"/>
        <w:bottom w:val="none" w:sz="0" w:space="0" w:color="auto"/>
        <w:right w:val="none" w:sz="0" w:space="0" w:color="auto"/>
      </w:divBdr>
    </w:div>
    <w:div w:id="2018388477">
      <w:bodyDiv w:val="1"/>
      <w:marLeft w:val="0"/>
      <w:marRight w:val="0"/>
      <w:marTop w:val="0"/>
      <w:marBottom w:val="0"/>
      <w:divBdr>
        <w:top w:val="none" w:sz="0" w:space="0" w:color="auto"/>
        <w:left w:val="none" w:sz="0" w:space="0" w:color="auto"/>
        <w:bottom w:val="none" w:sz="0" w:space="0" w:color="auto"/>
        <w:right w:val="none" w:sz="0" w:space="0" w:color="auto"/>
      </w:divBdr>
    </w:div>
    <w:div w:id="2026663810">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law-tracker.europa.eu/procedure/2025_555?lang=en" TargetMode="Externa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s://sdgs.un.org/fr/goals/goal8"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commission.europa.eu/publications/european-competitiveness-fund_en" TargetMode="Externa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sdgs.un.org/fr/goals/goal13"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sdgs.un.org/fr/goals/goal12" TargetMode="External"/><Relationship Id="rId28"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hyperlink" Target="https://eur-lex.europa.eu/legal-content/FR/TXT/?uri=celex%3A52025PC0555"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sdgs.un.org/fr/goals/goal9" TargetMode="External"/><Relationship Id="rId27" Type="http://schemas.openxmlformats.org/officeDocument/2006/relationships/footer" Target="footer4.xml"/><Relationship Id="rId30" Type="http://schemas.openxmlformats.org/officeDocument/2006/relationships/footer" Target="footer6.xml"/></Relationships>
</file>

<file path=word/_rels/footnotes.xml.rels><?xml version="1.0" encoding="UTF-8" standalone="yes"?>
<Relationships xmlns="http://schemas.openxmlformats.org/package/2006/relationships"><Relationship Id="rId8" Type="http://schemas.openxmlformats.org/officeDocument/2006/relationships/hyperlink" Target="http://data.europa.eu/eli/C/2025/2004/oj" TargetMode="External"/><Relationship Id="rId13" Type="http://schemas.openxmlformats.org/officeDocument/2006/relationships/hyperlink" Target="https://eur-lex.europa.eu/legal-content/FR/ALL/?uri=CELEX%3A52016AE3274" TargetMode="External"/><Relationship Id="rId18" Type="http://schemas.openxmlformats.org/officeDocument/2006/relationships/hyperlink" Target="https://eur-lex.europa.eu/legal-content/FR/TXT/?uri=CELEX%3A52021IE3668" TargetMode="External"/><Relationship Id="rId3" Type="http://schemas.openxmlformats.org/officeDocument/2006/relationships/hyperlink" Target="https://eur-lex.europa.eu/legal-content/FR/TXT/?uri=CELEX%3A52020AE1450" TargetMode="External"/><Relationship Id="rId21" Type="http://schemas.openxmlformats.org/officeDocument/2006/relationships/hyperlink" Target="https://eur-lex.europa.eu/legal-content/FR/TXT/?uri=celex%3A52025PC0555" TargetMode="External"/><Relationship Id="rId7" Type="http://schemas.openxmlformats.org/officeDocument/2006/relationships/hyperlink" Target="https://www.eesc.europa.eu/fr/our-work/opinions-information-reports/opinions/renforcer-lapplication-des-regles-du-marche-unique-revision-des-outils-et-du-cadre-actuels" TargetMode="External"/><Relationship Id="rId12" Type="http://schemas.openxmlformats.org/officeDocument/2006/relationships/hyperlink" Target="https://eur-lex.europa.eu/legal-content/FR/ALL/?uri=CELEX%3A52018AE3007" TargetMode="External"/><Relationship Id="rId17" Type="http://schemas.openxmlformats.org/officeDocument/2006/relationships/hyperlink" Target="https://eur-lex.europa.eu/legal-content/FR/TXT/?uri=CELEX%3A52022IE1049" TargetMode="External"/><Relationship Id="rId2" Type="http://schemas.openxmlformats.org/officeDocument/2006/relationships/hyperlink" Target="https://eur-lex.europa.eu/legal-content/FR/TXT/?uri=CELEX%3A52021IE3668" TargetMode="External"/><Relationship Id="rId16" Type="http://schemas.openxmlformats.org/officeDocument/2006/relationships/hyperlink" Target="https://eur-lex.europa.eu/legal-content/FR/TXT/?uri=celex%3A52025PC0555" TargetMode="External"/><Relationship Id="rId20" Type="http://schemas.openxmlformats.org/officeDocument/2006/relationships/hyperlink" Target="http://data.europa.eu/eli/C/2025/4212/oj" TargetMode="External"/><Relationship Id="rId1" Type="http://schemas.openxmlformats.org/officeDocument/2006/relationships/hyperlink" Target="https://eur-lex.europa.eu/legal-content/FR/TXT/?uri=CELEX%3A52022IE1049" TargetMode="External"/><Relationship Id="rId6" Type="http://schemas.openxmlformats.org/officeDocument/2006/relationships/hyperlink" Target="https://www.eesc.europa.eu/fr/our-work/opinions-information-reports/opinions/strategie-pour-le-marche-unique" TargetMode="External"/><Relationship Id="rId11" Type="http://schemas.openxmlformats.org/officeDocument/2006/relationships/hyperlink" Target="http://data.europa.eu/eli/C/2024/6874/oj" TargetMode="External"/><Relationship Id="rId24" Type="http://schemas.openxmlformats.org/officeDocument/2006/relationships/hyperlink" Target="https://eur-lex.europa.eu/legal-content/FR/TXT/?uri=celex%3A52025PC0555" TargetMode="External"/><Relationship Id="rId5" Type="http://schemas.openxmlformats.org/officeDocument/2006/relationships/hyperlink" Target="http://data.europa.eu/eli/C/2025/4212/oj" TargetMode="External"/><Relationship Id="rId15" Type="http://schemas.openxmlformats.org/officeDocument/2006/relationships/hyperlink" Target="https://eur-lex.europa.eu/legal-content/FR/TXT/?uri=celex%3A52025PC0555" TargetMode="External"/><Relationship Id="rId23" Type="http://schemas.openxmlformats.org/officeDocument/2006/relationships/hyperlink" Target="https://eur-lex.europa.eu/legal-content/FR/TXT/?uri=celex%3A52025PC0555" TargetMode="External"/><Relationship Id="rId10" Type="http://schemas.openxmlformats.org/officeDocument/2006/relationships/hyperlink" Target="https://commission.europa.eu/publications/multiannual-financial-framework_fr" TargetMode="External"/><Relationship Id="rId19" Type="http://schemas.openxmlformats.org/officeDocument/2006/relationships/hyperlink" Target="https://eur-lex.europa.eu/legal-content/FR/TXT/?uri=CELEX%3A52020AE1450" TargetMode="External"/><Relationship Id="rId4" Type="http://schemas.openxmlformats.org/officeDocument/2006/relationships/hyperlink" Target="http://data.europa.eu/eli/C/2025/3189/oj" TargetMode="External"/><Relationship Id="rId9" Type="http://schemas.openxmlformats.org/officeDocument/2006/relationships/hyperlink" Target="https://commission.europa.eu/topics/budget/eu-budget-2028-2034-explained_fr" TargetMode="External"/><Relationship Id="rId14" Type="http://schemas.openxmlformats.org/officeDocument/2006/relationships/hyperlink" Target="https://eur-lex.europa.eu/legal-content/FR/TXT/?uri=celex%3A52025PC0555" TargetMode="External"/><Relationship Id="rId22" Type="http://schemas.openxmlformats.org/officeDocument/2006/relationships/hyperlink" Target="https://eur-lex.europa.eu/legal-content/FR/TXT/?uri=celex%3A52025PC05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A6WAAD5KZT2Q-235352946-8636</_dlc_DocId>
    <_dlc_DocIdUrl xmlns="1a33af13-4045-4f88-9d7b-618e30f79918">
      <Url>http://dm/eesc/2025/_layouts/15/DocIdRedir.aspx?ID=A6WAAD5KZT2Q-235352946-8636</Url>
      <Description>A6WAAD5KZT2Q-235352946-8636</Description>
    </_dlc_DocIdUrl>
    <Procedure xmlns="1a33af13-4045-4f88-9d7b-618e30f79918">2025/0555(COD)</Procedure>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2025-11-19T12:00:00+00:00</ProductionDate>
    <DocumentNumber xmlns="a3e83899-37aa-47c6-ba54-4ea80e9c17cf">2576</DocumentNumber>
    <FicheYear xmlns="1a33af13-4045-4f88-9d7b-618e30f79918" xsi:nil="true"/>
    <DossierNumber xmlns="1a33af13-4045-4f88-9d7b-618e30f79918">1101</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67</Value>
      <Value>51</Value>
      <Value>50</Value>
      <Value>47</Value>
      <Value>46</Value>
      <Value>43</Value>
      <Value>42</Value>
      <Value>41</Value>
      <Value>40</Value>
      <Value>39</Value>
      <Value>37</Value>
      <Value>36</Value>
      <Value>35</Value>
      <Value>34</Value>
      <Value>33</Value>
      <Value>32</Value>
      <Value>31</Value>
      <Value>30</Value>
      <Value>29</Value>
      <Value>28</Value>
      <Value>27</Value>
      <Value>24</Value>
      <Value>23</Value>
      <Value>16</Value>
      <Value>15</Value>
      <Value>13</Value>
      <Value>12</Value>
      <Value>8</Value>
      <Value>5</Value>
      <Value>126</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FR</TermName>
          <TermId xmlns="http://schemas.microsoft.com/office/infopath/2007/PartnerControls">d2afafd3-4c81-4f60-8f52-ee33f2f54ff3</TermId>
        </TermInfo>
      </Terms>
    </DocumentLanguage_0>
    <Rapporteur xmlns="1a33af13-4045-4f88-9d7b-618e30f79918">ANGELOVA</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296703</FicheNumber>
    <OriginalSender xmlns="1a33af13-4045-4f88-9d7b-618e30f79918">
      <UserInfo>
        <DisplayName>Lacroix Grégory</DisplayName>
        <AccountId>1634</AccountId>
        <AccountType/>
      </UserInfo>
    </OriginalSender>
    <DocumentPart xmlns="1a33af13-4045-4f88-9d7b-618e30f79918">0</DocumentPart>
    <AdoptionDate xmlns="1a33af13-4045-4f88-9d7b-618e30f79918" xsi:nil="true"/>
    <RequestingService xmlns="1a33af13-4045-4f88-9d7b-618e30f79918">Marché unique, production, consommation</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INT</TermName>
          <TermId xmlns="http://schemas.microsoft.com/office/infopath/2007/PartnerControls">e1edfecb-ed43-427b-bb02-d45fe6645386</TermId>
        </TermInfo>
      </Terms>
    </DossierName_0>
    <DocumentVersion xmlns="1a33af13-4045-4f88-9d7b-618e30f79918">1</DocumentVersion>
  </documentManagement>
</p:properties>
</file>

<file path=customXml/itemProps1.xml><?xml version="1.0" encoding="utf-8"?>
<ds:datastoreItem xmlns:ds="http://schemas.openxmlformats.org/officeDocument/2006/customXml" ds:itemID="{D10615A7-8948-4BD1-B61C-00E35948D0FB}"/>
</file>

<file path=customXml/itemProps2.xml><?xml version="1.0" encoding="utf-8"?>
<ds:datastoreItem xmlns:ds="http://schemas.openxmlformats.org/officeDocument/2006/customXml" ds:itemID="{F2536821-B2C7-4A5E-AAE0-36EC2E2269F7}">
  <ds:schemaRefs>
    <ds:schemaRef ds:uri="http://schemas.microsoft.com/sharepoint/events"/>
  </ds:schemaRefs>
</ds:datastoreItem>
</file>

<file path=customXml/itemProps3.xml><?xml version="1.0" encoding="utf-8"?>
<ds:datastoreItem xmlns:ds="http://schemas.openxmlformats.org/officeDocument/2006/customXml" ds:itemID="{26F3AFE3-F37D-4802-B885-E2B379E8164F}">
  <ds:schemaRefs>
    <ds:schemaRef ds:uri="http://schemas.microsoft.com/sharepoint/v3/contenttype/forms"/>
  </ds:schemaRefs>
</ds:datastoreItem>
</file>

<file path=customXml/itemProps4.xml><?xml version="1.0" encoding="utf-8"?>
<ds:datastoreItem xmlns:ds="http://schemas.openxmlformats.org/officeDocument/2006/customXml" ds:itemID="{20C32586-58A2-426E-8B89-8C1533FDA79C}">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4912</Words>
  <Characters>28551</Characters>
  <Application>Microsoft Office Word</Application>
  <DocSecurity>0</DocSecurity>
  <Lines>237</Lines>
  <Paragraphs>66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Competitiveness fund</vt:lpstr>
      <vt:lpstr>Competitiveness fund</vt:lpstr>
    </vt:vector>
  </TitlesOfParts>
  <Manager/>
  <Company/>
  <LinksUpToDate>false</LinksUpToDate>
  <CharactersWithSpaces>33397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Fonds pour la compétitivité</dc:title>
  <dc:subject>Section opinion</dc:subject>
  <dc:creator/>
  <cp:keywords>EESC-2025-02576-00-00-AS-TRA-EN</cp:keywords>
  <dc:description>Rapporteur: - ANGELOVA Original language: - EN Date of document: - 18/11/2025 Date of meeting: - 03/12/2025 External documents: - COM(2025)555- final Administrator responsible: - Mme STAFFA Silvia</dc:description>
  <cp:lastModifiedBy/>
  <cp:revision>8</cp:revision>
  <cp:lastPrinted>2025-08-04T07:25:00Z</cp:lastPrinted>
  <dcterms:created xsi:type="dcterms:W3CDTF">2025-11-19T12:58:00Z</dcterms:created>
  <dcterms:modified xsi:type="dcterms:W3CDTF">2025-11-19T17:02:00Z</dcterms:modified>
  <cp:category>INT/1101</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19/11/2025, 18/11/2025, 03/11/2025, 08/10/2025, 07/10/2025, 22/08/2025, 03-07-2025, 12/04/2024, 03/04/2024, 11/03/2024, 04/03/2024, 04/03/2024, 04/03/2024, 20/12/2023, 17/05/2022, 04/11/2015, 27/10/2015, 19/10/2015, 09/10/2015, 05/10/2015, 05/10/2015, 26/</vt:lpwstr>
  </property>
  <property fmtid="{D5CDD505-2E9C-101B-9397-08002B2CF9AE}" pid="4" name="Pref_Time">
    <vt:lpwstr>13:58:09, 17:35:46, 17:02:00, 16:38:51, 09:40:47, 15:01:46, 08:56:40, 11:59:36, 08:10:26, 12:03:24, 12:56:55, 12:41:08, 11:08:50, 07:02:01, 13:02:32, 12/10/07, 14:44:02, 16/04/16, 14:09:30, 16:24:55, 16:04:02, 08:56:14, 07:27:56, 17:31:53</vt:lpwstr>
  </property>
  <property fmtid="{D5CDD505-2E9C-101B-9397-08002B2CF9AE}" pid="5" name="Pref_User">
    <vt:lpwstr>pacup, jhvi, pacup, amett, amett, pacup, pacup, enied, enied, enied, enied, enied, enied, enied, enied, ssex, enied, amett, tvoc, mreg, mreg, amett, enied, ssex</vt:lpwstr>
  </property>
  <property fmtid="{D5CDD505-2E9C-101B-9397-08002B2CF9AE}" pid="6" name="Pref_FileName">
    <vt:lpwstr>EESC-2025-02576-00-01-AS-ORI.docx, EESC-2025-02576-00-00-AS-TRA-EN-CRR.docx, EESC-2025-02576-00-00-PA-ORI.docx, EESC-2025-02576-00-01-APA-ORI.docx, EESC-2025-02576-00-00-APA-ORI.docx, EESC-2025-02576-00-00-DT-ORI.docx, EESC-2025-01910-00-00-DT-ORI.docx, C</vt:lpwstr>
  </property>
  <property fmtid="{D5CDD505-2E9C-101B-9397-08002B2CF9AE}" pid="7" name="ContentTypeId">
    <vt:lpwstr>0x010100EA97B91038054C99906057A708A1480A004B94E0CD93B68F4F96D67EEBEC8A7176</vt:lpwstr>
  </property>
  <property fmtid="{D5CDD505-2E9C-101B-9397-08002B2CF9AE}" pid="8" name="_dlc_DocIdItemGuid">
    <vt:lpwstr>70b8e94a-eb5c-4833-a952-96b529a2baa8</vt:lpwstr>
  </property>
  <property fmtid="{D5CDD505-2E9C-101B-9397-08002B2CF9AE}" pid="9" name="Procedure">
    <vt:lpwstr>2025/0555(COD)</vt:lpwstr>
  </property>
  <property fmtid="{D5CDD505-2E9C-101B-9397-08002B2CF9AE}" pid="10" name="AvailableTranslations">
    <vt:lpwstr>40;#DA|5d49c027-8956-412b-aa16-e85a0f96ad0e;#42;#EL|6d4f4d51-af9b-4650-94b4-4276bee85c91;#30;#LT|a7ff5ce7-6123-4f68-865a-a57c31810414;#23;#DE|f6b31e5a-26fa-4935-b661-318e46daf27e;#43;#GA|762d2456-c427-4ecb-b312-af3dad8e258c;#34;#IT|0774613c-01ed-4e5d-a25d-11d2388de825;#46;#SK|46d9fce0-ef79-4f71-b89b-cd6aa82426b8;#28;#SV|c2ed69e7-a339-43d7-8f22-d93680a92aa0;#36;#RO|feb747a2-64cd-4299-af12-4833ddc30497;#41;#ET|ff6c3f4c-b02c-4c3c-ab07-2c37995a7a0a;#16;#ES|e7a6b05b-ae16-40c8-add9-68b64b03aeba;#5;#EN|f2175f21-25d7-44a3-96da-d6a61b075e1b;#27;#NL|55c6556c-b4f4-441d-9acf-c498d4f838bd;#12;#FR|d2afafd3-4c81-4f60-8f52-ee33f2f54ff3;#33;#PT|50ccc04a-eadd-42ae-a0cb-acaf45f812ba;#37;#HU|6b229040-c589-4408-b4c1-4285663d20a8;#50;#HR|2f555653-ed1a-4fe6-8362-9082d95989e5;#35;#FI|87606a43-d45f-42d6-b8c9-e1a3457db5b7;#24;#PL|1e03da61-4678-4e07-b136-b5024ca9197b;#47;#BG|1a1b3951-7821-4e6a-85f5-5673fc08bd2c;#29;#CS|72f9705b-0217-4fd3-bea2-cbc7ed80e26e;#32;#MT|7df99101-6854-4a26-b53a-b88c0da02c26;#39;#LV|46f7e311-5d9f-4663-b433-18aeccb7ace7;#31;#SL|98a412ae-eb01-49e9-ae3d-585a81724cfc</vt:lpwstr>
  </property>
  <property fmtid="{D5CDD505-2E9C-101B-9397-08002B2CF9AE}" pid="11" name="DocumentType_0">
    <vt:lpwstr>AS|c7a748eb-f6f2-4d9d-8b5a-af0cafebc224</vt:lpwstr>
  </property>
  <property fmtid="{D5CDD505-2E9C-101B-9397-08002B2CF9AE}" pid="12" name="MeetingNumber">
    <vt:i4>601</vt:i4>
  </property>
  <property fmtid="{D5CDD505-2E9C-101B-9397-08002B2CF9AE}" pid="13" name="DossierName_0">
    <vt:lpwstr>INT|e1edfecb-ed43-427b-bb02-d45fe6645386</vt:lpwstr>
  </property>
  <property fmtid="{D5CDD505-2E9C-101B-9397-08002B2CF9AE}" pid="14" name="DocumentSource_0">
    <vt:lpwstr>EESC|422833ec-8d7e-4e65-8e4e-8bed07ffb729</vt:lpwstr>
  </property>
  <property fmtid="{D5CDD505-2E9C-101B-9397-08002B2CF9AE}" pid="15" name="DocumentNumber">
    <vt:i4>2576</vt:i4>
  </property>
  <property fmtid="{D5CDD505-2E9C-101B-9397-08002B2CF9AE}" pid="16" name="FicheYear">
    <vt:i4>2025</vt:i4>
  </property>
  <property fmtid="{D5CDD505-2E9C-101B-9397-08002B2CF9AE}" pid="17" name="DocumentVersion">
    <vt:i4>1</vt:i4>
  </property>
  <property fmtid="{D5CDD505-2E9C-101B-9397-08002B2CF9AE}" pid="18" name="DossierNumber">
    <vt:i4>1101</vt:i4>
  </property>
  <property fmtid="{D5CDD505-2E9C-101B-9397-08002B2CF9AE}" pid="19" name="DocumentStatus">
    <vt:lpwstr>13;#TRA|150d2a88-1431-44e6-a8ca-0bb753ab8672</vt:lpwstr>
  </property>
  <property fmtid="{D5CDD505-2E9C-101B-9397-08002B2CF9AE}" pid="20" name="DossierName">
    <vt:lpwstr>51;#INT|e1edfecb-ed43-427b-bb02-d45fe6645386</vt:lpwstr>
  </property>
  <property fmtid="{D5CDD505-2E9C-101B-9397-08002B2CF9AE}" pid="21" name="RequestingService">
    <vt:lpwstr>Marché unique, production, consommation</vt:lpwstr>
  </property>
  <property fmtid="{D5CDD505-2E9C-101B-9397-08002B2CF9AE}" pid="22" name="Confidentiality">
    <vt:lpwstr>15;#Unrestricted|826e22d7-d029-4ec0-a450-0c28ff673572</vt:lpwstr>
  </property>
  <property fmtid="{D5CDD505-2E9C-101B-9397-08002B2CF9AE}" pid="23" name="MeetingName_0">
    <vt:lpwstr>SPL-CES|32d8cb1f-c9ec-4365-95c7-8385a18618ac</vt:lpwstr>
  </property>
  <property fmtid="{D5CDD505-2E9C-101B-9397-08002B2CF9AE}" pid="24" name="Confidentiality_0">
    <vt:lpwstr>Unrestricted|826e22d7-d029-4ec0-a450-0c28ff673572</vt:lpwstr>
  </property>
  <property fmtid="{D5CDD505-2E9C-101B-9397-08002B2CF9AE}" pid="25" name="OriginalLanguage">
    <vt:lpwstr>5;#EN|f2175f21-25d7-44a3-96da-d6a61b075e1b</vt:lpwstr>
  </property>
  <property fmtid="{D5CDD505-2E9C-101B-9397-08002B2CF9AE}" pid="26" name="MeetingName">
    <vt:lpwstr>67;#SPL-CES|32d8cb1f-c9ec-4365-95c7-8385a18618ac</vt:lpwstr>
  </property>
  <property fmtid="{D5CDD505-2E9C-101B-9397-08002B2CF9AE}" pid="27" name="MeetingDate">
    <vt:filetime>2025-12-03T12:00:00Z</vt:filetime>
  </property>
  <property fmtid="{D5CDD505-2E9C-101B-9397-08002B2CF9AE}" pid="28" name="AvailableTranslations_0">
    <vt:lpwstr>DA|5d49c027-8956-412b-aa16-e85a0f96ad0e;IT|0774613c-01ed-4e5d-a25d-11d2388de825;EN|f2175f21-25d7-44a3-96da-d6a61b075e1b</vt:lpwstr>
  </property>
  <property fmtid="{D5CDD505-2E9C-101B-9397-08002B2CF9AE}" pid="29" name="DocumentStatus_0">
    <vt:lpwstr>TRA|150d2a88-1431-44e6-a8ca-0bb753ab8672</vt:lpwstr>
  </property>
  <property fmtid="{D5CDD505-2E9C-101B-9397-08002B2CF9AE}" pid="30" name="OriginalLanguage_0">
    <vt:lpwstr>EN|f2175f21-25d7-44a3-96da-d6a61b075e1b</vt:lpwstr>
  </property>
  <property fmtid="{D5CDD505-2E9C-101B-9397-08002B2CF9AE}" pid="31" name="TaxCatchAll">
    <vt:lpwstr>67;#SPL-CES|32d8cb1f-c9ec-4365-95c7-8385a18618ac;#15;#Unrestricted|826e22d7-d029-4ec0-a450-0c28ff673572;#13;#TRA|150d2a88-1431-44e6-a8ca-0bb753ab8672;#34;#IT|0774613c-01ed-4e5d-a25d-11d2388de825;#8;#Final|ea5e6674-7b27-4bac-b091-73adbb394efe;#126;#AS|c7a748eb-f6f2-4d9d-8b5a-af0cafebc224;#40;#DA|5d49c027-8956-412b-aa16-e85a0f96ad0e;#5;#EN|f2175f21-25d7-44a3-96da-d6a61b075e1b;#1;#EESC|422833ec-8d7e-4e65-8e4e-8bed07ffb729;#51;#INT|e1edfecb-ed43-427b-bb02-d45fe6645386</vt:lpwstr>
  </property>
  <property fmtid="{D5CDD505-2E9C-101B-9397-08002B2CF9AE}" pid="32" name="Rapporteur">
    <vt:lpwstr>ANGELOVA</vt:lpwstr>
  </property>
  <property fmtid="{D5CDD505-2E9C-101B-9397-08002B2CF9AE}" pid="33" name="VersionStatus_0">
    <vt:lpwstr>Final|ea5e6674-7b27-4bac-b091-73adbb394efe</vt:lpwstr>
  </property>
  <property fmtid="{D5CDD505-2E9C-101B-9397-08002B2CF9AE}" pid="34" name="VersionStatus">
    <vt:lpwstr>8;#Final|ea5e6674-7b27-4bac-b091-73adbb394efe</vt:lpwstr>
  </property>
  <property fmtid="{D5CDD505-2E9C-101B-9397-08002B2CF9AE}" pid="35" name="DocumentYear">
    <vt:i4>2025</vt:i4>
  </property>
  <property fmtid="{D5CDD505-2E9C-101B-9397-08002B2CF9AE}" pid="36" name="FicheNumber">
    <vt:i4>296703</vt:i4>
  </property>
  <property fmtid="{D5CDD505-2E9C-101B-9397-08002B2CF9AE}" pid="37" name="DocumentPart">
    <vt:i4>0</vt:i4>
  </property>
  <property fmtid="{D5CDD505-2E9C-101B-9397-08002B2CF9AE}" pid="38" name="DocumentSource">
    <vt:lpwstr>1;#EESC|422833ec-8d7e-4e65-8e4e-8bed07ffb729</vt:lpwstr>
  </property>
  <property fmtid="{D5CDD505-2E9C-101B-9397-08002B2CF9AE}" pid="39" name="DocumentType">
    <vt:lpwstr>126;#AS|c7a748eb-f6f2-4d9d-8b5a-af0cafebc224</vt:lpwstr>
  </property>
  <property fmtid="{D5CDD505-2E9C-101B-9397-08002B2CF9AE}" pid="40" name="DocumentLanguage">
    <vt:lpwstr>12;#FR|d2afafd3-4c81-4f60-8f52-ee33f2f54ff3</vt:lpwstr>
  </property>
  <property fmtid="{D5CDD505-2E9C-101B-9397-08002B2CF9AE}" pid="41" name="_docset_NoMedatataSyncRequired">
    <vt:lpwstr>False</vt:lpwstr>
  </property>
  <property fmtid="{D5CDD505-2E9C-101B-9397-08002B2CF9AE}" pid="42" name="DocumentLanguage_0">
    <vt:lpwstr>EN|f2175f21-25d7-44a3-96da-d6a61b075e1b</vt:lpwstr>
  </property>
</Properties>
</file>