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4.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notes.xml" ContentType="application/vnd.openxmlformats-officedocument.wordprocessingml.footnotes+xml"/>
  <Override PartName="/word/footer4.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5.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36350D" w:rsidR="0090606C" w:rsidRDefault="00601604" w14:paraId="72ECB517" w14:textId="77777777">
      <w:pPr>
        <w:jc w:val="center"/>
        <w:rPr>
          <w:lang w:val="en-GB"/>
        </w:rPr>
      </w:pPr>
      <w:bookmarkStart w:name="_GoBack" w:id="0"/>
      <w:bookmarkEnd w:id="0"/>
      <w:r w:rsidRPr="00FA5329">
        <w:rPr>
          <w:noProof/>
        </w:rPr>
        <w:drawing>
          <wp:inline distT="0" distB="0" distL="0" distR="0" wp14:anchorId="602E12A5" wp14:editId="628E3036">
            <wp:extent cx="1792800" cy="1240079"/>
            <wp:effectExtent l="0" t="0" r="0" b="0"/>
            <wp:docPr id="5" name="Picture 5" title="EESCLogo_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logo_EESC-vertical-positive-en-quadri_MR.jpg"/>
                    <pic:cNvPicPr/>
                  </pic:nvPicPr>
                  <pic:blipFill>
                    <a:blip r:embed="rId11">
                      <a:extLst>
                        <a:ext uri="{28A0092B-C50C-407E-A947-70E740481C1C}">
                          <a14:useLocalDpi xmlns:a14="http://schemas.microsoft.com/office/drawing/2010/main" val="0"/>
                        </a:ext>
                      </a:extLst>
                    </a:blip>
                    <a:stretch>
                      <a:fillRect/>
                    </a:stretch>
                  </pic:blipFill>
                  <pic:spPr>
                    <a:xfrm>
                      <a:off x="0" y="0"/>
                      <a:ext cx="1792800" cy="1240079"/>
                    </a:xfrm>
                    <a:prstGeom prst="rect">
                      <a:avLst/>
                    </a:prstGeom>
                  </pic:spPr>
                </pic:pic>
              </a:graphicData>
            </a:graphic>
          </wp:inline>
        </w:drawing>
      </w:r>
      <w:r w:rsidRPr="00FA5329">
        <w:rPr>
          <w:noProof/>
          <w:sz w:val="20"/>
        </w:rPr>
        <mc:AlternateContent>
          <mc:Choice Requires="wps">
            <w:drawing>
              <wp:anchor distT="0" distB="0" distL="114300" distR="114300" simplePos="0" relativeHeight="251658240" behindDoc="1" locked="0" layoutInCell="0" allowOverlap="1" wp14:editId="3B485802" wp14:anchorId="03DC7385">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0606C" w:rsidRDefault="00601604" w14:paraId="2CF93A4D" w14:textId="77777777">
                            <w:pPr>
                              <w:jc w:val="center"/>
                              <w:rPr>
                                <w:rFonts w:ascii="Arial" w:hAnsi="Arial" w:cs="Arial"/>
                                <w:b/>
                                <w:bCs/>
                                <w:sz w:val="48"/>
                                <w:lang w:val="nl-BE"/>
                              </w:rPr>
                            </w:pPr>
                            <w:r>
                              <w:rPr>
                                <w:rFonts w:ascii="Arial" w:hAnsi="Arial" w:cs="Arial"/>
                                <w:b/>
                                <w:bCs/>
                                <w:sz w:val="48"/>
                                <w:lang w:val="nl-BE"/>
                              </w:rPr>
                              <w:t>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03DC7385">
                <v:stroke joinstyle="miter"/>
                <v:path gradientshapeok="t" o:connecttype="rect"/>
              </v:shapetype>
              <v:shape id="Text Box 17" style="position:absolute;left:0;text-align:left;margin-left:533pt;margin-top:793.8pt;width:51pt;height:3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o:allowincell="f"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">
                <v:textbox>
                  <w:txbxContent>
                    <w:p w:rsidR="0090606C" w:rsidRDefault="00601604" w14:paraId="2CF93A4D" w14:textId="77777777">
                      <w:pPr>
                        <w:jc w:val="center"/>
                        <w:rPr>
                          <w:rFonts w:ascii="Arial" w:hAnsi="Arial" w:cs="Arial"/>
                          <w:b/>
                          <w:bCs/>
                          <w:sz w:val="48"/>
                          <w:lang w:val="nl-BE"/>
                        </w:rPr>
                      </w:pPr>
                      <w:r>
                        <w:rPr>
                          <w:rFonts w:ascii="Arial" w:hAnsi="Arial" w:cs="Arial"/>
                          <w:b/>
                          <w:bCs/>
                          <w:sz w:val="48"/>
                          <w:lang w:val="nl-BE"/>
                        </w:rPr>
                        <w:t>EN</w:t>
                      </w:r>
                    </w:p>
                  </w:txbxContent>
                </v:textbox>
                <w10:wrap anchorx="page" anchory="page"/>
              </v:shape>
            </w:pict>
          </mc:Fallback>
        </mc:AlternateContent>
      </w:r>
    </w:p>
    <w:p w:rsidRPr="0036350D" w:rsidR="0090606C" w:rsidRDefault="0090606C" w14:paraId="7DEC2BE9" w14:textId="77777777">
      <w:pPr>
        <w:jc w:val="left"/>
        <w:rPr>
          <w:lang w:val="en-GB"/>
        </w:rPr>
      </w:pPr>
    </w:p>
    <w:p w:rsidRPr="0036350D" w:rsidR="0090606C" w:rsidRDefault="00601604" w14:paraId="685D93E3" w14:textId="77777777">
      <w:pPr>
        <w:jc w:val="right"/>
        <w:rPr>
          <w:lang w:val="en-GB"/>
        </w:rPr>
      </w:pPr>
      <w:r w:rsidRPr="0036350D">
        <w:rPr>
          <w:b/>
          <w:bCs/>
          <w:lang w:val="en-GB"/>
        </w:rPr>
        <w:t>INT/1101</w:t>
      </w:r>
    </w:p>
    <w:p w:rsidRPr="0036350D" w:rsidR="0090606C" w:rsidRDefault="00601604" w14:paraId="68FF4A3F" w14:textId="77777777">
      <w:pPr>
        <w:jc w:val="right"/>
        <w:rPr>
          <w:lang w:val="en-GB"/>
        </w:rPr>
      </w:pPr>
      <w:r w:rsidRPr="0036350D">
        <w:rPr>
          <w:b/>
          <w:bCs/>
          <w:lang w:val="en-GB"/>
        </w:rPr>
        <w:t>Competitiveness fund</w:t>
      </w:r>
    </w:p>
    <w:p w:rsidRPr="0036350D" w:rsidR="0090606C" w:rsidRDefault="0090606C" w14:paraId="24D04A79" w14:textId="77777777">
      <w:pPr>
        <w:rPr>
          <w:lang w:val="en-GB"/>
        </w:rPr>
      </w:pPr>
    </w:p>
    <w:p w:rsidRPr="0036350D" w:rsidR="0090606C" w:rsidRDefault="0090606C" w14:paraId="65C5D9E6" w14:textId="77777777">
      <w:pPr>
        <w:rPr>
          <w:lang w:val="en-GB"/>
        </w:rPr>
      </w:pPr>
    </w:p>
    <w:p w:rsidRPr="0036350D" w:rsidR="0090606C" w:rsidRDefault="00601604" w14:paraId="72453381" w14:textId="219B9A27">
      <w:pPr>
        <w:jc w:val="center"/>
        <w:rPr>
          <w:b/>
          <w:bCs/>
          <w:sz w:val="28"/>
          <w:szCs w:val="28"/>
          <w:lang w:val="en-GB"/>
        </w:rPr>
      </w:pPr>
      <w:r w:rsidRPr="0036350D">
        <w:rPr>
          <w:b/>
          <w:bCs/>
          <w:sz w:val="28"/>
          <w:szCs w:val="28"/>
          <w:lang w:val="en-GB"/>
        </w:rPr>
        <w:t>OPINION</w:t>
      </w:r>
    </w:p>
    <w:p w:rsidRPr="0036350D" w:rsidR="0090606C" w:rsidRDefault="0090606C" w14:paraId="63D5CBBB" w14:textId="77777777">
      <w:pPr>
        <w:jc w:val="center"/>
        <w:rPr>
          <w:lang w:val="en-GB"/>
        </w:rPr>
      </w:pPr>
    </w:p>
    <w:p w:rsidRPr="0036350D" w:rsidR="0090606C" w:rsidRDefault="00601604" w14:paraId="1BF5A61E" w14:textId="77777777">
      <w:pPr>
        <w:jc w:val="center"/>
        <w:rPr>
          <w:lang w:val="en-GB"/>
        </w:rPr>
      </w:pPr>
      <w:r w:rsidRPr="0036350D">
        <w:rPr>
          <w:lang w:val="en-GB"/>
        </w:rPr>
        <w:t>Section for the Single Market, Production and Consumption</w:t>
      </w:r>
    </w:p>
    <w:p w:rsidRPr="0036350D" w:rsidR="0090606C" w:rsidRDefault="0090606C" w14:paraId="39F296EE" w14:textId="77777777">
      <w:pPr>
        <w:jc w:val="center"/>
        <w:rPr>
          <w:lang w:val="en-GB"/>
        </w:rPr>
      </w:pPr>
    </w:p>
    <w:p w:rsidRPr="0036350D" w:rsidR="0090606C" w:rsidRDefault="00601604" w14:paraId="2A94ED9F" w14:textId="77777777">
      <w:pPr>
        <w:ind w:left="360"/>
        <w:jc w:val="center"/>
        <w:rPr>
          <w:b/>
          <w:bCs/>
          <w:lang w:val="en-GB"/>
        </w:rPr>
      </w:pPr>
      <w:r w:rsidRPr="0036350D">
        <w:rPr>
          <w:b/>
          <w:bCs/>
          <w:lang w:val="en-GB"/>
        </w:rPr>
        <w:t>Proposal for a Regulation of the European Parliament and of the Council on establishing the European Competitiveness Fund (‘ECF’), including the specific programme for defence research and innovation activities, repealing Regulations (EU) 2021/522, (EU) 2021/694, (EU) 2021/697, (EU) 2021/783, repealing provisions of Regulations (EU) 2021/696, (EU) 2023/588, and amending Regulation (EU) [EDIP]</w:t>
      </w:r>
    </w:p>
    <w:p w:rsidRPr="0036350D" w:rsidR="0090606C" w:rsidRDefault="00601604" w14:paraId="2E6CB957" w14:textId="77777777">
      <w:pPr>
        <w:jc w:val="center"/>
        <w:rPr>
          <w:lang w:val="en-GB"/>
        </w:rPr>
      </w:pPr>
      <w:r w:rsidRPr="0036350D">
        <w:rPr>
          <w:lang w:val="en-GB"/>
        </w:rPr>
        <w:t>(COM(2025) 555 final - 2025/0555 (COD))</w:t>
      </w:r>
    </w:p>
    <w:p w:rsidRPr="0036350D" w:rsidR="0090606C" w:rsidRDefault="0090606C" w14:paraId="1C0F0A83" w14:textId="77777777">
      <w:pPr>
        <w:jc w:val="center"/>
        <w:rPr>
          <w:lang w:val="en-GB"/>
        </w:rPr>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Pr="0036350D" w:rsidR="0090606C" w14:paraId="3C076D4A" w14:textId="77777777">
        <w:tc>
          <w:tcPr>
            <w:tcW w:w="3119" w:type="dxa"/>
          </w:tcPr>
          <w:p w:rsidRPr="0036350D" w:rsidR="0090606C" w:rsidRDefault="00601604" w14:paraId="4FCD4D20" w14:textId="77777777">
            <w:pPr>
              <w:rPr>
                <w:lang w:val="en-GB"/>
              </w:rPr>
            </w:pPr>
            <w:r w:rsidRPr="0036350D">
              <w:rPr>
                <w:lang w:val="en-GB"/>
              </w:rPr>
              <w:t>Administrator</w:t>
            </w:r>
          </w:p>
        </w:tc>
        <w:tc>
          <w:tcPr>
            <w:tcW w:w="6170" w:type="dxa"/>
          </w:tcPr>
          <w:p w:rsidRPr="0036350D" w:rsidR="0090606C" w:rsidRDefault="00601604" w14:paraId="12149E3E" w14:textId="77777777">
            <w:pPr>
              <w:jc w:val="left"/>
              <w:rPr>
                <w:lang w:val="en-GB"/>
              </w:rPr>
            </w:pPr>
            <w:r w:rsidRPr="0036350D">
              <w:rPr>
                <w:lang w:val="en-GB"/>
              </w:rPr>
              <w:t>Silvia STAFFA</w:t>
            </w:r>
          </w:p>
        </w:tc>
      </w:tr>
      <w:tr w:rsidRPr="0036350D" w:rsidR="0090606C" w14:paraId="4D6908BE" w14:textId="77777777">
        <w:tc>
          <w:tcPr>
            <w:tcW w:w="3119" w:type="dxa"/>
          </w:tcPr>
          <w:p w:rsidRPr="0036350D" w:rsidR="0090606C" w:rsidRDefault="00601604" w14:paraId="03F895A4" w14:textId="77777777">
            <w:pPr>
              <w:rPr>
                <w:lang w:val="en-GB"/>
              </w:rPr>
            </w:pPr>
            <w:r w:rsidRPr="0036350D">
              <w:rPr>
                <w:lang w:val="en-GB"/>
              </w:rPr>
              <w:t>Document date</w:t>
            </w:r>
          </w:p>
        </w:tc>
        <w:tc>
          <w:tcPr>
            <w:tcW w:w="6170" w:type="dxa"/>
          </w:tcPr>
          <w:p w:rsidRPr="0036350D" w:rsidR="0090606C" w:rsidRDefault="0036350D" w14:paraId="72915B50" w14:textId="5DBAB995">
            <w:pPr>
              <w:jc w:val="left"/>
              <w:rPr>
                <w:lang w:val="en-GB"/>
              </w:rPr>
            </w:pPr>
            <w:r>
              <w:rPr>
                <w:lang w:val="en-GB"/>
              </w:rPr>
              <w:t>20</w:t>
            </w:r>
            <w:r w:rsidRPr="0036350D" w:rsidR="00601604">
              <w:rPr>
                <w:lang w:val="en-GB"/>
              </w:rPr>
              <w:t>/11/2025</w:t>
            </w:r>
          </w:p>
        </w:tc>
      </w:tr>
    </w:tbl>
    <w:p w:rsidRPr="0036350D" w:rsidR="0090606C" w:rsidRDefault="00601604" w14:paraId="51814474" w14:textId="77777777">
      <w:pPr>
        <w:jc w:val="center"/>
        <w:rPr>
          <w:b/>
          <w:bCs/>
          <w:lang w:val="en-GB"/>
        </w:rPr>
      </w:pPr>
      <w:r w:rsidRPr="0036350D">
        <w:rPr>
          <w:lang w:val="en-GB"/>
        </w:rPr>
        <w:t xml:space="preserve">Rapporteur: </w:t>
      </w:r>
      <w:r w:rsidRPr="0036350D">
        <w:rPr>
          <w:b/>
          <w:bCs/>
          <w:lang w:val="en-GB"/>
        </w:rPr>
        <w:t>Milena ANGELOVA</w:t>
      </w:r>
    </w:p>
    <w:p w:rsidRPr="0036350D" w:rsidR="0090606C" w:rsidRDefault="0090606C" w14:paraId="672BF167" w14:textId="77777777">
      <w:pPr>
        <w:rPr>
          <w:lang w:val="en-GB"/>
        </w:rPr>
      </w:pPr>
    </w:p>
    <w:p w:rsidRPr="0036350D" w:rsidR="0090606C" w:rsidRDefault="0090606C" w14:paraId="1BD8DF67" w14:textId="77777777">
      <w:pPr>
        <w:rPr>
          <w:lang w:val="en-GB"/>
        </w:rPr>
        <w:sectPr w:rsidRPr="0036350D" w:rsidR="0090606C" w:rsidSect="00432D8E">
          <w:headerReference w:type="even" r:id="rId12"/>
          <w:headerReference w:type="default" r:id="rId13"/>
          <w:footerReference w:type="even" r:id="rId14"/>
          <w:footerReference w:type="default" r:id="rId15"/>
          <w:headerReference w:type="first" r:id="rId16"/>
          <w:footerReference w:type="first" r:id="rId17"/>
          <w:pgSz w:w="11907" w:h="16839" w:code="9"/>
          <w:pgMar w:top="1417" w:right="1417" w:bottom="1417" w:left="1417" w:header="709" w:footer="709" w:gutter="0"/>
          <w:pgNumType w:start="1"/>
          <w:cols w:space="720"/>
          <w:docGrid w:linePitch="299"/>
        </w:sectPr>
      </w:pPr>
    </w:p>
    <w:p w:rsidRPr="0036350D" w:rsidR="0090606C" w:rsidRDefault="0090606C" w14:paraId="6E6EA355" w14:textId="77777777">
      <w:pPr>
        <w:rPr>
          <w:lang w:val="en-GB"/>
        </w:rPr>
      </w:pPr>
    </w:p>
    <w:tbl>
      <w:tblPr>
        <w:tblW w:w="0" w:type="auto"/>
        <w:tblLook w:val="04A0" w:firstRow="1" w:lastRow="0" w:firstColumn="1" w:lastColumn="0" w:noHBand="0" w:noVBand="1"/>
      </w:tblPr>
      <w:tblGrid>
        <w:gridCol w:w="3055"/>
        <w:gridCol w:w="6018"/>
      </w:tblGrid>
      <w:tr w:rsidRPr="003906A8" w:rsidR="0090606C" w14:paraId="2751D80C" w14:textId="77777777">
        <w:tc>
          <w:tcPr>
            <w:tcW w:w="3055" w:type="dxa"/>
          </w:tcPr>
          <w:p w:rsidRPr="0036350D" w:rsidR="0090606C" w:rsidRDefault="00601604" w14:paraId="257CF595" w14:textId="77777777">
            <w:pPr>
              <w:jc w:val="left"/>
              <w:rPr>
                <w:lang w:val="en-GB"/>
              </w:rPr>
            </w:pPr>
            <w:r w:rsidRPr="0036350D">
              <w:rPr>
                <w:lang w:val="en-GB"/>
              </w:rPr>
              <w:t>Advisor</w:t>
            </w:r>
          </w:p>
        </w:tc>
        <w:tc>
          <w:tcPr>
            <w:tcW w:w="6018" w:type="dxa"/>
          </w:tcPr>
          <w:p w:rsidRPr="00557D20" w:rsidR="0090606C" w:rsidRDefault="00601604" w14:paraId="45E618CA" w14:textId="77777777">
            <w:pPr>
              <w:jc w:val="left"/>
              <w:rPr>
                <w:lang w:val="fi-FI"/>
              </w:rPr>
            </w:pPr>
            <w:r w:rsidRPr="00557D20">
              <w:rPr>
                <w:lang w:val="fi-FI"/>
              </w:rPr>
              <w:t>Tellervo KYLÄ-HARAKKA-RUONALA (for the rapporteur)</w:t>
            </w:r>
          </w:p>
        </w:tc>
      </w:tr>
      <w:tr w:rsidRPr="0036350D" w:rsidR="0090606C" w14:paraId="3F2D69F2" w14:textId="77777777">
        <w:tc>
          <w:tcPr>
            <w:tcW w:w="3055" w:type="dxa"/>
          </w:tcPr>
          <w:p w:rsidRPr="0036350D" w:rsidR="0090606C" w:rsidRDefault="00601604" w14:paraId="09DA15F6" w14:textId="77777777">
            <w:pPr>
              <w:jc w:val="left"/>
              <w:rPr>
                <w:lang w:val="en-GB"/>
              </w:rPr>
            </w:pPr>
            <w:r w:rsidRPr="0036350D">
              <w:rPr>
                <w:lang w:val="en-GB"/>
              </w:rPr>
              <w:t>Legislative procedure</w:t>
            </w:r>
          </w:p>
        </w:tc>
        <w:tc>
          <w:tcPr>
            <w:tcW w:w="6018" w:type="dxa"/>
          </w:tcPr>
          <w:p w:rsidRPr="0036350D" w:rsidR="0090606C" w:rsidRDefault="00103812" w14:paraId="0E892A6E" w14:textId="77777777">
            <w:pPr>
              <w:pStyle w:val="ListParagraph"/>
              <w:ind w:left="0"/>
              <w:jc w:val="left"/>
              <w:rPr>
                <w:rStyle w:val="Hyperlink"/>
                <w:u w:val="none"/>
                <w:lang w:val="en-GB"/>
              </w:rPr>
            </w:pPr>
            <w:hyperlink w:history="1" r:id="rId18">
              <w:r w:rsidRPr="0036350D" w:rsidR="00601604">
                <w:rPr>
                  <w:rStyle w:val="Hyperlink"/>
                  <w:lang w:val="en-GB"/>
                </w:rPr>
                <w:t>EU Law Tracker</w:t>
              </w:r>
            </w:hyperlink>
          </w:p>
        </w:tc>
      </w:tr>
      <w:tr w:rsidRPr="0036350D" w:rsidR="0090606C" w14:paraId="4C3DDA3C" w14:textId="77777777">
        <w:tc>
          <w:tcPr>
            <w:tcW w:w="3055" w:type="dxa"/>
          </w:tcPr>
          <w:p w:rsidRPr="0036350D" w:rsidR="0090606C" w:rsidRDefault="00601604" w14:paraId="4C46344B" w14:textId="77777777">
            <w:pPr>
              <w:jc w:val="left"/>
              <w:rPr>
                <w:lang w:val="en-GB"/>
              </w:rPr>
            </w:pPr>
            <w:r w:rsidRPr="0036350D">
              <w:rPr>
                <w:lang w:val="en-GB"/>
              </w:rPr>
              <w:t>Referrals</w:t>
            </w:r>
          </w:p>
        </w:tc>
        <w:tc>
          <w:tcPr>
            <w:tcW w:w="6018" w:type="dxa"/>
          </w:tcPr>
          <w:p w:rsidRPr="0036350D" w:rsidR="0090606C" w:rsidRDefault="00601604" w14:paraId="3C50F0BF" w14:textId="5C9DB1E6">
            <w:pPr>
              <w:pStyle w:val="ListParagraph"/>
              <w:ind w:left="0"/>
              <w:jc w:val="left"/>
              <w:rPr>
                <w:lang w:val="en-GB"/>
              </w:rPr>
            </w:pPr>
            <w:r w:rsidRPr="0036350D">
              <w:rPr>
                <w:lang w:val="en-GB"/>
              </w:rPr>
              <w:t xml:space="preserve">European Parliament, </w:t>
            </w:r>
            <w:r w:rsidR="006C41F1">
              <w:rPr>
                <w:lang w:val="en-GB"/>
              </w:rPr>
              <w:t>12</w:t>
            </w:r>
            <w:r w:rsidRPr="0036350D">
              <w:rPr>
                <w:lang w:val="en-GB"/>
              </w:rPr>
              <w:t>/</w:t>
            </w:r>
            <w:r w:rsidRPr="00FA5329" w:rsidR="00DF31E7">
              <w:rPr>
                <w:lang w:val="en-GB"/>
              </w:rPr>
              <w:t>11</w:t>
            </w:r>
            <w:r w:rsidRPr="0036350D">
              <w:rPr>
                <w:lang w:val="en-GB"/>
              </w:rPr>
              <w:t>/</w:t>
            </w:r>
            <w:r w:rsidRPr="00FA5329" w:rsidR="00DF31E7">
              <w:rPr>
                <w:lang w:val="en-GB"/>
              </w:rPr>
              <w:t>2025</w:t>
            </w:r>
          </w:p>
          <w:p w:rsidRPr="0036350D" w:rsidR="0090606C" w:rsidRDefault="00601604" w14:paraId="08309E84" w14:textId="77777777">
            <w:pPr>
              <w:pStyle w:val="ListParagraph"/>
              <w:ind w:left="0"/>
              <w:jc w:val="left"/>
              <w:rPr>
                <w:lang w:val="en-GB"/>
              </w:rPr>
            </w:pPr>
            <w:r w:rsidRPr="0036350D">
              <w:rPr>
                <w:lang w:val="en-GB"/>
              </w:rPr>
              <w:t>Council of the European Union, 22/9/2025</w:t>
            </w:r>
          </w:p>
        </w:tc>
      </w:tr>
      <w:tr w:rsidRPr="0036350D" w:rsidR="0090606C" w14:paraId="648C7F5B" w14:textId="77777777">
        <w:trPr>
          <w:trHeight w:val="251"/>
        </w:trPr>
        <w:tc>
          <w:tcPr>
            <w:tcW w:w="3055" w:type="dxa"/>
          </w:tcPr>
          <w:p w:rsidRPr="0036350D" w:rsidR="0090606C" w:rsidRDefault="00601604" w14:paraId="7BEA170B" w14:textId="77777777">
            <w:pPr>
              <w:jc w:val="left"/>
              <w:rPr>
                <w:lang w:val="en-GB"/>
              </w:rPr>
            </w:pPr>
            <w:r w:rsidRPr="0036350D">
              <w:rPr>
                <w:lang w:val="en-GB"/>
              </w:rPr>
              <w:t>Legal basis</w:t>
            </w:r>
          </w:p>
        </w:tc>
        <w:tc>
          <w:tcPr>
            <w:tcW w:w="6018" w:type="dxa"/>
          </w:tcPr>
          <w:p w:rsidRPr="0036350D" w:rsidR="0090606C" w:rsidRDefault="00601604" w14:paraId="5E830CBC" w14:textId="77777777">
            <w:pPr>
              <w:jc w:val="left"/>
              <w:rPr>
                <w:lang w:val="en-GB"/>
              </w:rPr>
            </w:pPr>
            <w:r w:rsidRPr="0036350D">
              <w:rPr>
                <w:lang w:val="en-GB"/>
              </w:rPr>
              <w:t>Articles 43(2), 168(5), 172, 173(3), 175, 182(4), 188, 192(1) and 194(2) of the Treaty on the Functioning of the European Union</w:t>
            </w:r>
          </w:p>
        </w:tc>
      </w:tr>
      <w:tr w:rsidRPr="0036350D" w:rsidR="0090606C" w14:paraId="69577C0C" w14:textId="77777777">
        <w:tc>
          <w:tcPr>
            <w:tcW w:w="3055" w:type="dxa"/>
          </w:tcPr>
          <w:p w:rsidRPr="0036350D" w:rsidR="0090606C" w:rsidRDefault="00601604" w14:paraId="7CFEB7F2" w14:textId="77777777">
            <w:pPr>
              <w:spacing w:after="240"/>
              <w:jc w:val="left"/>
              <w:rPr>
                <w:lang w:val="en-GB"/>
              </w:rPr>
            </w:pPr>
            <w:r w:rsidRPr="0036350D">
              <w:rPr>
                <w:lang w:val="en-GB"/>
              </w:rPr>
              <w:t>European Commission documents</w:t>
            </w:r>
          </w:p>
        </w:tc>
        <w:tc>
          <w:tcPr>
            <w:tcW w:w="6018" w:type="dxa"/>
            <w:vAlign w:val="bottom"/>
          </w:tcPr>
          <w:p w:rsidRPr="0036350D" w:rsidR="0090606C" w:rsidRDefault="00103812" w14:paraId="52E3C2B6" w14:textId="77777777">
            <w:pPr>
              <w:jc w:val="left"/>
              <w:rPr>
                <w:lang w:val="en-GB"/>
              </w:rPr>
            </w:pPr>
            <w:hyperlink w:history="1" r:id="rId19">
              <w:r w:rsidRPr="0036350D" w:rsidR="00601604">
                <w:rPr>
                  <w:rStyle w:val="Hyperlink"/>
                  <w:lang w:val="en-GB"/>
                </w:rPr>
                <w:t>COM(2025) 555 final - 2025/0555 (COD)</w:t>
              </w:r>
            </w:hyperlink>
          </w:p>
          <w:p w:rsidRPr="0036350D" w:rsidR="0090606C" w:rsidRDefault="00103812" w14:paraId="06B1AD71" w14:textId="77777777">
            <w:pPr>
              <w:jc w:val="left"/>
              <w:rPr>
                <w:color w:val="0000FF"/>
                <w:u w:val="single"/>
                <w:lang w:val="en-GB"/>
              </w:rPr>
            </w:pPr>
            <w:hyperlink w:history="1" r:id="rId20">
              <w:r w:rsidRPr="0036350D" w:rsidR="00601604">
                <w:rPr>
                  <w:rStyle w:val="Hyperlink"/>
                  <w:lang w:val="en-GB"/>
                </w:rPr>
                <w:t>European Competitiveness Fund</w:t>
              </w:r>
            </w:hyperlink>
          </w:p>
        </w:tc>
      </w:tr>
      <w:tr w:rsidRPr="0036350D" w:rsidR="0090606C" w14:paraId="16B95346" w14:textId="77777777">
        <w:tc>
          <w:tcPr>
            <w:tcW w:w="3055" w:type="dxa"/>
          </w:tcPr>
          <w:p w:rsidRPr="0036350D" w:rsidR="0090606C" w:rsidRDefault="00601604" w14:paraId="5C3EDACF" w14:textId="77777777">
            <w:pPr>
              <w:jc w:val="left"/>
              <w:rPr>
                <w:lang w:val="en-GB"/>
              </w:rPr>
            </w:pPr>
            <w:r w:rsidRPr="0036350D">
              <w:rPr>
                <w:lang w:val="en-GB"/>
              </w:rPr>
              <w:t>Relevant Sustainable Development Goals (SDGs)</w:t>
            </w:r>
          </w:p>
        </w:tc>
        <w:tc>
          <w:tcPr>
            <w:tcW w:w="6018" w:type="dxa"/>
            <w:vAlign w:val="bottom"/>
          </w:tcPr>
          <w:p w:rsidRPr="0036350D" w:rsidR="0090606C" w:rsidRDefault="00103812" w14:paraId="725D1A1A" w14:textId="77777777">
            <w:pPr>
              <w:jc w:val="left"/>
              <w:rPr>
                <w:lang w:val="en-GB"/>
              </w:rPr>
            </w:pPr>
            <w:hyperlink w:history="1" r:id="rId21">
              <w:r w:rsidRPr="0036350D" w:rsidR="00601604">
                <w:rPr>
                  <w:rStyle w:val="Hyperlink"/>
                  <w:lang w:val="en-GB"/>
                </w:rPr>
                <w:t>SDG 8 Decent work and economic growth</w:t>
              </w:r>
            </w:hyperlink>
            <w:r w:rsidRPr="0036350D" w:rsidR="00601604">
              <w:rPr>
                <w:lang w:val="en-GB"/>
              </w:rPr>
              <w:t xml:space="preserve"> </w:t>
            </w:r>
          </w:p>
          <w:p w:rsidRPr="0036350D" w:rsidR="0090606C" w:rsidRDefault="00103812" w14:paraId="78BF4EA7" w14:textId="77777777">
            <w:pPr>
              <w:jc w:val="left"/>
              <w:rPr>
                <w:lang w:val="en-GB"/>
              </w:rPr>
            </w:pPr>
            <w:hyperlink w:history="1" r:id="rId22">
              <w:r w:rsidRPr="0036350D" w:rsidR="00601604">
                <w:rPr>
                  <w:rStyle w:val="Hyperlink"/>
                  <w:lang w:val="en-GB"/>
                </w:rPr>
                <w:t>SDG 9 Industry, innovation and infrastructure</w:t>
              </w:r>
            </w:hyperlink>
          </w:p>
          <w:p w:rsidRPr="0036350D" w:rsidR="0090606C" w:rsidRDefault="00103812" w14:paraId="5E395C92" w14:textId="77777777">
            <w:pPr>
              <w:jc w:val="left"/>
              <w:rPr>
                <w:lang w:val="en-GB"/>
              </w:rPr>
            </w:pPr>
            <w:hyperlink w:history="1" r:id="rId23">
              <w:r w:rsidRPr="0036350D" w:rsidR="00601604">
                <w:rPr>
                  <w:rStyle w:val="Hyperlink"/>
                  <w:lang w:val="en-GB"/>
                </w:rPr>
                <w:t>SDG 12 Responsible consumption and production</w:t>
              </w:r>
            </w:hyperlink>
          </w:p>
          <w:p w:rsidRPr="0036350D" w:rsidR="0090606C" w:rsidRDefault="00103812" w14:paraId="59A12946" w14:textId="77777777">
            <w:pPr>
              <w:jc w:val="left"/>
              <w:rPr>
                <w:rStyle w:val="Hyperlink"/>
                <w:highlight w:val="yellow"/>
                <w:lang w:val="en-GB"/>
              </w:rPr>
            </w:pPr>
            <w:hyperlink w:history="1" r:id="rId24">
              <w:r w:rsidRPr="0036350D" w:rsidR="00601604">
                <w:rPr>
                  <w:rStyle w:val="Hyperlink"/>
                  <w:lang w:val="en-GB"/>
                </w:rPr>
                <w:t>SDG 13 Climate action</w:t>
              </w:r>
            </w:hyperlink>
          </w:p>
        </w:tc>
      </w:tr>
      <w:tr w:rsidRPr="0036350D" w:rsidR="0090606C" w14:paraId="5C447F32" w14:textId="77777777">
        <w:tc>
          <w:tcPr>
            <w:tcW w:w="3055" w:type="dxa"/>
          </w:tcPr>
          <w:p w:rsidRPr="0036350D" w:rsidR="0090606C" w:rsidRDefault="00601604" w14:paraId="5EBC6D09" w14:textId="77777777">
            <w:pPr>
              <w:jc w:val="left"/>
              <w:rPr>
                <w:lang w:val="en-GB"/>
              </w:rPr>
            </w:pPr>
            <w:r w:rsidRPr="0036350D">
              <w:rPr>
                <w:lang w:val="en-GB"/>
              </w:rPr>
              <w:t>Section responsible</w:t>
            </w:r>
          </w:p>
        </w:tc>
        <w:tc>
          <w:tcPr>
            <w:tcW w:w="6018" w:type="dxa"/>
          </w:tcPr>
          <w:p w:rsidRPr="0036350D" w:rsidR="0090606C" w:rsidRDefault="00601604" w14:paraId="7DAFCC7B" w14:textId="77777777">
            <w:pPr>
              <w:jc w:val="left"/>
              <w:rPr>
                <w:lang w:val="en-GB"/>
              </w:rPr>
            </w:pPr>
            <w:r w:rsidRPr="0036350D">
              <w:rPr>
                <w:lang w:val="en-GB"/>
              </w:rPr>
              <w:t>Single Market, Production and Consumption</w:t>
            </w:r>
          </w:p>
        </w:tc>
      </w:tr>
      <w:tr w:rsidRPr="0036350D" w:rsidR="0090606C" w14:paraId="38E3D44B" w14:textId="77777777">
        <w:tc>
          <w:tcPr>
            <w:tcW w:w="3055" w:type="dxa"/>
          </w:tcPr>
          <w:p w:rsidRPr="0036350D" w:rsidR="0090606C" w:rsidRDefault="00601604" w14:paraId="4AD08C63" w14:textId="77777777">
            <w:pPr>
              <w:jc w:val="left"/>
              <w:rPr>
                <w:lang w:val="en-GB"/>
              </w:rPr>
            </w:pPr>
            <w:r w:rsidRPr="0036350D">
              <w:rPr>
                <w:lang w:val="en-GB"/>
              </w:rPr>
              <w:t>Adopted in section</w:t>
            </w:r>
          </w:p>
        </w:tc>
        <w:tc>
          <w:tcPr>
            <w:tcW w:w="6018" w:type="dxa"/>
          </w:tcPr>
          <w:p w:rsidRPr="0036350D" w:rsidR="0090606C" w:rsidRDefault="005622A4" w14:paraId="3DA68908" w14:textId="70269CF0">
            <w:pPr>
              <w:jc w:val="left"/>
              <w:rPr>
                <w:lang w:val="en-GB"/>
              </w:rPr>
            </w:pPr>
            <w:r w:rsidRPr="0036350D">
              <w:rPr>
                <w:lang w:val="en-GB"/>
              </w:rPr>
              <w:t>14</w:t>
            </w:r>
            <w:r w:rsidRPr="0036350D" w:rsidR="00601604">
              <w:rPr>
                <w:lang w:val="en-GB"/>
              </w:rPr>
              <w:t>/</w:t>
            </w:r>
            <w:r w:rsidRPr="0036350D" w:rsidR="00CD1734">
              <w:rPr>
                <w:lang w:val="en-GB"/>
              </w:rPr>
              <w:t>11</w:t>
            </w:r>
            <w:r w:rsidRPr="0036350D" w:rsidR="00601604">
              <w:rPr>
                <w:lang w:val="en-GB"/>
              </w:rPr>
              <w:t>/</w:t>
            </w:r>
            <w:r w:rsidRPr="0036350D" w:rsidR="00CD1734">
              <w:rPr>
                <w:lang w:val="en-GB"/>
              </w:rPr>
              <w:t>2025</w:t>
            </w:r>
          </w:p>
        </w:tc>
      </w:tr>
      <w:tr w:rsidRPr="0036350D" w:rsidR="0090606C" w14:paraId="330D333A" w14:textId="77777777">
        <w:tc>
          <w:tcPr>
            <w:tcW w:w="3055" w:type="dxa"/>
          </w:tcPr>
          <w:p w:rsidRPr="0036350D" w:rsidR="0090606C" w:rsidRDefault="00601604" w14:paraId="175419AA" w14:textId="77777777">
            <w:pPr>
              <w:jc w:val="left"/>
              <w:rPr>
                <w:lang w:val="en-GB"/>
              </w:rPr>
            </w:pPr>
            <w:r w:rsidRPr="0036350D">
              <w:rPr>
                <w:lang w:val="en-GB"/>
              </w:rPr>
              <w:t>Outcome of vote</w:t>
            </w:r>
            <w:r w:rsidRPr="0036350D">
              <w:rPr>
                <w:lang w:val="en-GB"/>
              </w:rPr>
              <w:br/>
              <w:t>(for/against/abstentions)</w:t>
            </w:r>
          </w:p>
        </w:tc>
        <w:tc>
          <w:tcPr>
            <w:tcW w:w="6018" w:type="dxa"/>
            <w:vAlign w:val="bottom"/>
          </w:tcPr>
          <w:p w:rsidRPr="0036350D" w:rsidR="0090606C" w:rsidRDefault="00CD267B" w14:paraId="10694F20" w14:textId="098F6E62">
            <w:pPr>
              <w:jc w:val="left"/>
              <w:rPr>
                <w:lang w:val="en-GB"/>
              </w:rPr>
            </w:pPr>
            <w:r w:rsidRPr="0036350D">
              <w:rPr>
                <w:lang w:val="en-GB"/>
              </w:rPr>
              <w:t>8</w:t>
            </w:r>
            <w:r w:rsidRPr="0036350D" w:rsidR="00FA2A37">
              <w:rPr>
                <w:lang w:val="en-GB"/>
              </w:rPr>
              <w:t>3</w:t>
            </w:r>
            <w:r w:rsidRPr="0036350D" w:rsidR="00601604">
              <w:rPr>
                <w:lang w:val="en-GB"/>
              </w:rPr>
              <w:t>/</w:t>
            </w:r>
            <w:r w:rsidRPr="0036350D">
              <w:rPr>
                <w:lang w:val="en-GB"/>
              </w:rPr>
              <w:t>2/3</w:t>
            </w:r>
          </w:p>
        </w:tc>
      </w:tr>
      <w:tr w:rsidRPr="0036350D" w:rsidR="0090606C" w14:paraId="597A3926" w14:textId="77777777">
        <w:tc>
          <w:tcPr>
            <w:tcW w:w="3055" w:type="dxa"/>
          </w:tcPr>
          <w:p w:rsidRPr="0036350D" w:rsidR="0090606C" w:rsidRDefault="00601604" w14:paraId="1C72FF2E" w14:textId="77777777">
            <w:pPr>
              <w:jc w:val="left"/>
              <w:rPr>
                <w:lang w:val="en-GB"/>
              </w:rPr>
            </w:pPr>
            <w:r w:rsidRPr="0036350D">
              <w:rPr>
                <w:lang w:val="en-GB"/>
              </w:rPr>
              <w:t>Adopted at plenary session</w:t>
            </w:r>
          </w:p>
        </w:tc>
        <w:tc>
          <w:tcPr>
            <w:tcW w:w="6018" w:type="dxa"/>
          </w:tcPr>
          <w:p w:rsidRPr="0036350D" w:rsidR="0090606C" w:rsidRDefault="00601604" w14:paraId="02B449A7" w14:textId="77777777">
            <w:pPr>
              <w:jc w:val="left"/>
              <w:rPr>
                <w:lang w:val="en-GB"/>
              </w:rPr>
            </w:pPr>
            <w:r w:rsidRPr="0036350D">
              <w:rPr>
                <w:lang w:val="en-GB"/>
              </w:rPr>
              <w:t>D/M/YYYY</w:t>
            </w:r>
          </w:p>
        </w:tc>
      </w:tr>
      <w:tr w:rsidRPr="0036350D" w:rsidR="0090606C" w14:paraId="59FDC766" w14:textId="77777777">
        <w:tc>
          <w:tcPr>
            <w:tcW w:w="3055" w:type="dxa"/>
          </w:tcPr>
          <w:p w:rsidRPr="0036350D" w:rsidR="0090606C" w:rsidRDefault="00601604" w14:paraId="40EF4A76" w14:textId="77777777">
            <w:pPr>
              <w:jc w:val="left"/>
              <w:rPr>
                <w:lang w:val="en-GB"/>
              </w:rPr>
            </w:pPr>
            <w:r w:rsidRPr="0036350D">
              <w:rPr>
                <w:lang w:val="en-GB"/>
              </w:rPr>
              <w:t>Plenary session No</w:t>
            </w:r>
          </w:p>
        </w:tc>
        <w:tc>
          <w:tcPr>
            <w:tcW w:w="6018" w:type="dxa"/>
          </w:tcPr>
          <w:p w:rsidRPr="0036350D" w:rsidR="0090606C" w:rsidRDefault="00601604" w14:paraId="370871AD" w14:textId="77777777">
            <w:pPr>
              <w:jc w:val="left"/>
              <w:rPr>
                <w:lang w:val="en-GB"/>
              </w:rPr>
            </w:pPr>
            <w:r w:rsidRPr="0036350D">
              <w:rPr>
                <w:lang w:val="en-GB"/>
              </w:rPr>
              <w:t>…</w:t>
            </w:r>
          </w:p>
        </w:tc>
      </w:tr>
      <w:tr w:rsidRPr="0036350D" w:rsidR="0090606C" w14:paraId="02B07CDD" w14:textId="77777777">
        <w:tc>
          <w:tcPr>
            <w:tcW w:w="3055" w:type="dxa"/>
          </w:tcPr>
          <w:p w:rsidRPr="0036350D" w:rsidR="0090606C" w:rsidRDefault="00601604" w14:paraId="77D76DD1" w14:textId="77777777">
            <w:pPr>
              <w:jc w:val="left"/>
              <w:rPr>
                <w:lang w:val="en-GB"/>
              </w:rPr>
            </w:pPr>
            <w:r w:rsidRPr="0036350D">
              <w:rPr>
                <w:lang w:val="en-GB"/>
              </w:rPr>
              <w:t>Outcome of vote</w:t>
            </w:r>
            <w:r w:rsidRPr="0036350D">
              <w:rPr>
                <w:lang w:val="en-GB"/>
              </w:rPr>
              <w:br/>
              <w:t>(for/against/abstentions)</w:t>
            </w:r>
          </w:p>
        </w:tc>
        <w:tc>
          <w:tcPr>
            <w:tcW w:w="6018" w:type="dxa"/>
            <w:vAlign w:val="bottom"/>
          </w:tcPr>
          <w:p w:rsidRPr="0036350D" w:rsidR="0090606C" w:rsidRDefault="00601604" w14:paraId="1E9CDBFF" w14:textId="77777777">
            <w:pPr>
              <w:jc w:val="left"/>
              <w:rPr>
                <w:lang w:val="en-GB"/>
              </w:rPr>
            </w:pPr>
            <w:r w:rsidRPr="0036350D">
              <w:rPr>
                <w:lang w:val="en-GB"/>
              </w:rPr>
              <w:t>…/…/…</w:t>
            </w:r>
          </w:p>
        </w:tc>
      </w:tr>
    </w:tbl>
    <w:p w:rsidRPr="0036350D" w:rsidR="0090606C" w:rsidRDefault="00601604" w14:paraId="47B2D8BE" w14:textId="77777777">
      <w:pPr>
        <w:rPr>
          <w:sz w:val="16"/>
          <w:szCs w:val="16"/>
          <w:lang w:val="en-GB"/>
        </w:rPr>
      </w:pPr>
      <w:r w:rsidRPr="0036350D">
        <w:rPr>
          <w:lang w:val="en-GB"/>
        </w:rPr>
        <w:br w:type="page"/>
      </w:r>
    </w:p>
    <w:p w:rsidRPr="0036350D" w:rsidR="0090606C" w:rsidRDefault="00601604" w14:paraId="3331BC2E" w14:textId="77777777">
      <w:pPr>
        <w:pStyle w:val="Heading1"/>
        <w:rPr>
          <w:lang w:val="en-GB"/>
        </w:rPr>
      </w:pPr>
      <w:r w:rsidRPr="0036350D">
        <w:rPr>
          <w:b/>
          <w:bCs/>
          <w:lang w:val="en-GB"/>
        </w:rPr>
        <w:t>RECOMMENDATIONS</w:t>
      </w:r>
    </w:p>
    <w:p w:rsidRPr="0036350D" w:rsidR="0090606C" w:rsidRDefault="0090606C" w14:paraId="160D0250" w14:textId="77777777">
      <w:pPr>
        <w:jc w:val="left"/>
        <w:rPr>
          <w:lang w:val="en-GB"/>
        </w:rPr>
      </w:pPr>
    </w:p>
    <w:p w:rsidRPr="0036350D" w:rsidR="0090606C" w:rsidRDefault="00601604" w14:paraId="0C1E6320" w14:textId="77777777">
      <w:pPr>
        <w:jc w:val="left"/>
        <w:rPr>
          <w:i/>
          <w:iCs/>
          <w:lang w:val="en-GB"/>
        </w:rPr>
      </w:pPr>
      <w:r w:rsidRPr="0036350D">
        <w:rPr>
          <w:lang w:val="en-GB"/>
        </w:rPr>
        <w:t>The European Economic and Social Committee (EESC)</w:t>
      </w:r>
    </w:p>
    <w:p w:rsidRPr="0036350D" w:rsidR="0090606C" w:rsidRDefault="0090606C" w14:paraId="04CD6E9D" w14:textId="77777777">
      <w:pPr>
        <w:ind w:left="142" w:hanging="142"/>
        <w:jc w:val="left"/>
        <w:rPr>
          <w:lang w:val="en-GB"/>
        </w:rPr>
      </w:pPr>
    </w:p>
    <w:p w:rsidRPr="0036350D" w:rsidR="0090606C" w:rsidRDefault="00601604" w14:paraId="5819220C" w14:textId="596D6B41">
      <w:pPr>
        <w:pStyle w:val="Heading2"/>
        <w:rPr>
          <w:lang w:val="en-GB"/>
        </w:rPr>
      </w:pPr>
      <w:r w:rsidRPr="0036350D">
        <w:rPr>
          <w:b/>
          <w:bCs/>
          <w:lang w:val="en-GB"/>
        </w:rPr>
        <w:t>welcomes</w:t>
      </w:r>
      <w:r w:rsidRPr="0036350D">
        <w:rPr>
          <w:lang w:val="en-GB"/>
        </w:rPr>
        <w:t xml:space="preserve"> the proposed introduction of a European Competitiveness Fund (ECF) as part of the new multiannual financial framework (MFF) and highlights its role as an enabler for many other objectives of the EU, amplified by the synergies with other funds; suggests that the ECF be named the Competitiveness and Security Fund (security in the broadest sense of the meaning), given that a considerable share of the fund is devoted to security and that there are multiple links between competitiveness and the various dimensions of security;</w:t>
      </w:r>
    </w:p>
    <w:p w:rsidRPr="0036350D" w:rsidR="0090606C" w:rsidRDefault="0090606C" w14:paraId="573C1C38" w14:textId="77777777">
      <w:pPr>
        <w:ind w:left="567" w:hanging="567"/>
        <w:rPr>
          <w:lang w:val="en-GB"/>
        </w:rPr>
      </w:pPr>
    </w:p>
    <w:p w:rsidRPr="0036350D" w:rsidR="0090606C" w:rsidRDefault="00601604" w14:paraId="381385D5" w14:textId="08A0C59F">
      <w:pPr>
        <w:pStyle w:val="Heading2"/>
        <w:rPr>
          <w:lang w:val="en-GB"/>
        </w:rPr>
      </w:pPr>
      <w:r w:rsidRPr="0036350D">
        <w:rPr>
          <w:b/>
          <w:bCs/>
          <w:lang w:val="en-GB"/>
        </w:rPr>
        <w:t>appreciates</w:t>
      </w:r>
      <w:r w:rsidRPr="0036350D">
        <w:rPr>
          <w:lang w:val="en-GB"/>
        </w:rPr>
        <w:t xml:space="preserve"> the outcome-oriented and integrative approach of combining several existing programmes into four </w:t>
      </w:r>
      <w:r w:rsidRPr="0036350D">
        <w:rPr>
          <w:i/>
          <w:iCs/>
          <w:lang w:val="en-GB"/>
        </w:rPr>
        <w:t>policy windows</w:t>
      </w:r>
      <w:r w:rsidRPr="0036350D">
        <w:rPr>
          <w:lang w:val="en-GB"/>
        </w:rPr>
        <w:t xml:space="preserve"> covering the main common challenges, but calls for proper recognition of the connections and a balance between the windows themselves, to be able to respond to the polycrisis, long-term transformations and rapidly emerging challenges;</w:t>
      </w:r>
    </w:p>
    <w:p w:rsidRPr="0036350D" w:rsidR="0090606C" w:rsidRDefault="0090606C" w14:paraId="60020F06" w14:textId="77777777">
      <w:pPr>
        <w:ind w:left="567" w:hanging="567"/>
        <w:rPr>
          <w:lang w:val="en-GB"/>
        </w:rPr>
      </w:pPr>
    </w:p>
    <w:p w:rsidRPr="0036350D" w:rsidR="0090606C" w:rsidRDefault="00601604" w14:paraId="4A07406E" w14:textId="7D954FF9">
      <w:pPr>
        <w:pStyle w:val="Heading2"/>
        <w:rPr>
          <w:lang w:val="en-GB"/>
        </w:rPr>
      </w:pPr>
      <w:r w:rsidRPr="0036350D">
        <w:rPr>
          <w:b/>
          <w:bCs/>
          <w:lang w:val="en-GB"/>
        </w:rPr>
        <w:t>calls for</w:t>
      </w:r>
      <w:r w:rsidRPr="0036350D">
        <w:rPr>
          <w:lang w:val="en-GB"/>
        </w:rPr>
        <w:t xml:space="preserve"> the definition of transparent </w:t>
      </w:r>
      <w:r w:rsidRPr="0036350D">
        <w:rPr>
          <w:i/>
          <w:iCs/>
          <w:lang w:val="en-GB"/>
        </w:rPr>
        <w:t xml:space="preserve">general award criteria </w:t>
      </w:r>
      <w:r w:rsidRPr="0036350D">
        <w:rPr>
          <w:lang w:val="en-GB"/>
        </w:rPr>
        <w:t>that are common to all windows, stemming from the objective of competitiveness and emphasising excellence, future orientation and economic potential as the leading criteria, to be accompanied by window-specific criteria in line with the expected outcome in the thematic area, while respecting the EU’s social market economy model and overall sustainability, including full compliance with existing social and environmental legislation;</w:t>
      </w:r>
    </w:p>
    <w:p w:rsidRPr="0036350D" w:rsidR="0090606C" w:rsidRDefault="0090606C" w14:paraId="0B1D573B" w14:textId="77777777">
      <w:pPr>
        <w:rPr>
          <w:lang w:val="en-GB"/>
        </w:rPr>
      </w:pPr>
    </w:p>
    <w:p w:rsidRPr="0036350D" w:rsidR="0090606C" w:rsidRDefault="00601604" w14:paraId="73528FD4" w14:textId="0B13DBEF">
      <w:pPr>
        <w:pStyle w:val="Heading2"/>
        <w:rPr>
          <w:lang w:val="en-GB"/>
        </w:rPr>
      </w:pPr>
      <w:r w:rsidRPr="0036350D">
        <w:rPr>
          <w:b/>
          <w:bCs/>
          <w:lang w:val="en-GB"/>
        </w:rPr>
        <w:t>believes</w:t>
      </w:r>
      <w:r w:rsidRPr="0036350D">
        <w:rPr>
          <w:lang w:val="en-GB"/>
        </w:rPr>
        <w:t xml:space="preserve"> that it is useful to provide </w:t>
      </w:r>
      <w:r w:rsidRPr="0036350D">
        <w:rPr>
          <w:i/>
          <w:iCs/>
          <w:lang w:val="en-GB"/>
        </w:rPr>
        <w:t xml:space="preserve">specific and targeted </w:t>
      </w:r>
      <w:r w:rsidRPr="0036350D">
        <w:rPr>
          <w:lang w:val="en-GB"/>
        </w:rPr>
        <w:t>funding to activities and actors with a crucial role in improving competitiveness and resilience, but calls for clear selection criteria to ensure transparency and sound competition, and highlights the need to avoid distorting the market by picking winners in terms of technologies, companies and value chains, or deepening the disparities between the Member States (MSs); calls for due support for projects of local and regional importance too, particularly in order to respond to security threats faced by the EU’s border countries (those bordering Russia and Belarus by land and sea, as well as Greece and Cyprus);</w:t>
      </w:r>
      <w:r w:rsidRPr="0036350D" w:rsidR="00586CFE">
        <w:rPr>
          <w:lang w:val="en-GB"/>
        </w:rPr>
        <w:t xml:space="preserve"> </w:t>
      </w:r>
      <w:r w:rsidRPr="00FA5329" w:rsidR="00586CFE">
        <w:rPr>
          <w:iCs/>
          <w:lang w:val="en-GB"/>
        </w:rPr>
        <w:t>calls for dedicated funding to tackle water-related challenges as advocated in the EESC Blue Deal Declaration</w:t>
      </w:r>
      <w:r w:rsidRPr="00FA5329" w:rsidR="006F7338">
        <w:rPr>
          <w:rStyle w:val="FootnoteReference"/>
          <w:iCs/>
          <w:lang w:val="en-GB"/>
        </w:rPr>
        <w:footnoteReference w:id="1"/>
      </w:r>
      <w:r w:rsidRPr="00FA5329" w:rsidR="00586CFE">
        <w:rPr>
          <w:iCs/>
          <w:lang w:val="en-GB"/>
        </w:rPr>
        <w:t>. Strategic investments in water resilience will result in better preparedness and increased competitiveness</w:t>
      </w:r>
      <w:r w:rsidR="0036350D">
        <w:rPr>
          <w:iCs/>
          <w:lang w:val="en-GB"/>
        </w:rPr>
        <w:t>;</w:t>
      </w:r>
    </w:p>
    <w:p w:rsidRPr="0036350D" w:rsidR="0090606C" w:rsidRDefault="0090606C" w14:paraId="4164A509" w14:textId="77777777">
      <w:pPr>
        <w:rPr>
          <w:lang w:val="en-GB"/>
        </w:rPr>
      </w:pPr>
    </w:p>
    <w:p w:rsidRPr="0036350D" w:rsidR="0090606C" w:rsidRDefault="00601604" w14:paraId="4D1C2F33" w14:textId="5C6CB989">
      <w:pPr>
        <w:pStyle w:val="Heading2"/>
        <w:rPr>
          <w:lang w:val="en-GB"/>
        </w:rPr>
      </w:pPr>
      <w:r w:rsidRPr="0036350D">
        <w:rPr>
          <w:b/>
          <w:bCs/>
          <w:lang w:val="en-GB"/>
        </w:rPr>
        <w:t>considers</w:t>
      </w:r>
      <w:r w:rsidRPr="0036350D">
        <w:rPr>
          <w:lang w:val="en-GB"/>
        </w:rPr>
        <w:t xml:space="preserve"> it crucial to address the needs of all </w:t>
      </w:r>
      <w:r w:rsidRPr="0036350D">
        <w:rPr>
          <w:i/>
          <w:iCs/>
          <w:lang w:val="en-GB"/>
        </w:rPr>
        <w:t>investment stages</w:t>
      </w:r>
      <w:r w:rsidRPr="0036350D">
        <w:rPr>
          <w:lang w:val="en-GB"/>
        </w:rPr>
        <w:t xml:space="preserve"> – from research and innovation to upscaling business – in an integrated way, allocating specific funding for investing in worker qualifications and training and promoting decent work; advocates encouraging cross-border innovation and business ecosystems and moving towards equal accessibility to the single market and European value chains from all over the EU;</w:t>
      </w:r>
    </w:p>
    <w:p w:rsidRPr="0036350D" w:rsidR="00B2203F" w:rsidP="00FA5329" w:rsidRDefault="00B2203F" w14:paraId="5216B03C" w14:textId="77777777">
      <w:pPr>
        <w:rPr>
          <w:lang w:val="en-GB"/>
        </w:rPr>
      </w:pPr>
    </w:p>
    <w:p w:rsidRPr="0036350D" w:rsidR="0090606C" w:rsidRDefault="00601604" w14:paraId="652ECAAD" w14:textId="7BDF3CF8">
      <w:pPr>
        <w:pStyle w:val="Heading2"/>
        <w:rPr>
          <w:lang w:val="en-GB"/>
        </w:rPr>
      </w:pPr>
      <w:r w:rsidRPr="0036350D">
        <w:rPr>
          <w:b/>
          <w:bCs/>
          <w:lang w:val="en-GB"/>
        </w:rPr>
        <w:t>supports</w:t>
      </w:r>
      <w:r w:rsidRPr="0036350D">
        <w:rPr>
          <w:lang w:val="en-GB"/>
        </w:rPr>
        <w:t xml:space="preserve"> the ECF’s aim of enhancing its impact by catalysing investment from private and institutional investors, and of increasing flexibility and pooling in the use of </w:t>
      </w:r>
      <w:r w:rsidRPr="0036350D">
        <w:rPr>
          <w:i/>
          <w:iCs/>
          <w:lang w:val="en-GB"/>
        </w:rPr>
        <w:t>funding tools</w:t>
      </w:r>
      <w:r w:rsidRPr="0036350D">
        <w:rPr>
          <w:lang w:val="en-GB"/>
        </w:rPr>
        <w:t>, yet encourages the introduction of more ways to mobilise capital (e.g. through market referenda), while ensuring that support measures are predictable and relevant from the point of view of beneficiaries;</w:t>
      </w:r>
    </w:p>
    <w:p w:rsidRPr="0036350D" w:rsidR="0090606C" w:rsidRDefault="0090606C" w14:paraId="4F222E28" w14:textId="77777777">
      <w:pPr>
        <w:ind w:left="567" w:hanging="567"/>
        <w:rPr>
          <w:lang w:val="en-GB"/>
        </w:rPr>
      </w:pPr>
    </w:p>
    <w:p w:rsidRPr="0036350D" w:rsidR="0090606C" w:rsidRDefault="00601604" w14:paraId="6D51902B" w14:textId="77777777">
      <w:pPr>
        <w:pStyle w:val="Heading2"/>
        <w:rPr>
          <w:b/>
          <w:bCs/>
          <w:lang w:val="en-GB"/>
        </w:rPr>
      </w:pPr>
      <w:r w:rsidRPr="0036350D">
        <w:rPr>
          <w:b/>
          <w:bCs/>
          <w:lang w:val="en-GB"/>
        </w:rPr>
        <w:t>welcomes</w:t>
      </w:r>
      <w:r w:rsidRPr="0036350D">
        <w:rPr>
          <w:lang w:val="en-GB"/>
        </w:rPr>
        <w:t xml:space="preserve"> the attention devoted to the general financial and advisory needs of </w:t>
      </w:r>
      <w:r w:rsidRPr="0036350D">
        <w:rPr>
          <w:i/>
          <w:iCs/>
          <w:lang w:val="en-GB"/>
        </w:rPr>
        <w:t>SMEs</w:t>
      </w:r>
      <w:r w:rsidRPr="0036350D">
        <w:rPr>
          <w:lang w:val="en-GB"/>
        </w:rPr>
        <w:t xml:space="preserve"> and small mid-caps and to the specific challenges of start-ups and scale-ups in accessing equity and venture capital, but calls for the creation of a network of ‘financial and funding ombudsmen’ and more precise segmenting of SMEs to better address the needs of each segment, in close cooperation with SME networks and organisations</w:t>
      </w:r>
      <w:r w:rsidRPr="0036350D">
        <w:rPr>
          <w:rStyle w:val="FootnoteReference"/>
          <w:lang w:val="en-GB"/>
        </w:rPr>
        <w:footnoteReference w:id="2"/>
      </w:r>
      <w:r w:rsidRPr="0036350D">
        <w:rPr>
          <w:lang w:val="en-GB"/>
        </w:rPr>
        <w:t>; suggests that SME support schemes be structured at MS level;</w:t>
      </w:r>
    </w:p>
    <w:p w:rsidRPr="0036350D" w:rsidR="0090606C" w:rsidRDefault="0090606C" w14:paraId="6D14A114" w14:textId="77777777">
      <w:pPr>
        <w:ind w:left="567" w:hanging="567"/>
        <w:rPr>
          <w:lang w:val="en-GB"/>
        </w:rPr>
      </w:pPr>
    </w:p>
    <w:p w:rsidRPr="0036350D" w:rsidR="0090606C" w:rsidRDefault="00601604" w14:paraId="4B7465FD" w14:textId="77777777">
      <w:pPr>
        <w:pStyle w:val="Heading2"/>
        <w:rPr>
          <w:lang w:val="en-GB"/>
        </w:rPr>
      </w:pPr>
      <w:r w:rsidRPr="0036350D">
        <w:rPr>
          <w:b/>
          <w:bCs/>
          <w:lang w:val="en-GB"/>
        </w:rPr>
        <w:t>highlights</w:t>
      </w:r>
      <w:r w:rsidRPr="0036350D">
        <w:rPr>
          <w:lang w:val="en-GB"/>
        </w:rPr>
        <w:t xml:space="preserve"> the need to allow all beneficiaries to benefit from </w:t>
      </w:r>
      <w:r w:rsidRPr="0036350D">
        <w:rPr>
          <w:i/>
          <w:iCs/>
          <w:lang w:val="en-GB"/>
        </w:rPr>
        <w:t>simplification</w:t>
      </w:r>
      <w:r w:rsidRPr="0036350D">
        <w:rPr>
          <w:lang w:val="en-GB"/>
        </w:rPr>
        <w:t xml:space="preserve"> evenly and to embed it into all the elements of the ECF, extending from the overall architecture to work programmes and application and award procedures, including a clear connection between application forms and the assessment grid and scoring, supported by robust digital systems and infrastructure;</w:t>
      </w:r>
    </w:p>
    <w:p w:rsidRPr="0036350D" w:rsidR="0090606C" w:rsidRDefault="0090606C" w14:paraId="4B798023" w14:textId="77777777">
      <w:pPr>
        <w:rPr>
          <w:lang w:val="en-GB"/>
        </w:rPr>
      </w:pPr>
    </w:p>
    <w:p w:rsidRPr="0036350D" w:rsidR="0090606C" w:rsidRDefault="00601604" w14:paraId="0F35A7C5" w14:textId="49FC5642">
      <w:pPr>
        <w:pStyle w:val="Heading2"/>
        <w:rPr>
          <w:lang w:val="en-GB"/>
        </w:rPr>
      </w:pPr>
      <w:r w:rsidRPr="0036350D">
        <w:rPr>
          <w:b/>
          <w:bCs/>
          <w:lang w:val="en-GB"/>
        </w:rPr>
        <w:t>deems</w:t>
      </w:r>
      <w:r w:rsidRPr="0036350D">
        <w:rPr>
          <w:lang w:val="en-GB"/>
        </w:rPr>
        <w:t xml:space="preserve"> it necessary to </w:t>
      </w:r>
      <w:r w:rsidRPr="0036350D">
        <w:rPr>
          <w:i/>
          <w:iCs/>
          <w:lang w:val="en-GB"/>
        </w:rPr>
        <w:t>facilitate the implementation</w:t>
      </w:r>
      <w:r w:rsidRPr="0036350D">
        <w:rPr>
          <w:lang w:val="en-GB"/>
        </w:rPr>
        <w:t xml:space="preserve"> of the ECF by means of communication and capacity building, cooperation and joint actions among social partners and a streamlined monitoring framework, emphasising compliance with sustainability rules; calls for clear definitions for the key concepts and explicit and transparent descriptions of the procedures, in order to enable both potential beneficiaries and decision-makers to operate effectively; </w:t>
      </w:r>
    </w:p>
    <w:p w:rsidRPr="0036350D" w:rsidR="0090606C" w:rsidRDefault="0090606C" w14:paraId="6252222B" w14:textId="13E92091">
      <w:pPr>
        <w:pStyle w:val="Heading2"/>
        <w:numPr>
          <w:ilvl w:val="0"/>
          <w:numId w:val="0"/>
        </w:numPr>
        <w:rPr>
          <w:lang w:val="en-GB"/>
        </w:rPr>
      </w:pPr>
    </w:p>
    <w:p w:rsidRPr="0036350D" w:rsidR="0090606C" w:rsidRDefault="00601604" w14:paraId="03F5BF8A" w14:textId="70861058">
      <w:pPr>
        <w:pStyle w:val="Heading2"/>
        <w:rPr>
          <w:lang w:val="en-GB"/>
        </w:rPr>
      </w:pPr>
      <w:r w:rsidRPr="0036350D">
        <w:rPr>
          <w:b/>
          <w:bCs/>
          <w:lang w:val="en-GB"/>
        </w:rPr>
        <w:t>calls for</w:t>
      </w:r>
      <w:r w:rsidRPr="0036350D">
        <w:rPr>
          <w:lang w:val="en-GB"/>
        </w:rPr>
        <w:t xml:space="preserve"> clear </w:t>
      </w:r>
      <w:r w:rsidRPr="0036350D">
        <w:rPr>
          <w:i/>
          <w:iCs/>
          <w:lang w:val="en-GB"/>
        </w:rPr>
        <w:t>governance</w:t>
      </w:r>
      <w:r w:rsidRPr="0036350D">
        <w:rPr>
          <w:lang w:val="en-GB"/>
        </w:rPr>
        <w:t xml:space="preserve"> and proper involvement of the social partners and other civil society actors at EU, national, sectoral and regional level in the preparation, implementation and monitoring of the ECF, and asks for the EESC to be given appropriate membership in the Strategic Stakeholders Board.</w:t>
      </w:r>
    </w:p>
    <w:p w:rsidRPr="0036350D" w:rsidR="0090606C" w:rsidRDefault="0090606C" w14:paraId="759D8678" w14:textId="77777777">
      <w:pPr>
        <w:rPr>
          <w:lang w:val="en-GB"/>
        </w:rPr>
      </w:pPr>
    </w:p>
    <w:p w:rsidRPr="0036350D" w:rsidR="0090606C" w:rsidRDefault="00601604" w14:paraId="373CAD78" w14:textId="77777777">
      <w:pPr>
        <w:pStyle w:val="Heading1"/>
        <w:keepNext/>
        <w:keepLines/>
        <w:rPr>
          <w:b/>
          <w:bCs/>
          <w:lang w:val="en-GB"/>
        </w:rPr>
      </w:pPr>
      <w:r w:rsidRPr="0036350D">
        <w:rPr>
          <w:b/>
          <w:bCs/>
          <w:lang w:val="en-GB"/>
        </w:rPr>
        <w:t>EXPLANATORY NOTES</w:t>
      </w:r>
    </w:p>
    <w:p w:rsidRPr="0036350D" w:rsidR="0090606C" w:rsidRDefault="0090606C" w14:paraId="2DD7A272" w14:textId="77777777">
      <w:pPr>
        <w:keepNext/>
        <w:keepLines/>
        <w:rPr>
          <w:lang w:val="en-GB"/>
        </w:rPr>
      </w:pPr>
    </w:p>
    <w:p w:rsidRPr="0036350D" w:rsidR="0090606C" w:rsidRDefault="00601604" w14:paraId="447FBEB0" w14:textId="77777777">
      <w:pPr>
        <w:keepNext/>
        <w:keepLines/>
        <w:ind w:left="720" w:hanging="153"/>
        <w:rPr>
          <w:i/>
          <w:iCs/>
          <w:lang w:val="en-GB"/>
        </w:rPr>
      </w:pPr>
      <w:r w:rsidRPr="0036350D">
        <w:rPr>
          <w:i/>
          <w:iCs/>
          <w:lang w:val="en-GB"/>
        </w:rPr>
        <w:t>Horizontal arguments</w:t>
      </w:r>
    </w:p>
    <w:p w:rsidRPr="00FA5329" w:rsidR="0090606C" w:rsidP="00FA5329" w:rsidRDefault="0090606C" w14:paraId="73C34684" w14:textId="77777777">
      <w:pPr>
        <w:keepNext/>
        <w:keepLines/>
        <w:rPr>
          <w:lang w:val="en-GB"/>
        </w:rPr>
      </w:pPr>
    </w:p>
    <w:p w:rsidRPr="0036350D" w:rsidR="0090606C" w:rsidRDefault="00601604" w14:paraId="25753B54" w14:textId="71930BC0">
      <w:pPr>
        <w:pStyle w:val="Heading2"/>
        <w:rPr>
          <w:lang w:val="en-GB"/>
        </w:rPr>
      </w:pPr>
      <w:r w:rsidRPr="0036350D">
        <w:rPr>
          <w:lang w:val="en-GB"/>
        </w:rPr>
        <w:t>The overarching approach of the ECF – to strive for prosperity by enhancing competitiveness, successful and sustainable business and a strong and resilient economy – is highly laudable, as it makes it possible to respond to common EU challenges. Funding is thus rightly aimed at enhancing innovation, skills, technological capacity and overall productivity, as well as access to resources, market uptake and upscaling</w:t>
      </w:r>
      <w:r w:rsidRPr="0036350D" w:rsidR="00F654D1">
        <w:rPr>
          <w:lang w:val="en-GB"/>
        </w:rPr>
        <w:t xml:space="preserve">, </w:t>
      </w:r>
      <w:r w:rsidRPr="00FA5329" w:rsidR="00B267EE">
        <w:rPr>
          <w:iCs/>
          <w:lang w:val="en-GB"/>
        </w:rPr>
        <w:t>but it should also target clean technology value chains where the EU can develop comparative advantages. In this regard, the EESC stresses the urgent need for targeted funding to strengthen resilience, ensure security of supply and reduce external dependencies in critical raw materials, which are essential for Europe’s industrial and economic security</w:t>
      </w:r>
      <w:r w:rsidRPr="0036350D">
        <w:rPr>
          <w:lang w:val="en-GB"/>
        </w:rPr>
        <w:t>. This focus must be strictly and consistently maintained in the allocation of funding throughout the ECF. Furthermore, the ECF must be accompanied by private funding and an overall operating environment that encourages innovation, investment and trading.</w:t>
      </w:r>
    </w:p>
    <w:p w:rsidRPr="0036350D" w:rsidR="0090606C" w:rsidRDefault="0090606C" w14:paraId="1D71C548" w14:textId="77777777">
      <w:pPr>
        <w:ind w:left="567" w:hanging="567"/>
        <w:rPr>
          <w:lang w:val="en-GB"/>
        </w:rPr>
      </w:pPr>
    </w:p>
    <w:p w:rsidRPr="0036350D" w:rsidR="0090606C" w:rsidRDefault="00601604" w14:paraId="30AA24BD" w14:textId="02D4B18E">
      <w:pPr>
        <w:pStyle w:val="Heading2"/>
        <w:rPr>
          <w:lang w:val="en-GB"/>
        </w:rPr>
      </w:pPr>
      <w:r w:rsidRPr="0036350D">
        <w:rPr>
          <w:lang w:val="en-GB"/>
        </w:rPr>
        <w:t>Competitiveness must be developed in a sustainable manner, i.e. by coupling economic, social and environmental aspects. The Letta report rightly argues that the effectiveness and acceptability of State aid instruments rely on using public funds strategically in order to achieve common policy objectives.</w:t>
      </w:r>
    </w:p>
    <w:p w:rsidRPr="0036350D" w:rsidR="0090606C" w:rsidRDefault="0090606C" w14:paraId="0A502860" w14:textId="3136C3FB">
      <w:pPr>
        <w:pStyle w:val="Heading2"/>
        <w:numPr>
          <w:ilvl w:val="0"/>
          <w:numId w:val="0"/>
        </w:numPr>
        <w:rPr>
          <w:lang w:val="en-GB"/>
        </w:rPr>
      </w:pPr>
    </w:p>
    <w:p w:rsidRPr="0036350D" w:rsidR="0090606C" w:rsidRDefault="00601604" w14:paraId="4029A9D1" w14:textId="173CE704">
      <w:pPr>
        <w:pStyle w:val="Heading2"/>
        <w:rPr>
          <w:lang w:val="en-GB"/>
        </w:rPr>
      </w:pPr>
      <w:r w:rsidRPr="0036350D">
        <w:rPr>
          <w:lang w:val="en-GB"/>
        </w:rPr>
        <w:t>As the single market is a foundation of the EU’s competitiveness and economic security, and given that the ECF is a next-generation support instrument that is designed for a fluid and operational single market, unnecessary market barriers that still exist need to be identified and removed through a process involving the social partners</w:t>
      </w:r>
      <w:r w:rsidRPr="0036350D">
        <w:rPr>
          <w:rStyle w:val="FootnoteReference"/>
          <w:szCs w:val="24"/>
          <w:lang w:val="en-GB"/>
        </w:rPr>
        <w:footnoteReference w:id="3"/>
      </w:r>
      <w:r w:rsidRPr="0036350D">
        <w:rPr>
          <w:lang w:val="en-GB"/>
        </w:rPr>
        <w:t xml:space="preserve"> to enable the smooth utilisation of the Fund. </w:t>
      </w:r>
    </w:p>
    <w:p w:rsidRPr="0036350D" w:rsidR="0090606C" w:rsidRDefault="0090606C" w14:paraId="19648095" w14:textId="77777777">
      <w:pPr>
        <w:ind w:left="567" w:hanging="567"/>
        <w:rPr>
          <w:lang w:val="en-GB"/>
        </w:rPr>
      </w:pPr>
    </w:p>
    <w:p w:rsidRPr="0036350D" w:rsidR="0090606C" w:rsidRDefault="00601604" w14:paraId="3FA59CCF" w14:textId="214D19FB">
      <w:pPr>
        <w:pStyle w:val="Heading2"/>
        <w:rPr>
          <w:lang w:val="en-GB"/>
        </w:rPr>
      </w:pPr>
      <w:r w:rsidRPr="0036350D">
        <w:rPr>
          <w:lang w:val="en-GB"/>
        </w:rPr>
        <w:t>Cooperation with foreign partners is an element of both economic and overall security. However, particular caution needs to be exercised when opening up the ECF to third countries’ enterprises and investment projects, with such access being strictly anchored in partnership agreements and proportional to their contributions, to safeguard the interests of the EU. For the same reason, the requirement for beneficiaries to refrain from relocating abroad (Article 10, EU Preference) is welcome. Moreover, the ECF should not be used to finance any protectionist measures of other economies</w:t>
      </w:r>
      <w:r w:rsidRPr="0036350D">
        <w:rPr>
          <w:rStyle w:val="FootnoteReference"/>
          <w:lang w:val="en-GB"/>
        </w:rPr>
        <w:footnoteReference w:id="4"/>
      </w:r>
      <w:r w:rsidRPr="0036350D">
        <w:rPr>
          <w:lang w:val="en-GB"/>
        </w:rPr>
        <w:t xml:space="preserve">. </w:t>
      </w:r>
    </w:p>
    <w:p w:rsidRPr="0036350D" w:rsidR="0090606C" w:rsidRDefault="0090606C" w14:paraId="4F7D9261" w14:textId="77777777">
      <w:pPr>
        <w:ind w:left="567" w:hanging="567"/>
        <w:rPr>
          <w:lang w:val="en-GB"/>
        </w:rPr>
      </w:pPr>
    </w:p>
    <w:p w:rsidRPr="0036350D" w:rsidR="0090606C" w:rsidRDefault="00601604" w14:paraId="1F6583A2" w14:textId="77777777">
      <w:pPr>
        <w:keepNext/>
        <w:keepLines/>
        <w:ind w:left="567"/>
        <w:rPr>
          <w:i/>
          <w:iCs/>
          <w:lang w:val="en-GB"/>
        </w:rPr>
      </w:pPr>
      <w:r w:rsidRPr="0036350D">
        <w:rPr>
          <w:i/>
          <w:iCs/>
          <w:lang w:val="en-GB"/>
        </w:rPr>
        <w:t>Arguments for 1.1 (Fund)</w:t>
      </w:r>
    </w:p>
    <w:p w:rsidRPr="0036350D" w:rsidR="0090606C" w:rsidRDefault="0090606C" w14:paraId="1477A303" w14:textId="77777777">
      <w:pPr>
        <w:keepNext/>
        <w:keepLines/>
        <w:rPr>
          <w:lang w:val="en-GB"/>
        </w:rPr>
      </w:pPr>
    </w:p>
    <w:p w:rsidRPr="0036350D" w:rsidR="0090606C" w:rsidRDefault="00601604" w14:paraId="4CB576AB" w14:textId="11AC3A3F">
      <w:pPr>
        <w:pStyle w:val="Heading2"/>
        <w:rPr>
          <w:lang w:val="en-GB"/>
        </w:rPr>
      </w:pPr>
      <w:r w:rsidRPr="0036350D">
        <w:rPr>
          <w:lang w:val="en-GB"/>
        </w:rPr>
        <w:t>The proposed establishment of the ECF to enhance competitiveness is highly welcome, considering that competitiveness contributes to achieving many other objectives such as quality job creation, provision of services of general interest (in particular, sustainable and affordable energy, water and housing) and upward convergence and cohesion, as well as overall sustainable growth across the EU. The central role of the ECF therefore must be recognised when allocating the MFF.</w:t>
      </w:r>
    </w:p>
    <w:p w:rsidRPr="0036350D" w:rsidR="0090606C" w:rsidRDefault="0090606C" w14:paraId="68964A05" w14:textId="77777777">
      <w:pPr>
        <w:pStyle w:val="Heading2"/>
        <w:numPr>
          <w:ilvl w:val="0"/>
          <w:numId w:val="0"/>
        </w:numPr>
        <w:rPr>
          <w:lang w:val="en-GB"/>
        </w:rPr>
      </w:pPr>
    </w:p>
    <w:p w:rsidRPr="0036350D" w:rsidR="0090606C" w:rsidRDefault="00601604" w14:paraId="42314B5C" w14:textId="1D093825">
      <w:pPr>
        <w:pStyle w:val="Heading2"/>
        <w:rPr>
          <w:lang w:val="en-GB"/>
        </w:rPr>
      </w:pPr>
      <w:r w:rsidRPr="0036350D">
        <w:rPr>
          <w:lang w:val="en-GB"/>
        </w:rPr>
        <w:t>The ECF resources would be about a fifth of the total MFF budget and about half of the new national and regional partnering fund dedicated to cohesion and agriculture</w:t>
      </w:r>
      <w:r w:rsidRPr="0036350D">
        <w:rPr>
          <w:rStyle w:val="FootnoteReference"/>
          <w:lang w:val="en-GB"/>
        </w:rPr>
        <w:footnoteReference w:id="5"/>
      </w:r>
      <w:r w:rsidRPr="0036350D">
        <w:rPr>
          <w:lang w:val="en-GB"/>
        </w:rPr>
        <w:t>. Moreover, a significant proportion of the ECF would be allocated to security, which would justify naming it a Competitiveness and Security Fund. The EESC underlines that comprehensive security encompasses several dimensions, including not only defence capacity but also civil</w:t>
      </w:r>
      <w:r w:rsidRPr="0036350D" w:rsidR="00D831EC">
        <w:rPr>
          <w:lang w:val="en-GB"/>
        </w:rPr>
        <w:t>, industrial</w:t>
      </w:r>
      <w:r w:rsidRPr="0036350D" w:rsidR="00324666">
        <w:rPr>
          <w:lang w:val="en-GB"/>
        </w:rPr>
        <w:t xml:space="preserve"> </w:t>
      </w:r>
      <w:r w:rsidRPr="0036350D">
        <w:rPr>
          <w:lang w:val="en-GB"/>
        </w:rPr>
        <w:t>and societal preparedness, the many facets of economic security, as well as social, health, food and environmental security.</w:t>
      </w:r>
    </w:p>
    <w:p w:rsidRPr="0036350D" w:rsidR="0090606C" w:rsidRDefault="0090606C" w14:paraId="7824DDB0" w14:textId="77777777">
      <w:pPr>
        <w:rPr>
          <w:lang w:val="en-GB"/>
        </w:rPr>
      </w:pPr>
    </w:p>
    <w:p w:rsidRPr="0036350D" w:rsidR="0090606C" w:rsidRDefault="00601604" w14:paraId="39599DE7" w14:textId="2E580840">
      <w:pPr>
        <w:pStyle w:val="Heading2"/>
        <w:rPr>
          <w:lang w:val="en-GB"/>
        </w:rPr>
      </w:pPr>
      <w:r w:rsidRPr="0036350D">
        <w:rPr>
          <w:lang w:val="en-GB"/>
        </w:rPr>
        <w:t>It is also important to increase policy coherence and boost synergies between various funds. For example, national and regional infrastructure partnerships, as well as international economic partnerships, are crucial for both competitiveness and security.</w:t>
      </w:r>
      <w:r w:rsidRPr="0036350D" w:rsidR="00261D79">
        <w:rPr>
          <w:lang w:val="en-GB"/>
        </w:rPr>
        <w:t xml:space="preserve"> </w:t>
      </w:r>
      <w:r w:rsidRPr="00FA5329" w:rsidR="00261D79">
        <w:rPr>
          <w:iCs/>
          <w:lang w:val="en-GB"/>
        </w:rPr>
        <w:t>The EESC’s proposal for a Blue Deal Transition Fund</w:t>
      </w:r>
      <w:r w:rsidRPr="00FA5329" w:rsidR="00D568A2">
        <w:rPr>
          <w:rStyle w:val="FootnoteReference"/>
          <w:iCs/>
          <w:lang w:val="en-GB"/>
        </w:rPr>
        <w:footnoteReference w:id="6"/>
      </w:r>
      <w:r w:rsidRPr="00FA5329" w:rsidR="00261D79">
        <w:rPr>
          <w:iCs/>
          <w:lang w:val="en-GB"/>
        </w:rPr>
        <w:t xml:space="preserve"> could also help achieve this objective by providing a single thematic access point for different types of financing towards a water-resilient economy, covering skills, research and the uptake of water-efficient technologies to foster Europe’s water security and competitiveness. This would contribute to developing a water-smart economy across Europe, where sustainable water use, innovation and investment underpin industrial strength, environmental protection and social well-being.</w:t>
      </w:r>
    </w:p>
    <w:p w:rsidRPr="0036350D" w:rsidR="0090606C" w:rsidRDefault="0090606C" w14:paraId="3E0B6F39" w14:textId="77777777">
      <w:pPr>
        <w:rPr>
          <w:lang w:val="en-GB"/>
        </w:rPr>
      </w:pPr>
    </w:p>
    <w:p w:rsidRPr="0036350D" w:rsidR="0090606C" w:rsidRDefault="00601604" w14:paraId="57B6C269" w14:textId="77777777">
      <w:pPr>
        <w:keepNext/>
        <w:keepLines/>
        <w:ind w:left="567"/>
        <w:rPr>
          <w:i/>
          <w:iCs/>
          <w:lang w:val="en-GB"/>
        </w:rPr>
      </w:pPr>
      <w:r w:rsidRPr="0036350D">
        <w:rPr>
          <w:i/>
          <w:iCs/>
          <w:lang w:val="en-GB"/>
        </w:rPr>
        <w:t>Arguments for 1.2 (policy windows)</w:t>
      </w:r>
    </w:p>
    <w:p w:rsidRPr="0036350D" w:rsidR="0090606C" w:rsidRDefault="0090606C" w14:paraId="194D14C8" w14:textId="77777777">
      <w:pPr>
        <w:keepNext/>
        <w:rPr>
          <w:lang w:val="en-GB"/>
        </w:rPr>
      </w:pPr>
    </w:p>
    <w:p w:rsidRPr="0036350D" w:rsidR="0090606C" w:rsidRDefault="00601604" w14:paraId="3D22FFF1" w14:textId="77777777">
      <w:pPr>
        <w:pStyle w:val="Heading2"/>
        <w:rPr>
          <w:lang w:val="en-GB"/>
        </w:rPr>
      </w:pPr>
      <w:r w:rsidRPr="0036350D">
        <w:rPr>
          <w:lang w:val="en-GB"/>
        </w:rPr>
        <w:t>The proposed outcome-oriented and integrative architecture, accompanied by simplification, is a useful approach to decreasing fragmentation and improving effectiveness. The four focus areas, or ‘windows’, which combine several current programmes, are well structured and address topical common challenges, from the clean and digital transitions, through health and bio economy, to space and defence issues.</w:t>
      </w:r>
    </w:p>
    <w:p w:rsidRPr="0036350D" w:rsidR="0090606C" w:rsidRDefault="0090606C" w14:paraId="02C19EBD" w14:textId="77777777">
      <w:pPr>
        <w:ind w:left="567" w:hanging="567"/>
        <w:rPr>
          <w:lang w:val="en-GB"/>
        </w:rPr>
      </w:pPr>
    </w:p>
    <w:p w:rsidRPr="0036350D" w:rsidR="0090606C" w:rsidRDefault="00601604" w14:paraId="58F3787F" w14:textId="0D70FBF8">
      <w:pPr>
        <w:pStyle w:val="Heading2"/>
        <w:rPr>
          <w:lang w:val="en-GB"/>
        </w:rPr>
      </w:pPr>
      <w:r w:rsidRPr="0036350D">
        <w:rPr>
          <w:lang w:val="en-GB"/>
        </w:rPr>
        <w:t>However, the windows themselves seem to be primarily considered as silos, with detailed descriptions of the activities to be supported under each window, which may blur, for example the economy-wide potential of deep technologies and of dual-use infrastructure, technologies and products. An integrative cross-window approach is necessary to make sure that the main focus is maintained and that predictability for beneficiaries is safeguarded, making it possible to respond to the polycrisis, long-term transformational challenges and rapidly changing situations and needs.</w:t>
      </w:r>
    </w:p>
    <w:p w:rsidRPr="0036350D" w:rsidR="0090606C" w:rsidRDefault="0090606C" w14:paraId="0F62970E" w14:textId="77777777">
      <w:pPr>
        <w:ind w:left="567" w:hanging="567"/>
        <w:rPr>
          <w:lang w:val="en-GB"/>
        </w:rPr>
      </w:pPr>
    </w:p>
    <w:p w:rsidRPr="0036350D" w:rsidR="0090606C" w:rsidRDefault="00601604" w14:paraId="5449A251" w14:textId="77777777">
      <w:pPr>
        <w:keepNext/>
        <w:keepLines/>
        <w:ind w:left="567"/>
        <w:rPr>
          <w:i/>
          <w:iCs/>
          <w:lang w:val="en-GB"/>
        </w:rPr>
      </w:pPr>
      <w:r w:rsidRPr="0036350D">
        <w:rPr>
          <w:i/>
          <w:iCs/>
          <w:lang w:val="en-GB"/>
        </w:rPr>
        <w:t>Arguments for 1.3 (award criteria)</w:t>
      </w:r>
    </w:p>
    <w:p w:rsidRPr="0036350D" w:rsidR="0090606C" w:rsidRDefault="0090606C" w14:paraId="27E4DA0A" w14:textId="77777777">
      <w:pPr>
        <w:keepNext/>
        <w:rPr>
          <w:lang w:val="en-GB"/>
        </w:rPr>
      </w:pPr>
    </w:p>
    <w:p w:rsidRPr="0036350D" w:rsidR="0090606C" w:rsidRDefault="00601604" w14:paraId="118D7898" w14:textId="18183EA0">
      <w:pPr>
        <w:pStyle w:val="Heading2"/>
        <w:rPr>
          <w:lang w:val="en-GB"/>
        </w:rPr>
      </w:pPr>
      <w:r w:rsidRPr="0036350D">
        <w:rPr>
          <w:lang w:val="en-GB"/>
        </w:rPr>
        <w:t>While the ECF proposal refers to award criteria sporadically under various topics, it should also define common criteria to guide the allocation of funding in all thematic areas, in order to ensure consistency throughout various funding decisions. Common award criteria should stem from the ECF’s objective of improving competitiveness and therefore emphasise excellence, future orientation and economic potential as the leading criteria, while window-specific criteria would refer to the outcome to be expected in the window’s thematic area. At the same time, the ultimate purpose of competitiveness, i.e. improving quality of life, must be fully respected.</w:t>
      </w:r>
    </w:p>
    <w:p w:rsidRPr="0036350D" w:rsidR="0090606C" w:rsidRDefault="0090606C" w14:paraId="7B581337" w14:textId="77777777">
      <w:pPr>
        <w:pStyle w:val="Heading2"/>
        <w:numPr>
          <w:ilvl w:val="0"/>
          <w:numId w:val="0"/>
        </w:numPr>
        <w:ind w:left="567"/>
        <w:rPr>
          <w:lang w:val="en-GB"/>
        </w:rPr>
      </w:pPr>
    </w:p>
    <w:p w:rsidRPr="0036350D" w:rsidR="0090606C" w:rsidRDefault="00601604" w14:paraId="7CE6276D" w14:textId="77777777">
      <w:pPr>
        <w:pStyle w:val="Heading2"/>
        <w:rPr>
          <w:lang w:val="en-GB"/>
        </w:rPr>
      </w:pPr>
      <w:r w:rsidRPr="0036350D">
        <w:rPr>
          <w:lang w:val="en-GB"/>
        </w:rPr>
        <w:t>The proposal should also be accompanied by methodological guidance on how the contribution to the EU’s overall competitiveness is to be evaluated. Clear and relevant award criteria, together with well-defined assessment and scoring methodologies, are cornerstones of predictability and transparency, which are crucial for potential beneficiaries.</w:t>
      </w:r>
    </w:p>
    <w:p w:rsidRPr="0036350D" w:rsidR="0090606C" w:rsidRDefault="0090606C" w14:paraId="248389F1" w14:textId="77777777">
      <w:pPr>
        <w:rPr>
          <w:lang w:val="en-GB"/>
        </w:rPr>
      </w:pPr>
    </w:p>
    <w:p w:rsidRPr="0036350D" w:rsidR="0090606C" w:rsidRDefault="00601604" w14:paraId="654FBA71" w14:textId="77777777">
      <w:pPr>
        <w:keepNext/>
        <w:keepLines/>
        <w:ind w:left="567"/>
        <w:rPr>
          <w:i/>
          <w:iCs/>
          <w:lang w:val="en-GB"/>
        </w:rPr>
      </w:pPr>
      <w:r w:rsidRPr="0036350D">
        <w:rPr>
          <w:i/>
          <w:iCs/>
          <w:lang w:val="en-GB"/>
        </w:rPr>
        <w:t xml:space="preserve">Arguments for 1.4 (specific targeting) </w:t>
      </w:r>
    </w:p>
    <w:p w:rsidRPr="0036350D" w:rsidR="0090606C" w:rsidRDefault="0090606C" w14:paraId="3EB05D5D" w14:textId="77777777">
      <w:pPr>
        <w:keepNext/>
        <w:keepLines/>
        <w:ind w:left="567"/>
        <w:rPr>
          <w:i/>
          <w:iCs/>
          <w:lang w:val="en-GB"/>
        </w:rPr>
      </w:pPr>
    </w:p>
    <w:p w:rsidRPr="0036350D" w:rsidR="0090606C" w:rsidRDefault="00601604" w14:paraId="0EFA8A3C" w14:textId="77777777">
      <w:pPr>
        <w:pStyle w:val="Heading2"/>
        <w:rPr>
          <w:lang w:val="en-GB"/>
        </w:rPr>
      </w:pPr>
      <w:r w:rsidRPr="0036350D">
        <w:rPr>
          <w:lang w:val="en-GB"/>
        </w:rPr>
        <w:t>In addition to lacking general award criteria, the proposal includes several ambiguous characterisations of specific support targets. The absence of clear criteria opens space for arbitrary decisions and favours lobbying-based advantages. On the other hand, it is important to avoid ‘picking the winners’ and classifying businesses and sectors in a way that leads to distortions in competition and the functioning of the market. The ECF should thus be guided by the principle of moving towards a level playing field across the EU and between economic actors.</w:t>
      </w:r>
    </w:p>
    <w:p w:rsidRPr="0036350D" w:rsidR="0090606C" w:rsidRDefault="0090606C" w14:paraId="3C95E448" w14:textId="77777777">
      <w:pPr>
        <w:ind w:left="567" w:hanging="567"/>
        <w:rPr>
          <w:lang w:val="en-GB"/>
        </w:rPr>
      </w:pPr>
    </w:p>
    <w:p w:rsidRPr="0036350D" w:rsidR="0090606C" w:rsidRDefault="00601604" w14:paraId="5D6378BE" w14:textId="77777777">
      <w:pPr>
        <w:pStyle w:val="Heading2"/>
        <w:rPr>
          <w:lang w:val="en-GB"/>
        </w:rPr>
      </w:pPr>
      <w:r w:rsidRPr="0036350D">
        <w:rPr>
          <w:lang w:val="en-GB"/>
        </w:rPr>
        <w:t>While the proposals on the single market value chain builders (Article 16) and EU tech frontrunners (Article 17) are welcome, it is unclear how they would be selected and how the State aid rules would be applied to their funding. The process for selecting production ramp up actions (Article 18) for support is also unclear, as is how symmetrical opportunities will be guaranteed in all MSs. Moreover, the mechanism for Accelerated and Targeted Actions for Competitiveness (Article 20) has the potential to result in biased and risky decisions in the absence of a clear assessment methodology.</w:t>
      </w:r>
    </w:p>
    <w:p w:rsidRPr="0036350D" w:rsidR="0090606C" w:rsidRDefault="0090606C" w14:paraId="4C1C0204" w14:textId="77777777">
      <w:pPr>
        <w:ind w:left="567" w:hanging="567"/>
        <w:rPr>
          <w:lang w:val="en-GB"/>
        </w:rPr>
      </w:pPr>
    </w:p>
    <w:p w:rsidRPr="0036350D" w:rsidR="0090606C" w:rsidRDefault="00601604" w14:paraId="698629FE" w14:textId="77777777">
      <w:pPr>
        <w:pStyle w:val="Heading2"/>
        <w:rPr>
          <w:lang w:val="en-GB"/>
        </w:rPr>
      </w:pPr>
      <w:r w:rsidRPr="0036350D">
        <w:rPr>
          <w:lang w:val="en-GB"/>
        </w:rPr>
        <w:t>The top ups for Important Projects of Common European Interest (Article 19) provide a good tool for ensuring that the MSs have equal opportunities to participate and to promote cooperation and synergy between them</w:t>
      </w:r>
      <w:r w:rsidRPr="0036350D">
        <w:rPr>
          <w:rStyle w:val="FootnoteReference"/>
          <w:szCs w:val="24"/>
          <w:lang w:val="en-GB"/>
        </w:rPr>
        <w:footnoteReference w:id="7"/>
      </w:r>
      <w:r w:rsidRPr="0036350D">
        <w:rPr>
          <w:lang w:val="en-GB"/>
        </w:rPr>
        <w:t>, in order to avoid undermining certain MSs as is the case with some current EU programmes</w:t>
      </w:r>
      <w:r w:rsidRPr="0036350D">
        <w:rPr>
          <w:rStyle w:val="FootnoteReference"/>
          <w:lang w:val="en-GB"/>
        </w:rPr>
        <w:footnoteReference w:id="8"/>
      </w:r>
      <w:r w:rsidRPr="0036350D">
        <w:rPr>
          <w:lang w:val="en-GB"/>
        </w:rPr>
        <w:t>. They can be combined with a market referendum requirement – an obligation for an applicant to mobilise a certain share of private funding on financial/capital markets to be eligible for EU topping up.</w:t>
      </w:r>
    </w:p>
    <w:p w:rsidRPr="0036350D" w:rsidR="0090606C" w:rsidRDefault="0090606C" w14:paraId="5B05ED9B" w14:textId="77777777">
      <w:pPr>
        <w:rPr>
          <w:lang w:val="en-GB"/>
        </w:rPr>
      </w:pPr>
    </w:p>
    <w:p w:rsidRPr="0036350D" w:rsidR="0090606C" w:rsidRDefault="00601604" w14:paraId="0D794893" w14:textId="36FA4DD3">
      <w:pPr>
        <w:pStyle w:val="Heading2"/>
        <w:rPr>
          <w:lang w:val="en-GB"/>
        </w:rPr>
      </w:pPr>
      <w:r w:rsidRPr="0036350D">
        <w:rPr>
          <w:lang w:val="en-GB"/>
        </w:rPr>
        <w:t>It is essential to take into account regional disparities and promote convergence by supporting projects of local and regional importance, not only large, centralised initiatives. Additional funding should be specifically directed to the EU’s border countries that face military and non-military threats, in order to strengthen their economic, social and security resilience.</w:t>
      </w:r>
    </w:p>
    <w:p w:rsidRPr="0036350D" w:rsidR="0090606C" w:rsidRDefault="0090606C" w14:paraId="00E1ED26" w14:textId="77777777">
      <w:pPr>
        <w:rPr>
          <w:lang w:val="en-GB"/>
        </w:rPr>
      </w:pPr>
    </w:p>
    <w:p w:rsidRPr="0036350D" w:rsidR="0090606C" w:rsidRDefault="00601604" w14:paraId="23206951" w14:textId="7B4A85E2">
      <w:pPr>
        <w:pStyle w:val="Heading2"/>
        <w:rPr>
          <w:lang w:val="en-GB"/>
        </w:rPr>
      </w:pPr>
      <w:r w:rsidRPr="0036350D">
        <w:rPr>
          <w:lang w:val="en-GB"/>
        </w:rPr>
        <w:t>When it comes to the participation of third parties and third countries, it is crucial to have consensus about the selection criteria and a common risk assessment mechanism to prevent mistakes and losses and keep a clear focus on promoting European competitiveness.</w:t>
      </w:r>
    </w:p>
    <w:p w:rsidRPr="0036350D" w:rsidR="00A27CE3" w:rsidRDefault="00A27CE3" w14:paraId="74FF2B2E" w14:textId="071CBCDA">
      <w:pPr>
        <w:rPr>
          <w:lang w:val="en-GB"/>
        </w:rPr>
      </w:pPr>
    </w:p>
    <w:p w:rsidRPr="0036350D" w:rsidR="00A27CE3" w:rsidP="00A27CE3" w:rsidRDefault="00A27CE3" w14:paraId="132945C5" w14:textId="77777777">
      <w:pPr>
        <w:pStyle w:val="Heading2"/>
        <w:rPr>
          <w:iCs/>
          <w:lang w:val="en-GB"/>
        </w:rPr>
      </w:pPr>
      <w:r w:rsidRPr="00FA5329">
        <w:rPr>
          <w:iCs/>
          <w:lang w:val="en-GB"/>
        </w:rPr>
        <w:t>The EESC reiterates its call for action to boost water resilience under the Blue Deal as a key enabling resource for competitiveness, and considers water to be a strategic priority</w:t>
      </w:r>
      <w:r w:rsidRPr="00FA5329">
        <w:rPr>
          <w:rStyle w:val="FootnoteReference"/>
          <w:iCs/>
          <w:lang w:val="en-GB"/>
        </w:rPr>
        <w:footnoteReference w:id="9"/>
      </w:r>
      <w:r w:rsidRPr="00FA5329">
        <w:rPr>
          <w:iCs/>
          <w:lang w:val="en-GB"/>
        </w:rPr>
        <w:t xml:space="preserve"> for funding, which needs to be reflected in the Competitiveness Fund.</w:t>
      </w:r>
    </w:p>
    <w:p w:rsidRPr="0036350D" w:rsidR="0090606C" w:rsidRDefault="0090606C" w14:paraId="2D74FD1A" w14:textId="77777777">
      <w:pPr>
        <w:ind w:left="567"/>
        <w:rPr>
          <w:lang w:val="en-GB"/>
        </w:rPr>
      </w:pPr>
    </w:p>
    <w:p w:rsidRPr="0036350D" w:rsidR="0090606C" w:rsidRDefault="00601604" w14:paraId="7C1E9C84" w14:textId="77777777">
      <w:pPr>
        <w:keepNext/>
        <w:keepLines/>
        <w:ind w:left="567"/>
        <w:rPr>
          <w:i/>
          <w:iCs/>
          <w:lang w:val="en-GB"/>
        </w:rPr>
      </w:pPr>
      <w:r w:rsidRPr="0036350D">
        <w:rPr>
          <w:i/>
          <w:iCs/>
          <w:lang w:val="en-GB"/>
        </w:rPr>
        <w:t>Arguments for 1.5 (investment stages)</w:t>
      </w:r>
    </w:p>
    <w:p w:rsidRPr="0036350D" w:rsidR="0090606C" w:rsidRDefault="0090606C" w14:paraId="3D677E7F" w14:textId="77777777">
      <w:pPr>
        <w:keepNext/>
        <w:rPr>
          <w:lang w:val="en-GB"/>
        </w:rPr>
      </w:pPr>
    </w:p>
    <w:p w:rsidRPr="0036350D" w:rsidR="0090606C" w:rsidRDefault="00601604" w14:paraId="466CA26E" w14:textId="77777777">
      <w:pPr>
        <w:pStyle w:val="Heading2"/>
        <w:rPr>
          <w:lang w:val="en-GB"/>
        </w:rPr>
      </w:pPr>
      <w:r w:rsidRPr="0036350D">
        <w:rPr>
          <w:lang w:val="en-GB"/>
        </w:rPr>
        <w:t>Given that ‘the investment journey is not linear as all stages feed each other’</w:t>
      </w:r>
      <w:r w:rsidRPr="0036350D">
        <w:rPr>
          <w:sz w:val="24"/>
          <w:szCs w:val="24"/>
          <w:vertAlign w:val="superscript"/>
          <w:lang w:val="en-GB"/>
        </w:rPr>
        <w:footnoteReference w:id="10"/>
      </w:r>
      <w:r w:rsidRPr="0036350D">
        <w:rPr>
          <w:lang w:val="en-GB"/>
        </w:rPr>
        <w:t>, it is necessary to take an integrative approach that considers the needs of all the investment stages, from research and innovation to full-scale business. Specific attention should be paid to the ‘mediating’ stages, such as setting up technology infrastructure to facilitate the testing and piloting of new technologies and, at a later stage, mobilising capital to enable the upscaling of business.</w:t>
      </w:r>
    </w:p>
    <w:p w:rsidRPr="0036350D" w:rsidR="0090606C" w:rsidRDefault="0090606C" w14:paraId="50A03D10" w14:textId="77777777">
      <w:pPr>
        <w:rPr>
          <w:lang w:val="en-GB"/>
        </w:rPr>
      </w:pPr>
    </w:p>
    <w:p w:rsidRPr="0036350D" w:rsidR="0090606C" w:rsidRDefault="00601604" w14:paraId="2E536641" w14:textId="4237FF58">
      <w:pPr>
        <w:pStyle w:val="Heading2"/>
        <w:rPr>
          <w:lang w:val="en-GB"/>
        </w:rPr>
      </w:pPr>
      <w:r w:rsidRPr="0036350D">
        <w:rPr>
          <w:lang w:val="en-GB"/>
        </w:rPr>
        <w:t>Investment in the development of skills and competences must be aligned accordingly, from the promotion of top talent to dedicated support for the upskilling and reskilling of workers, promoting vocational education and training and lifelong learning, taking into account not only current but also future labour market needs. This is crucial for responding to the changing needs of labour markets and coping with major transformations. A ring-fenced amount of ECF funding should be allocated to social investments such as reskilling and upskilling workers and adapting their competences, provided that these instruments are jointly managed by the social partners.</w:t>
      </w:r>
    </w:p>
    <w:p w:rsidRPr="0036350D" w:rsidR="0090606C" w:rsidRDefault="0090606C" w14:paraId="5860C67E" w14:textId="77777777">
      <w:pPr>
        <w:rPr>
          <w:lang w:val="en-GB"/>
        </w:rPr>
      </w:pPr>
    </w:p>
    <w:p w:rsidRPr="0036350D" w:rsidR="0090606C" w:rsidRDefault="00601604" w14:paraId="13ABB860" w14:textId="77777777">
      <w:pPr>
        <w:pStyle w:val="Heading2"/>
        <w:rPr>
          <w:lang w:val="en-GB"/>
        </w:rPr>
      </w:pPr>
      <w:r w:rsidRPr="0036350D">
        <w:rPr>
          <w:lang w:val="en-GB"/>
        </w:rPr>
        <w:t>The special attention devoted to the ‘collaboration between small and large companies, universities, research institutions, [and] infrastructure providers’</w:t>
      </w:r>
      <w:r w:rsidRPr="0036350D">
        <w:rPr>
          <w:sz w:val="24"/>
          <w:szCs w:val="24"/>
          <w:vertAlign w:val="superscript"/>
          <w:lang w:val="en-GB"/>
        </w:rPr>
        <w:footnoteReference w:id="11"/>
      </w:r>
      <w:r w:rsidRPr="0036350D">
        <w:rPr>
          <w:lang w:val="en-GB"/>
        </w:rPr>
        <w:t xml:space="preserve"> is welcome. To make full use of the EU’s potential, the ECF should encourage the creation of cross-border innovation partnerships and European business ecosystems and value chains that comprise diverse businesses in different locations. On top of investment in high-level innovation infrastructure, this calls for investment in physical infrastructure and for equal accessibility to the single market, even from distant areas, including by providing targeted support for additional transport costs and giving bonus evaluation points, to help re-shore value chains within the EU.</w:t>
      </w:r>
    </w:p>
    <w:p w:rsidRPr="0036350D" w:rsidR="0090606C" w:rsidRDefault="0090606C" w14:paraId="3DCD043B" w14:textId="77777777">
      <w:pPr>
        <w:rPr>
          <w:lang w:val="en-GB"/>
        </w:rPr>
      </w:pPr>
    </w:p>
    <w:p w:rsidRPr="0036350D" w:rsidR="0090606C" w:rsidRDefault="00601604" w14:paraId="7D281E9A" w14:textId="77777777">
      <w:pPr>
        <w:keepNext/>
        <w:ind w:firstLine="567"/>
        <w:rPr>
          <w:i/>
          <w:iCs/>
          <w:lang w:val="en-GB"/>
        </w:rPr>
      </w:pPr>
      <w:r w:rsidRPr="0036350D">
        <w:rPr>
          <w:i/>
          <w:iCs/>
          <w:lang w:val="en-GB"/>
        </w:rPr>
        <w:t>Arguments for 1.6 (funding tools)</w:t>
      </w:r>
    </w:p>
    <w:p w:rsidRPr="0036350D" w:rsidR="0090606C" w:rsidRDefault="0090606C" w14:paraId="072AEB9E" w14:textId="77777777">
      <w:pPr>
        <w:keepNext/>
        <w:ind w:left="567" w:hanging="567"/>
        <w:rPr>
          <w:i/>
          <w:iCs/>
          <w:lang w:val="en-GB"/>
        </w:rPr>
      </w:pPr>
    </w:p>
    <w:p w:rsidRPr="0036350D" w:rsidR="0090606C" w:rsidRDefault="00601604" w14:paraId="149DAEA5" w14:textId="77777777">
      <w:pPr>
        <w:pStyle w:val="Heading2"/>
        <w:rPr>
          <w:lang w:val="en-GB"/>
        </w:rPr>
      </w:pPr>
      <w:r w:rsidRPr="0036350D">
        <w:rPr>
          <w:lang w:val="en-GB"/>
        </w:rPr>
        <w:t>The ECF strives to amplify its impact by catalysing private and institutional capital. This is crucial, given the huge investment needs in all the thematic areas of the ECF. In this context, it would be useful to introduce various ways of mobilising capital, including linking the funding from the ECF to the funding raised on financial/capital markets by the applicant’s proposal (market referendum). The mobilisation of private and institutional capital flows also contributes to integrating the capital markets and creating a Savings and Investment Union. The role of business organisations in facilitating the process is important.</w:t>
      </w:r>
    </w:p>
    <w:p w:rsidRPr="0036350D" w:rsidR="0090606C" w:rsidRDefault="0090606C" w14:paraId="0041A3CC" w14:textId="77777777">
      <w:pPr>
        <w:pStyle w:val="Heading2"/>
        <w:numPr>
          <w:ilvl w:val="0"/>
          <w:numId w:val="0"/>
        </w:numPr>
        <w:ind w:left="567" w:hanging="567"/>
        <w:rPr>
          <w:lang w:val="en-GB"/>
        </w:rPr>
      </w:pPr>
    </w:p>
    <w:p w:rsidRPr="0036350D" w:rsidR="0090606C" w:rsidRDefault="00601604" w14:paraId="713570E5" w14:textId="77777777">
      <w:pPr>
        <w:pStyle w:val="Heading2"/>
        <w:rPr>
          <w:lang w:val="en-GB"/>
        </w:rPr>
      </w:pPr>
      <w:r w:rsidRPr="0036350D">
        <w:rPr>
          <w:lang w:val="en-GB"/>
        </w:rPr>
        <w:t>The ECF covers a wide range of financial tools, and it aims to facilitate the most suitable funding for each case, through pooling and increased flexibility. While more flexibility in the use of funding tools is welcome, beneficiaries should have a greater say in choosing the final funding recipe to ensure that it fits with their actual needs. This requires more agile, interactive and open decision-making processes. Seamless cooperation, synergy and demarcation between the ECF and related, self-standing funds are also imperative.</w:t>
      </w:r>
    </w:p>
    <w:p w:rsidRPr="0036350D" w:rsidR="0090606C" w:rsidRDefault="0090606C" w14:paraId="2A38EC58" w14:textId="77777777">
      <w:pPr>
        <w:rPr>
          <w:lang w:val="en-GB"/>
        </w:rPr>
      </w:pPr>
    </w:p>
    <w:p w:rsidRPr="0036350D" w:rsidR="0090606C" w:rsidRDefault="00601604" w14:paraId="64CFA417" w14:textId="77777777">
      <w:pPr>
        <w:keepNext/>
        <w:ind w:left="567"/>
        <w:rPr>
          <w:lang w:val="en-GB"/>
        </w:rPr>
      </w:pPr>
      <w:r w:rsidRPr="0036350D">
        <w:rPr>
          <w:i/>
          <w:iCs/>
          <w:lang w:val="en-GB"/>
        </w:rPr>
        <w:t>Arguments for 1.7 (SMEs)</w:t>
      </w:r>
    </w:p>
    <w:p w:rsidRPr="0036350D" w:rsidR="0090606C" w:rsidRDefault="0090606C" w14:paraId="0CD6E212" w14:textId="77777777">
      <w:pPr>
        <w:keepNext/>
        <w:rPr>
          <w:lang w:val="en-GB"/>
        </w:rPr>
      </w:pPr>
    </w:p>
    <w:p w:rsidRPr="0036350D" w:rsidR="0090606C" w:rsidRDefault="00601604" w14:paraId="2AAB8C9B" w14:textId="77777777">
      <w:pPr>
        <w:pStyle w:val="Heading2"/>
        <w:rPr>
          <w:lang w:val="en-GB"/>
        </w:rPr>
      </w:pPr>
      <w:r w:rsidRPr="0036350D">
        <w:rPr>
          <w:lang w:val="en-GB"/>
        </w:rPr>
        <w:t>While the proposed ECF would not include a specific SME funding line, all windows and the ECF InvestEU Instrument refer to SMEs, start-ups and scale-ups, and the ECF also includes SME services. It is, however, the implementation that determines how well the needs of these enterprises will be met. Therefore, it is important to anchor the SME promotion schemes at MS level.</w:t>
      </w:r>
    </w:p>
    <w:p w:rsidRPr="0036350D" w:rsidR="0090606C" w:rsidRDefault="0090606C" w14:paraId="123DD567" w14:textId="77777777">
      <w:pPr>
        <w:ind w:left="567" w:hanging="567"/>
        <w:rPr>
          <w:lang w:val="en-GB"/>
        </w:rPr>
      </w:pPr>
    </w:p>
    <w:p w:rsidRPr="0036350D" w:rsidR="0090606C" w:rsidRDefault="00601604" w14:paraId="693081A5" w14:textId="77777777">
      <w:pPr>
        <w:pStyle w:val="Heading2"/>
        <w:rPr>
          <w:lang w:val="en-GB"/>
        </w:rPr>
      </w:pPr>
      <w:r w:rsidRPr="0036350D">
        <w:rPr>
          <w:lang w:val="en-GB"/>
        </w:rPr>
        <w:t>The special attention devoted to SMEs</w:t>
      </w:r>
      <w:r w:rsidRPr="0036350D">
        <w:rPr>
          <w:rStyle w:val="FootnoteReference"/>
          <w:szCs w:val="24"/>
          <w:lang w:val="en-GB"/>
        </w:rPr>
        <w:footnoteReference w:id="12"/>
      </w:r>
      <w:r w:rsidRPr="0036350D">
        <w:rPr>
          <w:lang w:val="en-GB"/>
        </w:rPr>
        <w:t xml:space="preserve"> and further inclusion of small mid-caps is positive as a general approach, but better and more precise segmentation is needed to respond to the specific needs of each segment of SMEs</w:t>
      </w:r>
      <w:r w:rsidRPr="0036350D">
        <w:rPr>
          <w:rStyle w:val="FootnoteReference"/>
          <w:szCs w:val="24"/>
          <w:lang w:val="en-GB"/>
        </w:rPr>
        <w:footnoteReference w:id="13"/>
      </w:r>
      <w:r w:rsidRPr="0036350D">
        <w:rPr>
          <w:lang w:val="en-GB"/>
        </w:rPr>
        <w:t>.</w:t>
      </w:r>
    </w:p>
    <w:p w:rsidRPr="0036350D" w:rsidR="0090606C" w:rsidRDefault="0090606C" w14:paraId="04EA7DBF" w14:textId="77777777">
      <w:pPr>
        <w:ind w:left="567" w:hanging="567"/>
        <w:rPr>
          <w:lang w:val="en-GB"/>
        </w:rPr>
      </w:pPr>
    </w:p>
    <w:p w:rsidRPr="0036350D" w:rsidR="0090606C" w:rsidRDefault="00601604" w14:paraId="32E6C3F5" w14:textId="77777777">
      <w:pPr>
        <w:pStyle w:val="Heading2"/>
        <w:rPr>
          <w:lang w:val="en-GB"/>
        </w:rPr>
      </w:pPr>
      <w:r w:rsidRPr="0036350D">
        <w:rPr>
          <w:lang w:val="en-GB"/>
        </w:rPr>
        <w:t>The dynamism and rapid growth of start-ups and scale-ups is accompanied by several challenges in accessing resources, not least in terms of equity and venture capital. The specific measures to encourage these enterprises to stay in the EU and upscale here are important for the overall development of productivity and growth.</w:t>
      </w:r>
    </w:p>
    <w:p w:rsidRPr="0036350D" w:rsidR="0090606C" w:rsidRDefault="0090606C" w14:paraId="59F850FD" w14:textId="77777777">
      <w:pPr>
        <w:rPr>
          <w:lang w:val="en-GB"/>
        </w:rPr>
      </w:pPr>
    </w:p>
    <w:p w:rsidRPr="0036350D" w:rsidR="0090606C" w:rsidRDefault="00601604" w14:paraId="2647E296" w14:textId="77777777">
      <w:pPr>
        <w:pStyle w:val="Heading2"/>
        <w:rPr>
          <w:lang w:val="en-GB"/>
        </w:rPr>
      </w:pPr>
      <w:r w:rsidRPr="0036350D">
        <w:rPr>
          <w:lang w:val="en-GB"/>
        </w:rPr>
        <w:t>To better protect SME interests in access to funding, a network of ‘financial and funding ombudsmen’ should be created in MSs, accompanied by EU-level coordination. The project advisory (Article 26) needs to be designed in close cooperation with the SME Envoy network and the representative SME organisations, at both EU and national level. In this context, it is not clear what kind of added value the creation of a new ‘EU for Business Network’ would offer over the abovementioned players.</w:t>
      </w:r>
    </w:p>
    <w:p w:rsidRPr="0036350D" w:rsidR="0090606C" w:rsidRDefault="0090606C" w14:paraId="2ECC64D1" w14:textId="77777777">
      <w:pPr>
        <w:ind w:left="567" w:hanging="567"/>
        <w:rPr>
          <w:lang w:val="en-GB"/>
        </w:rPr>
      </w:pPr>
    </w:p>
    <w:p w:rsidRPr="0036350D" w:rsidR="0090606C" w:rsidRDefault="00601604" w14:paraId="724474F9" w14:textId="77777777">
      <w:pPr>
        <w:keepNext/>
        <w:ind w:left="567"/>
        <w:rPr>
          <w:i/>
          <w:iCs/>
          <w:lang w:val="en-GB"/>
        </w:rPr>
      </w:pPr>
      <w:r w:rsidRPr="0036350D">
        <w:rPr>
          <w:i/>
          <w:iCs/>
          <w:lang w:val="en-GB"/>
        </w:rPr>
        <w:t>Arguments for 1.8 (simplification)</w:t>
      </w:r>
    </w:p>
    <w:p w:rsidRPr="0036350D" w:rsidR="0090606C" w:rsidRDefault="0090606C" w14:paraId="4748667F" w14:textId="77777777">
      <w:pPr>
        <w:keepNext/>
        <w:rPr>
          <w:lang w:val="en-GB"/>
        </w:rPr>
      </w:pPr>
    </w:p>
    <w:p w:rsidRPr="0036350D" w:rsidR="0090606C" w:rsidRDefault="00601604" w14:paraId="3F9101A9" w14:textId="77777777">
      <w:pPr>
        <w:pStyle w:val="Heading2"/>
        <w:rPr>
          <w:lang w:val="en-GB"/>
        </w:rPr>
      </w:pPr>
      <w:r w:rsidRPr="0036350D">
        <w:rPr>
          <w:lang w:val="en-GB"/>
        </w:rPr>
        <w:t>While the merging of several programmes contributes to the simplification of the funding processes, it is also important to embed simplification as a main principle into the design of any elements of the ECF. For example, simplification should ensure that the content of work programmes is unambiguous and that procedures and documents are streamlined at all stages of funding, from application to award. A clear connection should also be established between the application forms and the assessment grid, including the possibility of calculating the scores. Robust digital systems and infrastructure are needed to support simplification efforts and mitigate language differences.</w:t>
      </w:r>
    </w:p>
    <w:p w:rsidRPr="0036350D" w:rsidR="0090606C" w:rsidRDefault="0090606C" w14:paraId="38F97CF9" w14:textId="77777777">
      <w:pPr>
        <w:rPr>
          <w:lang w:val="en-GB"/>
        </w:rPr>
      </w:pPr>
    </w:p>
    <w:p w:rsidRPr="0036350D" w:rsidR="0090606C" w:rsidRDefault="00601604" w14:paraId="563C285C" w14:textId="77777777">
      <w:pPr>
        <w:pStyle w:val="Heading2"/>
        <w:rPr>
          <w:lang w:val="en-GB"/>
        </w:rPr>
      </w:pPr>
      <w:r w:rsidRPr="0036350D">
        <w:rPr>
          <w:lang w:val="en-GB"/>
        </w:rPr>
        <w:t>The introduction of a single rulebook significantly relieves the burden on applicants, but it also creates a risk of multiplying errors, if it is not designed properly in line with the different needs and situations of the potential beneficiaries. The rulebook should therefore be drawn up in close cooperation and consultation with the relevant stakeholders and representative SME and other business organisations at EU and national level.</w:t>
      </w:r>
    </w:p>
    <w:p w:rsidRPr="0036350D" w:rsidR="0090606C" w:rsidRDefault="0090606C" w14:paraId="5CE52B56" w14:textId="77777777">
      <w:pPr>
        <w:pStyle w:val="Heading2"/>
        <w:numPr>
          <w:ilvl w:val="0"/>
          <w:numId w:val="0"/>
        </w:numPr>
        <w:ind w:left="567" w:hanging="567"/>
        <w:rPr>
          <w:lang w:val="en-GB"/>
        </w:rPr>
      </w:pPr>
    </w:p>
    <w:p w:rsidRPr="0036350D" w:rsidR="0090606C" w:rsidRDefault="00601604" w14:paraId="5EBC5AE1" w14:textId="77777777">
      <w:pPr>
        <w:pStyle w:val="Heading2"/>
        <w:rPr>
          <w:lang w:val="en-GB"/>
        </w:rPr>
      </w:pPr>
      <w:r w:rsidRPr="0036350D">
        <w:rPr>
          <w:lang w:val="en-GB"/>
        </w:rPr>
        <w:t>Instead of only ‘simplify[ing] and accelerat[ing] the implementation of Union support for certain important projects’</w:t>
      </w:r>
      <w:r w:rsidRPr="0036350D">
        <w:rPr>
          <w:rStyle w:val="FootnoteReference"/>
          <w:szCs w:val="24"/>
          <w:lang w:val="en-GB"/>
        </w:rPr>
        <w:footnoteReference w:id="14"/>
      </w:r>
      <w:r w:rsidRPr="0036350D">
        <w:rPr>
          <w:lang w:val="en-GB"/>
        </w:rPr>
        <w:t>, simplification should be applied to all eligible projects, thereby avoiding uneven treatment of beneficiaries.</w:t>
      </w:r>
    </w:p>
    <w:p w:rsidRPr="0036350D" w:rsidR="0090606C" w:rsidRDefault="0090606C" w14:paraId="7AF7655E" w14:textId="77777777">
      <w:pPr>
        <w:ind w:left="567" w:hanging="567"/>
        <w:rPr>
          <w:lang w:val="en-GB"/>
        </w:rPr>
      </w:pPr>
    </w:p>
    <w:p w:rsidRPr="0036350D" w:rsidR="0090606C" w:rsidRDefault="00601604" w14:paraId="7FF8BC1C" w14:textId="77777777">
      <w:pPr>
        <w:keepNext/>
        <w:ind w:left="567"/>
        <w:rPr>
          <w:i/>
          <w:iCs/>
          <w:lang w:val="en-GB"/>
        </w:rPr>
      </w:pPr>
      <w:r w:rsidRPr="0036350D">
        <w:rPr>
          <w:i/>
          <w:iCs/>
          <w:lang w:val="en-GB"/>
        </w:rPr>
        <w:t>Arguments for 1.9 (facilitating implementation)</w:t>
      </w:r>
    </w:p>
    <w:p w:rsidRPr="0036350D" w:rsidR="0090606C" w:rsidRDefault="0090606C" w14:paraId="04556CD8" w14:textId="77777777">
      <w:pPr>
        <w:keepNext/>
        <w:ind w:left="567"/>
        <w:rPr>
          <w:lang w:val="en-GB"/>
        </w:rPr>
      </w:pPr>
    </w:p>
    <w:p w:rsidRPr="0036350D" w:rsidR="0090606C" w:rsidRDefault="00601604" w14:paraId="5C3D58E2" w14:textId="77777777">
      <w:pPr>
        <w:pStyle w:val="Heading2"/>
        <w:rPr>
          <w:lang w:val="en-GB"/>
        </w:rPr>
      </w:pPr>
      <w:r w:rsidRPr="0036350D">
        <w:rPr>
          <w:lang w:val="en-GB"/>
        </w:rPr>
        <w:t>To ensure that the implementation of the ECF is smooth, effective and inclusive, it must be supported by awareness-raising and communication on the opportunities it offers and on the criteria to be used, as well as by capacity-building of MSs and stakeholders to enable them to navigate the funding procedures.</w:t>
      </w:r>
    </w:p>
    <w:p w:rsidRPr="0036350D" w:rsidR="0090606C" w:rsidRDefault="0090606C" w14:paraId="3887BBB5" w14:textId="77777777">
      <w:pPr>
        <w:rPr>
          <w:lang w:val="en-GB"/>
        </w:rPr>
      </w:pPr>
    </w:p>
    <w:p w:rsidRPr="0036350D" w:rsidR="0090606C" w:rsidRDefault="00601604" w14:paraId="4A38CDEB" w14:textId="7EF5C9F4">
      <w:pPr>
        <w:pStyle w:val="Heading2"/>
        <w:rPr>
          <w:lang w:val="en-GB"/>
        </w:rPr>
      </w:pPr>
      <w:r w:rsidRPr="0036350D">
        <w:rPr>
          <w:lang w:val="en-GB"/>
        </w:rPr>
        <w:t>While it is important to monitor and evaluate the effectiveness and impact of the ECF, it is also necessary to keep the indicators and processes streamlined and align them with existing monitoring and reporting frameworks with a view to striving for high social performance. The Corporate Sustainability Reporting Directive and related ESRS standards provide a relevant framework for making companies’ overall sustainability performance transparent.</w:t>
      </w:r>
    </w:p>
    <w:p w:rsidRPr="0036350D" w:rsidR="0090606C" w:rsidRDefault="0090606C" w14:paraId="00408EEF" w14:textId="77777777">
      <w:pPr>
        <w:rPr>
          <w:lang w:val="en-GB"/>
        </w:rPr>
      </w:pPr>
    </w:p>
    <w:p w:rsidRPr="0036350D" w:rsidR="0090606C" w:rsidRDefault="00601604" w14:paraId="47B82324" w14:textId="77777777">
      <w:pPr>
        <w:pStyle w:val="Heading2"/>
        <w:rPr>
          <w:lang w:val="en-GB"/>
        </w:rPr>
      </w:pPr>
      <w:r w:rsidRPr="0036350D">
        <w:rPr>
          <w:lang w:val="en-GB"/>
        </w:rPr>
        <w:t>Proper definitions are also crucial for the development, implementation and evaluation of the ECF. However, the proposal lacks definitions for many key concepts, and the definitions included in the proposal (Article 2) are not quite clear and leave room for subjective interpretation. This applies, for example, to ‘imperative public interest’ and ‘investment journey’.</w:t>
      </w:r>
    </w:p>
    <w:p w:rsidRPr="0036350D" w:rsidR="0090606C" w:rsidRDefault="0090606C" w14:paraId="7E28FE62" w14:textId="77777777">
      <w:pPr>
        <w:ind w:left="567" w:hanging="567"/>
        <w:rPr>
          <w:lang w:val="en-GB"/>
        </w:rPr>
      </w:pPr>
    </w:p>
    <w:p w:rsidRPr="0036350D" w:rsidR="0090606C" w:rsidRDefault="00601604" w14:paraId="05B3E9D2" w14:textId="7C287C1E">
      <w:pPr>
        <w:pStyle w:val="Heading2"/>
        <w:rPr>
          <w:lang w:val="en-GB"/>
        </w:rPr>
      </w:pPr>
      <w:r w:rsidRPr="0036350D">
        <w:rPr>
          <w:lang w:val="en-GB"/>
        </w:rPr>
        <w:t>In addition to clarifying the meaning of key concepts, it is necessary to explain further how they are used in the course of funding processes. While the ECF would support ‘certain actions of strategic and economic importance’</w:t>
      </w:r>
      <w:r w:rsidRPr="0036350D">
        <w:rPr>
          <w:rStyle w:val="FootnoteReference"/>
          <w:szCs w:val="24"/>
          <w:lang w:val="en-GB"/>
        </w:rPr>
        <w:footnoteReference w:id="15"/>
      </w:r>
      <w:r w:rsidRPr="0036350D">
        <w:rPr>
          <w:lang w:val="en-GB"/>
        </w:rPr>
        <w:t>, more clarity is needed on how such actions are deemed eligible, bearing in mind the long list of acts that guide such decisions. The same concerns apply to those cases where ‘certain check should be conducted only after the provision of funding’</w:t>
      </w:r>
      <w:r w:rsidRPr="0036350D">
        <w:rPr>
          <w:rStyle w:val="FootnoteReference"/>
          <w:szCs w:val="24"/>
          <w:lang w:val="en-GB"/>
        </w:rPr>
        <w:footnoteReference w:id="16"/>
      </w:r>
      <w:r w:rsidRPr="0036350D">
        <w:rPr>
          <w:lang w:val="en-GB"/>
        </w:rPr>
        <w:t xml:space="preserve"> and for the ‘inducement intervention mechanism’</w:t>
      </w:r>
      <w:r w:rsidRPr="0036350D">
        <w:rPr>
          <w:rStyle w:val="FootnoteReference"/>
          <w:szCs w:val="24"/>
          <w:lang w:val="en-GB"/>
        </w:rPr>
        <w:footnoteReference w:id="17"/>
      </w:r>
      <w:r w:rsidRPr="0036350D">
        <w:rPr>
          <w:lang w:val="en-GB"/>
        </w:rPr>
        <w:t>.</w:t>
      </w:r>
    </w:p>
    <w:p w:rsidRPr="0036350D" w:rsidR="00A27CE3" w:rsidP="00A27CE3" w:rsidRDefault="00A27CE3" w14:paraId="382E8735" w14:textId="6C05BCEA">
      <w:pPr>
        <w:rPr>
          <w:lang w:val="en-GB"/>
        </w:rPr>
      </w:pPr>
    </w:p>
    <w:p w:rsidRPr="0036350D" w:rsidR="00A27CE3" w:rsidP="00A27CE3" w:rsidRDefault="00753D7F" w14:paraId="6CF6629A" w14:textId="2FD746B6">
      <w:pPr>
        <w:pStyle w:val="Heading2"/>
        <w:rPr>
          <w:iCs/>
          <w:lang w:val="en-GB"/>
        </w:rPr>
      </w:pPr>
      <w:r w:rsidRPr="00FA5329">
        <w:rPr>
          <w:iCs/>
          <w:lang w:val="en-GB"/>
        </w:rPr>
        <w:t>The EESC suggests that access to funding under the ECF should be linked to social criteria and collective agreements, to be defined together with the national social partners and with full respect for Member States’ specificities</w:t>
      </w:r>
      <w:r w:rsidRPr="00FA5329" w:rsidR="00A27CE3">
        <w:rPr>
          <w:iCs/>
          <w:lang w:val="en-GB"/>
        </w:rPr>
        <w:t>.</w:t>
      </w:r>
    </w:p>
    <w:p w:rsidRPr="0036350D" w:rsidR="0090606C" w:rsidRDefault="0090606C" w14:paraId="621DC646" w14:textId="77777777">
      <w:pPr>
        <w:rPr>
          <w:lang w:val="en-GB"/>
        </w:rPr>
      </w:pPr>
    </w:p>
    <w:p w:rsidRPr="0036350D" w:rsidR="0090606C" w:rsidRDefault="00601604" w14:paraId="2B4C52FB" w14:textId="77777777">
      <w:pPr>
        <w:keepNext/>
        <w:ind w:left="567"/>
        <w:rPr>
          <w:i/>
          <w:iCs/>
          <w:lang w:val="en-GB"/>
        </w:rPr>
      </w:pPr>
      <w:r w:rsidRPr="0036350D">
        <w:rPr>
          <w:i/>
          <w:iCs/>
          <w:lang w:val="en-GB"/>
        </w:rPr>
        <w:t>Arguments in support of recommendation 1.10 (governance)</w:t>
      </w:r>
    </w:p>
    <w:p w:rsidRPr="0036350D" w:rsidR="0090606C" w:rsidRDefault="0090606C" w14:paraId="2A184213" w14:textId="77777777">
      <w:pPr>
        <w:keepNext/>
        <w:rPr>
          <w:lang w:val="en-GB"/>
        </w:rPr>
      </w:pPr>
    </w:p>
    <w:p w:rsidRPr="0036350D" w:rsidR="0090606C" w:rsidRDefault="00601604" w14:paraId="7FAB930A" w14:textId="77777777">
      <w:pPr>
        <w:pStyle w:val="Heading2"/>
        <w:rPr>
          <w:lang w:val="en-GB"/>
        </w:rPr>
      </w:pPr>
      <w:r w:rsidRPr="0036350D">
        <w:rPr>
          <w:lang w:val="en-GB"/>
        </w:rPr>
        <w:t>Relevant stakeholders, such as the social partners, SME, business and innovation organisations and NGOs, should be properly involved in the development and implementation of the ECF at all levels. This is crucial not only to be able to respond to real-life needs but also because close and constant contact and consultation with them can help anticipate future changes and shape the best responses. Monitoring should ensure full transparency in the use of public resources.</w:t>
      </w:r>
    </w:p>
    <w:p w:rsidRPr="0036350D" w:rsidR="0090606C" w:rsidRDefault="0090606C" w14:paraId="7434D30D" w14:textId="77777777">
      <w:pPr>
        <w:ind w:left="567" w:hanging="567"/>
        <w:rPr>
          <w:lang w:val="en-GB"/>
        </w:rPr>
      </w:pPr>
    </w:p>
    <w:p w:rsidRPr="0036350D" w:rsidR="0090606C" w:rsidRDefault="00601604" w14:paraId="299193A2" w14:textId="77777777">
      <w:pPr>
        <w:pStyle w:val="Heading2"/>
        <w:rPr>
          <w:lang w:val="en-GB"/>
        </w:rPr>
      </w:pPr>
      <w:r w:rsidRPr="0036350D">
        <w:rPr>
          <w:lang w:val="en-GB"/>
        </w:rPr>
        <w:t>Given that the EESC represents the diverse organised civil society of the whole of the EU and stands ready to be a proactive and supportive partner in the development of the ECF, it should be given appropriate membership in the Strategic Stakeholders Board, and social partners and civil society organisations should be properly represented in line with the partnership principle and best practices.</w:t>
      </w:r>
    </w:p>
    <w:p w:rsidRPr="0036350D" w:rsidR="0090606C" w:rsidRDefault="0090606C" w14:paraId="50D975B5" w14:textId="77777777">
      <w:pPr>
        <w:ind w:left="567" w:hanging="567"/>
        <w:rPr>
          <w:lang w:val="en-GB"/>
        </w:rPr>
      </w:pPr>
    </w:p>
    <w:p w:rsidRPr="0036350D" w:rsidR="0090606C" w:rsidRDefault="00601604" w14:paraId="41858203" w14:textId="77777777">
      <w:pPr>
        <w:pStyle w:val="Heading2"/>
        <w:rPr>
          <w:lang w:val="en-GB"/>
        </w:rPr>
      </w:pPr>
      <w:r w:rsidRPr="0036350D">
        <w:rPr>
          <w:lang w:val="en-GB"/>
        </w:rPr>
        <w:t>To enhance the clarity of decision-making, the roles and cooperation mechanisms between the Commission and MSs, in both the development and implementation of the ECF, need to be set out explicitly. This is important for all parties, including potential beneficiaries. While the use of delegated acts or implementation acts is a useful way to accelerate decision-making, it must be strictly limited to defining practical details or other non-political issues.</w:t>
      </w:r>
    </w:p>
    <w:p w:rsidRPr="0036350D" w:rsidR="0090606C" w:rsidRDefault="0090606C" w14:paraId="39D97E17" w14:textId="77777777">
      <w:pPr>
        <w:ind w:left="567" w:hanging="567"/>
        <w:rPr>
          <w:lang w:val="en-GB"/>
        </w:rPr>
      </w:pPr>
    </w:p>
    <w:p w:rsidRPr="0036350D" w:rsidR="0090606C" w:rsidRDefault="00601604" w14:paraId="67C6F964" w14:textId="77777777">
      <w:pPr>
        <w:pStyle w:val="Heading2"/>
        <w:rPr>
          <w:lang w:val="en-GB"/>
        </w:rPr>
      </w:pPr>
      <w:r w:rsidRPr="0036350D">
        <w:rPr>
          <w:lang w:val="en-GB"/>
        </w:rPr>
        <w:t>The role and use of the Competitiveness Coordination Tool in the context of the ECF requires more clarity. The social partners should be involved in the coordination process as well, including whenever public-private partnership decisions are made. Moreover, clear roles and selection mechanisms need to be devised for the various committees and advisory boards.</w:t>
      </w:r>
    </w:p>
    <w:p w:rsidRPr="0036350D" w:rsidR="0090606C" w:rsidRDefault="0090606C" w14:paraId="575A64A4" w14:textId="77777777">
      <w:pPr>
        <w:ind w:left="567" w:hanging="567"/>
        <w:rPr>
          <w:lang w:val="en-GB"/>
        </w:rPr>
      </w:pPr>
    </w:p>
    <w:p w:rsidRPr="0036350D" w:rsidR="0090606C" w:rsidRDefault="00601604" w14:paraId="41D3D653" w14:textId="77777777">
      <w:pPr>
        <w:pStyle w:val="Heading2"/>
        <w:rPr>
          <w:lang w:val="en-GB"/>
        </w:rPr>
      </w:pPr>
      <w:r w:rsidRPr="0036350D">
        <w:rPr>
          <w:lang w:val="en-GB"/>
        </w:rPr>
        <w:t>To get the best out of the new approach of the agile and forward-looking architecture of the ECF, a new mindset is needed within the administration. It will be a critical factor in the successful implementation of the ECF, together with proper involvement of stakeholders.</w:t>
      </w:r>
    </w:p>
    <w:p w:rsidRPr="0036350D" w:rsidR="0090606C" w:rsidRDefault="0090606C" w14:paraId="76D1F375" w14:textId="77777777">
      <w:pPr>
        <w:rPr>
          <w:lang w:val="en-GB"/>
        </w:rPr>
      </w:pPr>
    </w:p>
    <w:p w:rsidRPr="0036350D" w:rsidR="0090606C" w:rsidRDefault="00601604" w14:paraId="6F75D061" w14:textId="77777777">
      <w:pPr>
        <w:pStyle w:val="Heading1"/>
        <w:keepNext/>
        <w:rPr>
          <w:b/>
          <w:bCs/>
          <w:lang w:val="en-GB"/>
        </w:rPr>
      </w:pPr>
      <w:r w:rsidRPr="0036350D">
        <w:rPr>
          <w:b/>
          <w:bCs/>
          <w:lang w:val="en-GB"/>
        </w:rPr>
        <w:t>PROPOSED AMENDMENTS TO THE LEGISLATIVE PROPOSAL OF THE EUROPEAN COMMISSION</w:t>
      </w:r>
    </w:p>
    <w:p w:rsidRPr="0036350D" w:rsidR="0090606C" w:rsidRDefault="0090606C" w14:paraId="15C80344" w14:textId="77777777">
      <w:pPr>
        <w:keepNext/>
        <w:keepLines/>
        <w:rPr>
          <w:lang w:val="en-GB"/>
        </w:rPr>
      </w:pPr>
    </w:p>
    <w:p w:rsidRPr="0036350D" w:rsidR="0090606C" w:rsidRDefault="00601604" w14:paraId="3531FC14" w14:textId="77777777">
      <w:pPr>
        <w:pStyle w:val="Heading2"/>
        <w:keepNext/>
        <w:numPr>
          <w:ilvl w:val="0"/>
          <w:numId w:val="0"/>
        </w:numPr>
        <w:rPr>
          <w:lang w:val="en-GB"/>
        </w:rPr>
      </w:pPr>
      <w:r w:rsidRPr="0036350D">
        <w:rPr>
          <w:b/>
          <w:bCs/>
          <w:lang w:val="en-GB"/>
        </w:rPr>
        <w:t>Amendment 1</w:t>
      </w:r>
    </w:p>
    <w:p w:rsidRPr="0036350D" w:rsidR="0090606C" w:rsidRDefault="00601604" w14:paraId="59A063D4" w14:textId="77777777">
      <w:pPr>
        <w:pStyle w:val="Heading2"/>
        <w:keepNext/>
        <w:numPr>
          <w:ilvl w:val="0"/>
          <w:numId w:val="0"/>
        </w:numPr>
        <w:rPr>
          <w:b/>
          <w:bCs/>
          <w:lang w:val="en-GB"/>
        </w:rPr>
      </w:pPr>
      <w:r w:rsidRPr="0036350D">
        <w:rPr>
          <w:lang w:val="en-GB"/>
        </w:rPr>
        <w:t>linked to recommendation 1.1</w:t>
      </w:r>
    </w:p>
    <w:p w:rsidRPr="0036350D" w:rsidR="0090606C" w:rsidRDefault="00601604" w14:paraId="7922B0AD" w14:textId="77777777">
      <w:pPr>
        <w:keepNext/>
        <w:keepLines/>
        <w:jc w:val="left"/>
        <w:rPr>
          <w:lang w:val="en-GB"/>
        </w:rPr>
      </w:pPr>
      <w:r w:rsidRPr="0036350D">
        <w:rPr>
          <w:lang w:val="en-GB"/>
        </w:rPr>
        <w:t>At all relevant places in the proposal, starting from the title:</w:t>
      </w:r>
    </w:p>
    <w:p w:rsidRPr="0036350D" w:rsidR="0090606C" w:rsidP="00FA5329" w:rsidRDefault="0090606C" w14:paraId="42E0D5EF" w14:textId="77777777">
      <w:pPr>
        <w:keepNext/>
        <w:keepLines/>
        <w:spacing w:line="240" w:lineRule="auto"/>
        <w:jc w:val="left"/>
        <w:rPr>
          <w:lang w:val="en-GB"/>
        </w:rPr>
      </w:pPr>
    </w:p>
    <w:tbl>
      <w:tblPr>
        <w:tblW w:w="5000" w:type="pct"/>
        <w:jc w:val="center"/>
        <w:tblBorders>
          <w:top w:val="outset" w:color="auto" w:sz="6" w:space="0"/>
          <w:left w:val="outset" w:color="auto" w:sz="6" w:space="0"/>
          <w:bottom w:val="outset" w:color="auto" w:sz="6" w:space="0"/>
          <w:right w:val="outset" w:color="auto" w:sz="6" w:space="0"/>
        </w:tblBorders>
        <w:tblLayout w:type="fixed"/>
        <w:tblCellMar>
          <w:left w:w="57" w:type="dxa"/>
          <w:right w:w="57" w:type="dxa"/>
        </w:tblCellMar>
        <w:tblLook w:val="04A0" w:firstRow="1" w:lastRow="0" w:firstColumn="1" w:lastColumn="0" w:noHBand="0" w:noVBand="1"/>
      </w:tblPr>
      <w:tblGrid>
        <w:gridCol w:w="4239"/>
        <w:gridCol w:w="4948"/>
      </w:tblGrid>
      <w:tr w:rsidRPr="0036350D" w:rsidR="0090606C" w:rsidTr="00FA5329" w14:paraId="65A8F197" w14:textId="77777777">
        <w:trPr>
          <w:trHeight w:val="300"/>
          <w:jc w:val="center"/>
        </w:trPr>
        <w:tc>
          <w:tcPr>
            <w:tcW w:w="4250"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467BF9AE" w14:textId="77777777">
            <w:pPr>
              <w:jc w:val="center"/>
              <w:rPr>
                <w:strike/>
                <w:lang w:val="en-GB"/>
              </w:rPr>
            </w:pPr>
            <w:r w:rsidRPr="0036350D">
              <w:rPr>
                <w:b/>
                <w:bCs/>
                <w:lang w:val="en-GB"/>
              </w:rPr>
              <w:t>Text proposed by the European Commission</w:t>
            </w:r>
          </w:p>
        </w:tc>
        <w:tc>
          <w:tcPr>
            <w:tcW w:w="4961"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1D266978" w14:textId="77777777">
            <w:pPr>
              <w:jc w:val="center"/>
              <w:rPr>
                <w:lang w:val="en-GB"/>
              </w:rPr>
            </w:pPr>
            <w:r w:rsidRPr="0036350D">
              <w:rPr>
                <w:b/>
                <w:bCs/>
                <w:lang w:val="en-GB"/>
              </w:rPr>
              <w:t>EESC amendment</w:t>
            </w:r>
          </w:p>
        </w:tc>
      </w:tr>
      <w:tr w:rsidRPr="0036350D" w:rsidR="0090606C" w:rsidTr="00FA5329" w14:paraId="6E70DFD7" w14:textId="77777777">
        <w:trPr>
          <w:trHeight w:val="300"/>
          <w:jc w:val="center"/>
        </w:trPr>
        <w:tc>
          <w:tcPr>
            <w:tcW w:w="4250" w:type="dxa"/>
            <w:tcBorders>
              <w:top w:val="single" w:color="auto" w:sz="2" w:space="0"/>
              <w:left w:val="single" w:color="auto" w:sz="6" w:space="0"/>
              <w:bottom w:val="single" w:color="auto" w:sz="6" w:space="0"/>
              <w:right w:val="single" w:color="auto" w:sz="6" w:space="0"/>
            </w:tcBorders>
            <w:hideMark/>
          </w:tcPr>
          <w:p w:rsidRPr="0036350D" w:rsidR="0090606C" w:rsidRDefault="00601604" w14:paraId="1D491542" w14:textId="77777777">
            <w:pPr>
              <w:ind w:left="30" w:right="30"/>
              <w:rPr>
                <w:lang w:val="en-GB"/>
              </w:rPr>
            </w:pPr>
            <w:r w:rsidRPr="0036350D">
              <w:rPr>
                <w:lang w:val="en-GB"/>
              </w:rPr>
              <w:t>European Competitiveness Fund (ECF)</w:t>
            </w:r>
          </w:p>
        </w:tc>
        <w:tc>
          <w:tcPr>
            <w:tcW w:w="4961" w:type="dxa"/>
            <w:tcBorders>
              <w:top w:val="single" w:color="auto" w:sz="2" w:space="0"/>
              <w:left w:val="single" w:color="auto" w:sz="6" w:space="0"/>
              <w:bottom w:val="single" w:color="auto" w:sz="6" w:space="0"/>
              <w:right w:val="single" w:color="auto" w:sz="6" w:space="0"/>
            </w:tcBorders>
            <w:hideMark/>
          </w:tcPr>
          <w:p w:rsidRPr="0036350D" w:rsidR="0090606C" w:rsidRDefault="00601604" w14:paraId="17C151EE" w14:textId="77777777">
            <w:pPr>
              <w:ind w:left="30" w:right="30"/>
              <w:rPr>
                <w:lang w:val="en-GB"/>
              </w:rPr>
            </w:pPr>
            <w:r w:rsidRPr="0036350D">
              <w:rPr>
                <w:lang w:val="en-GB"/>
              </w:rPr>
              <w:t xml:space="preserve">European Competitiveness </w:t>
            </w:r>
            <w:r w:rsidRPr="0036350D">
              <w:rPr>
                <w:b/>
                <w:i/>
                <w:iCs/>
                <w:lang w:val="en-GB"/>
              </w:rPr>
              <w:t>and Security</w:t>
            </w:r>
            <w:r w:rsidRPr="0036350D">
              <w:rPr>
                <w:lang w:val="en-GB"/>
              </w:rPr>
              <w:t xml:space="preserve"> Fund (EC</w:t>
            </w:r>
            <w:r w:rsidRPr="0036350D">
              <w:rPr>
                <w:b/>
                <w:i/>
                <w:iCs/>
                <w:lang w:val="en-GB"/>
              </w:rPr>
              <w:t>S</w:t>
            </w:r>
            <w:r w:rsidRPr="0036350D">
              <w:rPr>
                <w:lang w:val="en-GB"/>
              </w:rPr>
              <w:t>F)</w:t>
            </w:r>
          </w:p>
        </w:tc>
      </w:tr>
    </w:tbl>
    <w:p w:rsidRPr="0036350D" w:rsidR="0090606C" w:rsidRDefault="0090606C" w14:paraId="7B4826C6" w14:textId="77777777">
      <w:pPr>
        <w:jc w:val="center"/>
        <w:rPr>
          <w:lang w:val="en-GB"/>
        </w:rPr>
      </w:pPr>
    </w:p>
    <w:tbl>
      <w:tblPr>
        <w:tblW w:w="0" w:type="auto"/>
        <w:tblBorders>
          <w:top w:val="outset" w:color="auto" w:sz="6" w:space="0"/>
          <w:left w:val="outset" w:color="auto" w:sz="6" w:space="0"/>
          <w:bottom w:val="outset" w:color="auto" w:sz="6" w:space="0"/>
          <w:right w:val="outset" w:color="auto" w:sz="6" w:space="0"/>
        </w:tblBorders>
        <w:tblLayout w:type="fixed"/>
        <w:tblCellMar>
          <w:left w:w="57" w:type="dxa"/>
          <w:right w:w="57" w:type="dxa"/>
        </w:tblCellMar>
        <w:tblLook w:val="04A0" w:firstRow="1" w:lastRow="0" w:firstColumn="1" w:lastColumn="0" w:noHBand="0" w:noVBand="1"/>
      </w:tblPr>
      <w:tblGrid>
        <w:gridCol w:w="9057"/>
      </w:tblGrid>
      <w:tr w:rsidRPr="0036350D" w:rsidR="0090606C" w:rsidTr="00FA5329" w14:paraId="38EAFACE" w14:textId="77777777">
        <w:trPr>
          <w:trHeight w:val="300"/>
        </w:trPr>
        <w:tc>
          <w:tcPr>
            <w:tcW w:w="9057"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1A047AE2" w14:textId="77777777">
            <w:pPr>
              <w:keepNext/>
              <w:keepLines/>
              <w:jc w:val="center"/>
              <w:rPr>
                <w:lang w:val="en-GB"/>
              </w:rPr>
            </w:pPr>
            <w:r w:rsidRPr="0036350D">
              <w:rPr>
                <w:b/>
                <w:bCs/>
                <w:lang w:val="en-GB"/>
              </w:rPr>
              <w:t>Reason</w:t>
            </w:r>
          </w:p>
        </w:tc>
      </w:tr>
      <w:tr w:rsidRPr="0036350D" w:rsidR="0090606C" w:rsidTr="00FA5329" w14:paraId="28F5BA2F" w14:textId="77777777">
        <w:trPr>
          <w:trHeight w:val="300"/>
        </w:trPr>
        <w:tc>
          <w:tcPr>
            <w:tcW w:w="9057" w:type="dxa"/>
            <w:tcBorders>
              <w:top w:val="single" w:color="auto" w:sz="2" w:space="0"/>
              <w:left w:val="single" w:color="auto" w:sz="6" w:space="0"/>
              <w:bottom w:val="single" w:color="auto" w:sz="6" w:space="0"/>
              <w:right w:val="single" w:color="auto" w:sz="6" w:space="0"/>
            </w:tcBorders>
            <w:hideMark/>
          </w:tcPr>
          <w:p w:rsidRPr="0036350D" w:rsidR="0090606C" w:rsidRDefault="00601604" w14:paraId="29A48E59" w14:textId="77777777">
            <w:pPr>
              <w:keepNext/>
              <w:keepLines/>
              <w:ind w:left="30" w:right="30"/>
              <w:rPr>
                <w:lang w:val="en-GB"/>
              </w:rPr>
            </w:pPr>
            <w:r w:rsidRPr="0036350D">
              <w:rPr>
                <w:lang w:val="en-GB"/>
              </w:rPr>
              <w:t>See points 1.1 and 2.5.</w:t>
            </w:r>
          </w:p>
        </w:tc>
      </w:tr>
    </w:tbl>
    <w:p w:rsidRPr="00FA5329" w:rsidR="0090606C" w:rsidP="00FA5329" w:rsidRDefault="0090606C" w14:paraId="75F46C58" w14:textId="77777777">
      <w:pPr>
        <w:pStyle w:val="Heading2"/>
        <w:numPr>
          <w:ilvl w:val="0"/>
          <w:numId w:val="0"/>
        </w:numPr>
        <w:rPr>
          <w:lang w:val="en-GB"/>
        </w:rPr>
      </w:pPr>
    </w:p>
    <w:p w:rsidRPr="0036350D" w:rsidR="0090606C" w:rsidRDefault="00601604" w14:paraId="3CED72EA" w14:textId="77777777">
      <w:pPr>
        <w:pStyle w:val="Heading2"/>
        <w:keepNext/>
        <w:numPr>
          <w:ilvl w:val="0"/>
          <w:numId w:val="0"/>
        </w:numPr>
        <w:rPr>
          <w:lang w:val="en-GB"/>
        </w:rPr>
      </w:pPr>
      <w:r w:rsidRPr="0036350D">
        <w:rPr>
          <w:b/>
          <w:bCs/>
          <w:lang w:val="en-GB"/>
        </w:rPr>
        <w:t>Amendment 2</w:t>
      </w:r>
      <w:r w:rsidRPr="0036350D">
        <w:rPr>
          <w:lang w:val="en-GB"/>
        </w:rPr>
        <w:t xml:space="preserve"> </w:t>
      </w:r>
    </w:p>
    <w:p w:rsidRPr="0036350D" w:rsidR="0090606C" w:rsidRDefault="00601604" w14:paraId="7F9DD544" w14:textId="77777777">
      <w:pPr>
        <w:keepNext/>
        <w:keepLines/>
        <w:jc w:val="left"/>
        <w:rPr>
          <w:lang w:val="en-GB"/>
        </w:rPr>
      </w:pPr>
      <w:r w:rsidRPr="0036350D">
        <w:rPr>
          <w:lang w:val="en-GB"/>
        </w:rPr>
        <w:t>linked to recommendation 1.2</w:t>
      </w:r>
    </w:p>
    <w:p w:rsidRPr="0036350D" w:rsidR="0090606C" w:rsidRDefault="00601604" w14:paraId="7C5E5A17" w14:textId="36519DA3">
      <w:pPr>
        <w:keepNext/>
        <w:keepLines/>
        <w:jc w:val="left"/>
        <w:rPr>
          <w:lang w:val="en-GB"/>
        </w:rPr>
      </w:pPr>
      <w:r w:rsidRPr="0036350D">
        <w:rPr>
          <w:lang w:val="en-GB"/>
        </w:rPr>
        <w:t>Additional paragraph to Article 4, after current paragraph 2:</w:t>
      </w:r>
    </w:p>
    <w:p w:rsidRPr="0036350D" w:rsidR="0090606C" w:rsidP="00FA5329" w:rsidRDefault="0090606C" w14:paraId="4AB31173" w14:textId="77777777">
      <w:pPr>
        <w:keepNext/>
        <w:keepLines/>
        <w:spacing w:line="240" w:lineRule="auto"/>
        <w:jc w:val="left"/>
        <w:rPr>
          <w:lang w:val="en-GB"/>
        </w:rPr>
      </w:pPr>
    </w:p>
    <w:tbl>
      <w:tblPr>
        <w:tblW w:w="5000" w:type="pct"/>
        <w:tblBorders>
          <w:top w:val="outset" w:color="auto" w:sz="6" w:space="0"/>
          <w:left w:val="outset" w:color="auto" w:sz="6" w:space="0"/>
          <w:bottom w:val="outset" w:color="auto" w:sz="6" w:space="0"/>
          <w:right w:val="outset" w:color="auto" w:sz="6" w:space="0"/>
        </w:tblBorders>
        <w:tblLayout w:type="fixed"/>
        <w:tblCellMar>
          <w:left w:w="57" w:type="dxa"/>
          <w:right w:w="57" w:type="dxa"/>
        </w:tblCellMar>
        <w:tblLook w:val="04A0" w:firstRow="1" w:lastRow="0" w:firstColumn="1" w:lastColumn="0" w:noHBand="0" w:noVBand="1"/>
      </w:tblPr>
      <w:tblGrid>
        <w:gridCol w:w="4594"/>
        <w:gridCol w:w="4593"/>
      </w:tblGrid>
      <w:tr w:rsidRPr="0036350D" w:rsidR="0090606C" w:rsidTr="00FA5329" w14:paraId="4D15C6B0" w14:textId="77777777">
        <w:trPr>
          <w:trHeight w:val="300"/>
        </w:trPr>
        <w:tc>
          <w:tcPr>
            <w:tcW w:w="4529"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52B15499" w14:textId="77777777">
            <w:pPr>
              <w:jc w:val="center"/>
              <w:rPr>
                <w:strike/>
                <w:lang w:val="en-GB"/>
              </w:rPr>
            </w:pPr>
            <w:r w:rsidRPr="0036350D">
              <w:rPr>
                <w:b/>
                <w:bCs/>
                <w:lang w:val="en-GB"/>
              </w:rPr>
              <w:t>Text proposed by the European Commission</w:t>
            </w:r>
          </w:p>
        </w:tc>
        <w:tc>
          <w:tcPr>
            <w:tcW w:w="4528"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78075A07" w14:textId="77777777">
            <w:pPr>
              <w:jc w:val="center"/>
              <w:rPr>
                <w:lang w:val="en-GB"/>
              </w:rPr>
            </w:pPr>
            <w:r w:rsidRPr="0036350D">
              <w:rPr>
                <w:b/>
                <w:bCs/>
                <w:lang w:val="en-GB"/>
              </w:rPr>
              <w:t>EESC amendment</w:t>
            </w:r>
          </w:p>
        </w:tc>
      </w:tr>
      <w:tr w:rsidRPr="0036350D" w:rsidR="0090606C" w:rsidTr="00FA5329" w14:paraId="4BEBCCB7" w14:textId="77777777">
        <w:trPr>
          <w:trHeight w:val="300"/>
        </w:trPr>
        <w:tc>
          <w:tcPr>
            <w:tcW w:w="4529" w:type="dxa"/>
            <w:tcBorders>
              <w:top w:val="single" w:color="auto" w:sz="2" w:space="0"/>
              <w:left w:val="single" w:color="auto" w:sz="6" w:space="0"/>
              <w:bottom w:val="single" w:color="auto" w:sz="6" w:space="0"/>
              <w:right w:val="single" w:color="auto" w:sz="6" w:space="0"/>
            </w:tcBorders>
            <w:hideMark/>
          </w:tcPr>
          <w:p w:rsidRPr="0036350D" w:rsidR="0090606C" w:rsidRDefault="0090606C" w14:paraId="5774296D" w14:textId="77777777">
            <w:pPr>
              <w:ind w:left="30" w:right="30"/>
              <w:rPr>
                <w:lang w:val="en-GB"/>
              </w:rPr>
            </w:pPr>
          </w:p>
        </w:tc>
        <w:tc>
          <w:tcPr>
            <w:tcW w:w="4528" w:type="dxa"/>
            <w:tcBorders>
              <w:top w:val="single" w:color="auto" w:sz="2" w:space="0"/>
              <w:left w:val="single" w:color="auto" w:sz="6" w:space="0"/>
              <w:bottom w:val="single" w:color="auto" w:sz="6" w:space="0"/>
              <w:right w:val="single" w:color="auto" w:sz="6" w:space="0"/>
            </w:tcBorders>
            <w:hideMark/>
          </w:tcPr>
          <w:p w:rsidRPr="0036350D" w:rsidR="0090606C" w:rsidRDefault="00601604" w14:paraId="1E660C1F" w14:textId="07BB8F20">
            <w:pPr>
              <w:pStyle w:val="Heading1"/>
              <w:numPr>
                <w:ilvl w:val="0"/>
                <w:numId w:val="0"/>
              </w:numPr>
              <w:rPr>
                <w:b/>
                <w:bCs/>
                <w:i/>
                <w:iCs/>
                <w:lang w:val="en-GB"/>
              </w:rPr>
            </w:pPr>
            <w:r w:rsidRPr="0036350D">
              <w:rPr>
                <w:b/>
                <w:bCs/>
                <w:i/>
                <w:iCs/>
                <w:lang w:val="en-GB"/>
              </w:rPr>
              <w:t>3. The indicative distribution of the ECF resources shall be implemented in a way that considers the requirements of cross-window initiatives and other connections between the windows, as well as rapidly changing situations.</w:t>
            </w:r>
          </w:p>
        </w:tc>
      </w:tr>
    </w:tbl>
    <w:p w:rsidRPr="0036350D" w:rsidR="0090606C" w:rsidRDefault="0090606C" w14:paraId="30195EF3" w14:textId="77777777">
      <w:pPr>
        <w:jc w:val="center"/>
        <w:rPr>
          <w:lang w:val="en-GB"/>
        </w:rPr>
      </w:pPr>
    </w:p>
    <w:tbl>
      <w:tblPr>
        <w:tblW w:w="0" w:type="auto"/>
        <w:tblBorders>
          <w:top w:val="outset" w:color="auto" w:sz="6" w:space="0"/>
          <w:left w:val="outset" w:color="auto" w:sz="6" w:space="0"/>
          <w:bottom w:val="outset" w:color="auto" w:sz="6" w:space="0"/>
          <w:right w:val="outset" w:color="auto" w:sz="6" w:space="0"/>
        </w:tblBorders>
        <w:tblLayout w:type="fixed"/>
        <w:tblCellMar>
          <w:left w:w="57" w:type="dxa"/>
          <w:right w:w="57" w:type="dxa"/>
        </w:tblCellMar>
        <w:tblLook w:val="04A0" w:firstRow="1" w:lastRow="0" w:firstColumn="1" w:lastColumn="0" w:noHBand="0" w:noVBand="1"/>
      </w:tblPr>
      <w:tblGrid>
        <w:gridCol w:w="9057"/>
      </w:tblGrid>
      <w:tr w:rsidRPr="0036350D" w:rsidR="0090606C" w:rsidTr="00FA5329" w14:paraId="6A26AC2D" w14:textId="77777777">
        <w:trPr>
          <w:trHeight w:val="300"/>
        </w:trPr>
        <w:tc>
          <w:tcPr>
            <w:tcW w:w="9057"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585C5B48" w14:textId="77777777">
            <w:pPr>
              <w:keepNext/>
              <w:keepLines/>
              <w:jc w:val="center"/>
              <w:rPr>
                <w:lang w:val="en-GB"/>
              </w:rPr>
            </w:pPr>
            <w:r w:rsidRPr="0036350D">
              <w:rPr>
                <w:b/>
                <w:bCs/>
                <w:lang w:val="en-GB"/>
              </w:rPr>
              <w:t>Reason</w:t>
            </w:r>
          </w:p>
        </w:tc>
      </w:tr>
      <w:tr w:rsidRPr="0036350D" w:rsidR="0090606C" w:rsidTr="00FA5329" w14:paraId="1496B60B" w14:textId="77777777">
        <w:trPr>
          <w:trHeight w:val="300"/>
        </w:trPr>
        <w:tc>
          <w:tcPr>
            <w:tcW w:w="9057" w:type="dxa"/>
            <w:tcBorders>
              <w:top w:val="single" w:color="auto" w:sz="2" w:space="0"/>
              <w:left w:val="single" w:color="auto" w:sz="6" w:space="0"/>
              <w:bottom w:val="single" w:color="auto" w:sz="6" w:space="0"/>
              <w:right w:val="single" w:color="auto" w:sz="6" w:space="0"/>
            </w:tcBorders>
            <w:hideMark/>
          </w:tcPr>
          <w:p w:rsidRPr="0036350D" w:rsidR="0090606C" w:rsidRDefault="00601604" w14:paraId="68A81E13" w14:textId="77777777">
            <w:pPr>
              <w:keepNext/>
              <w:keepLines/>
              <w:ind w:left="30" w:right="30"/>
              <w:rPr>
                <w:lang w:val="en-GB"/>
              </w:rPr>
            </w:pPr>
            <w:r w:rsidRPr="0036350D">
              <w:rPr>
                <w:lang w:val="en-GB"/>
              </w:rPr>
              <w:t>See point 2.8.</w:t>
            </w:r>
          </w:p>
        </w:tc>
      </w:tr>
    </w:tbl>
    <w:p w:rsidRPr="0036350D" w:rsidR="0090606C" w:rsidRDefault="0090606C" w14:paraId="74D27020" w14:textId="77777777">
      <w:pPr>
        <w:jc w:val="left"/>
        <w:rPr>
          <w:lang w:val="en-GB"/>
        </w:rPr>
      </w:pPr>
    </w:p>
    <w:p w:rsidRPr="0036350D" w:rsidR="0090606C" w:rsidRDefault="00601604" w14:paraId="48247B4D" w14:textId="77777777">
      <w:pPr>
        <w:pStyle w:val="Heading2"/>
        <w:keepNext/>
        <w:numPr>
          <w:ilvl w:val="0"/>
          <w:numId w:val="0"/>
        </w:numPr>
        <w:rPr>
          <w:b/>
          <w:bCs/>
          <w:lang w:val="en-GB"/>
        </w:rPr>
      </w:pPr>
      <w:r w:rsidRPr="0036350D">
        <w:rPr>
          <w:b/>
          <w:bCs/>
          <w:lang w:val="en-GB"/>
        </w:rPr>
        <w:t>Amendment 3</w:t>
      </w:r>
    </w:p>
    <w:p w:rsidRPr="0036350D" w:rsidR="0090606C" w:rsidRDefault="00601604" w14:paraId="3A9B2698" w14:textId="77777777">
      <w:pPr>
        <w:keepNext/>
        <w:keepLines/>
        <w:jc w:val="left"/>
        <w:rPr>
          <w:lang w:val="en-GB"/>
        </w:rPr>
      </w:pPr>
      <w:r w:rsidRPr="0036350D">
        <w:rPr>
          <w:lang w:val="en-GB"/>
        </w:rPr>
        <w:t>linked to recommendation 1.3</w:t>
      </w:r>
    </w:p>
    <w:p w:rsidRPr="0036350D" w:rsidR="0090606C" w:rsidRDefault="00601604" w14:paraId="6D246517" w14:textId="08498FF9">
      <w:pPr>
        <w:keepNext/>
        <w:keepLines/>
        <w:jc w:val="left"/>
        <w:rPr>
          <w:lang w:val="en-GB"/>
        </w:rPr>
      </w:pPr>
      <w:r w:rsidRPr="0036350D">
        <w:rPr>
          <w:lang w:val="en-GB"/>
        </w:rPr>
        <w:t>Additional article, after current Article 7:</w:t>
      </w:r>
    </w:p>
    <w:p w:rsidRPr="0036350D" w:rsidR="0090606C" w:rsidP="00FA5329" w:rsidRDefault="0090606C" w14:paraId="1EF155B4" w14:textId="77777777">
      <w:pPr>
        <w:keepNext/>
        <w:keepLines/>
        <w:spacing w:line="240" w:lineRule="auto"/>
        <w:jc w:val="left"/>
        <w:rPr>
          <w:lang w:val="en-GB"/>
        </w:rPr>
      </w:pPr>
    </w:p>
    <w:tbl>
      <w:tblPr>
        <w:tblW w:w="5000" w:type="pct"/>
        <w:tblBorders>
          <w:top w:val="outset" w:color="auto" w:sz="6" w:space="0"/>
          <w:left w:val="outset" w:color="auto" w:sz="6" w:space="0"/>
          <w:bottom w:val="outset" w:color="auto" w:sz="6" w:space="0"/>
          <w:right w:val="outset" w:color="auto" w:sz="6" w:space="0"/>
        </w:tblBorders>
        <w:tblLayout w:type="fixed"/>
        <w:tblCellMar>
          <w:left w:w="57" w:type="dxa"/>
          <w:right w:w="57" w:type="dxa"/>
        </w:tblCellMar>
        <w:tblLook w:val="04A0" w:firstRow="1" w:lastRow="0" w:firstColumn="1" w:lastColumn="0" w:noHBand="0" w:noVBand="1"/>
      </w:tblPr>
      <w:tblGrid>
        <w:gridCol w:w="4594"/>
        <w:gridCol w:w="4593"/>
      </w:tblGrid>
      <w:tr w:rsidRPr="0036350D" w:rsidR="0090606C" w:rsidTr="00FA5329" w14:paraId="756153CB" w14:textId="77777777">
        <w:trPr>
          <w:trHeight w:val="300"/>
        </w:trPr>
        <w:tc>
          <w:tcPr>
            <w:tcW w:w="4529"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28471553" w14:textId="77777777">
            <w:pPr>
              <w:jc w:val="center"/>
              <w:rPr>
                <w:strike/>
                <w:lang w:val="en-GB"/>
              </w:rPr>
            </w:pPr>
            <w:r w:rsidRPr="0036350D">
              <w:rPr>
                <w:b/>
                <w:bCs/>
                <w:lang w:val="en-GB"/>
              </w:rPr>
              <w:t>Text proposed by the European Commission</w:t>
            </w:r>
          </w:p>
        </w:tc>
        <w:tc>
          <w:tcPr>
            <w:tcW w:w="4528"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4A09CF45" w14:textId="77777777">
            <w:pPr>
              <w:jc w:val="center"/>
              <w:rPr>
                <w:lang w:val="en-GB"/>
              </w:rPr>
            </w:pPr>
            <w:r w:rsidRPr="0036350D">
              <w:rPr>
                <w:b/>
                <w:bCs/>
                <w:lang w:val="en-GB"/>
              </w:rPr>
              <w:t>EESC amendment</w:t>
            </w:r>
          </w:p>
        </w:tc>
      </w:tr>
      <w:tr w:rsidRPr="0036350D" w:rsidR="0090606C" w:rsidTr="00FA5329" w14:paraId="12FDF21B" w14:textId="77777777">
        <w:trPr>
          <w:trHeight w:val="300"/>
        </w:trPr>
        <w:tc>
          <w:tcPr>
            <w:tcW w:w="4529" w:type="dxa"/>
            <w:tcBorders>
              <w:top w:val="single" w:color="auto" w:sz="2" w:space="0"/>
              <w:left w:val="single" w:color="auto" w:sz="6" w:space="0"/>
              <w:bottom w:val="single" w:color="auto" w:sz="6" w:space="0"/>
              <w:right w:val="single" w:color="auto" w:sz="6" w:space="0"/>
            </w:tcBorders>
            <w:hideMark/>
          </w:tcPr>
          <w:p w:rsidRPr="0036350D" w:rsidR="0090606C" w:rsidRDefault="0090606C" w14:paraId="31D888C2" w14:textId="77777777">
            <w:pPr>
              <w:ind w:left="30" w:right="30"/>
              <w:rPr>
                <w:lang w:val="en-GB"/>
              </w:rPr>
            </w:pPr>
          </w:p>
        </w:tc>
        <w:tc>
          <w:tcPr>
            <w:tcW w:w="4528" w:type="dxa"/>
            <w:tcBorders>
              <w:top w:val="single" w:color="auto" w:sz="2" w:space="0"/>
              <w:left w:val="single" w:color="auto" w:sz="6" w:space="0"/>
              <w:bottom w:val="single" w:color="auto" w:sz="6" w:space="0"/>
              <w:right w:val="single" w:color="auto" w:sz="6" w:space="0"/>
            </w:tcBorders>
            <w:hideMark/>
          </w:tcPr>
          <w:p w:rsidRPr="0036350D" w:rsidR="0090606C" w:rsidRDefault="00601604" w14:paraId="5B03579C" w14:textId="77777777">
            <w:pPr>
              <w:keepNext/>
              <w:keepLines/>
              <w:jc w:val="left"/>
              <w:rPr>
                <w:b/>
                <w:bCs/>
                <w:i/>
                <w:iCs/>
                <w:lang w:val="en-GB"/>
              </w:rPr>
            </w:pPr>
            <w:r w:rsidRPr="0036350D">
              <w:rPr>
                <w:b/>
                <w:bCs/>
                <w:i/>
                <w:iCs/>
                <w:lang w:val="en-GB"/>
              </w:rPr>
              <w:t xml:space="preserve">Article 8 </w:t>
            </w:r>
          </w:p>
          <w:p w:rsidRPr="0036350D" w:rsidR="0090606C" w:rsidRDefault="00601604" w14:paraId="2A44F369" w14:textId="77777777">
            <w:pPr>
              <w:keepNext/>
              <w:keepLines/>
              <w:jc w:val="left"/>
              <w:rPr>
                <w:b/>
                <w:bCs/>
                <w:i/>
                <w:iCs/>
                <w:lang w:val="en-GB"/>
              </w:rPr>
            </w:pPr>
            <w:r w:rsidRPr="0036350D">
              <w:rPr>
                <w:b/>
                <w:bCs/>
                <w:i/>
                <w:iCs/>
                <w:lang w:val="en-GB"/>
              </w:rPr>
              <w:t>General award criteria</w:t>
            </w:r>
          </w:p>
          <w:p w:rsidRPr="0036350D" w:rsidR="0090606C" w:rsidRDefault="00601604" w14:paraId="323AC0A9" w14:textId="77777777">
            <w:pPr>
              <w:ind w:left="30" w:right="30"/>
              <w:rPr>
                <w:b/>
                <w:bCs/>
                <w:i/>
                <w:iCs/>
                <w:lang w:val="en-GB"/>
              </w:rPr>
            </w:pPr>
            <w:r w:rsidRPr="0036350D">
              <w:rPr>
                <w:b/>
                <w:bCs/>
                <w:i/>
                <w:iCs/>
                <w:lang w:val="en-GB"/>
              </w:rPr>
              <w:t>To support the general objectives of the ECF (Article 3, paragraph 1), the following criteria, related to the overall EU competitiveness, are considered as the leading award criteria throughout all windows: 1) excellence, 2) future orientation, 3) economic potential. The general criteria are accompanied by window-specific criteria, following the window-specific objectives (Article 3, paragraph 2).</w:t>
            </w:r>
          </w:p>
        </w:tc>
      </w:tr>
    </w:tbl>
    <w:p w:rsidRPr="0036350D" w:rsidR="0090606C" w:rsidP="00FA5329" w:rsidRDefault="0090606C" w14:paraId="333DC010" w14:textId="77777777">
      <w:pPr>
        <w:spacing w:line="240" w:lineRule="auto"/>
        <w:jc w:val="center"/>
        <w:rPr>
          <w:lang w:val="en-GB"/>
        </w:rPr>
      </w:pPr>
    </w:p>
    <w:tbl>
      <w:tblPr>
        <w:tblW w:w="0" w:type="auto"/>
        <w:tblBorders>
          <w:top w:val="outset" w:color="auto" w:sz="6" w:space="0"/>
          <w:left w:val="outset" w:color="auto" w:sz="6" w:space="0"/>
          <w:bottom w:val="outset" w:color="auto" w:sz="6" w:space="0"/>
          <w:right w:val="outset" w:color="auto" w:sz="6" w:space="0"/>
        </w:tblBorders>
        <w:tblLayout w:type="fixed"/>
        <w:tblCellMar>
          <w:left w:w="57" w:type="dxa"/>
          <w:right w:w="57" w:type="dxa"/>
        </w:tblCellMar>
        <w:tblLook w:val="04A0" w:firstRow="1" w:lastRow="0" w:firstColumn="1" w:lastColumn="0" w:noHBand="0" w:noVBand="1"/>
      </w:tblPr>
      <w:tblGrid>
        <w:gridCol w:w="9057"/>
      </w:tblGrid>
      <w:tr w:rsidRPr="0036350D" w:rsidR="0090606C" w:rsidTr="00FA5329" w14:paraId="454E1AF4" w14:textId="77777777">
        <w:trPr>
          <w:trHeight w:val="300"/>
        </w:trPr>
        <w:tc>
          <w:tcPr>
            <w:tcW w:w="9057"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62FDFFE0" w14:textId="77777777">
            <w:pPr>
              <w:keepNext/>
              <w:keepLines/>
              <w:jc w:val="center"/>
              <w:divId w:val="1334838238"/>
              <w:rPr>
                <w:lang w:val="en-GB"/>
              </w:rPr>
            </w:pPr>
            <w:r w:rsidRPr="0036350D">
              <w:rPr>
                <w:b/>
                <w:bCs/>
                <w:lang w:val="en-GB"/>
              </w:rPr>
              <w:t>Reason</w:t>
            </w:r>
          </w:p>
        </w:tc>
      </w:tr>
      <w:tr w:rsidRPr="0036350D" w:rsidR="0090606C" w:rsidTr="00FA5329" w14:paraId="4967A278" w14:textId="77777777">
        <w:trPr>
          <w:trHeight w:val="300"/>
        </w:trPr>
        <w:tc>
          <w:tcPr>
            <w:tcW w:w="9057" w:type="dxa"/>
            <w:tcBorders>
              <w:top w:val="single" w:color="auto" w:sz="2" w:space="0"/>
              <w:left w:val="single" w:color="auto" w:sz="6" w:space="0"/>
              <w:bottom w:val="single" w:color="auto" w:sz="6" w:space="0"/>
              <w:right w:val="single" w:color="auto" w:sz="6" w:space="0"/>
            </w:tcBorders>
            <w:hideMark/>
          </w:tcPr>
          <w:p w:rsidRPr="0036350D" w:rsidR="0090606C" w:rsidRDefault="00601604" w14:paraId="606CCFAA" w14:textId="77777777">
            <w:pPr>
              <w:keepNext/>
              <w:keepLines/>
              <w:ind w:left="30" w:right="30"/>
              <w:rPr>
                <w:lang w:val="en-GB"/>
              </w:rPr>
            </w:pPr>
            <w:r w:rsidRPr="0036350D">
              <w:rPr>
                <w:lang w:val="en-GB"/>
              </w:rPr>
              <w:t>See points 2.1 and 2.9.</w:t>
            </w:r>
          </w:p>
        </w:tc>
      </w:tr>
    </w:tbl>
    <w:p w:rsidRPr="0036350D" w:rsidR="0090606C" w:rsidRDefault="0090606C" w14:paraId="27D0BD25" w14:textId="77777777">
      <w:pPr>
        <w:jc w:val="left"/>
        <w:rPr>
          <w:lang w:val="en-GB"/>
        </w:rPr>
      </w:pPr>
    </w:p>
    <w:p w:rsidRPr="0036350D" w:rsidR="0090606C" w:rsidRDefault="00601604" w14:paraId="0DF50F55" w14:textId="77777777">
      <w:pPr>
        <w:pStyle w:val="Heading2"/>
        <w:keepNext/>
        <w:numPr>
          <w:ilvl w:val="0"/>
          <w:numId w:val="0"/>
        </w:numPr>
        <w:rPr>
          <w:b/>
          <w:bCs/>
          <w:lang w:val="en-GB"/>
        </w:rPr>
      </w:pPr>
      <w:r w:rsidRPr="0036350D">
        <w:rPr>
          <w:b/>
          <w:bCs/>
          <w:lang w:val="en-GB"/>
        </w:rPr>
        <w:t>Amendment 4</w:t>
      </w:r>
    </w:p>
    <w:p w:rsidRPr="0036350D" w:rsidR="0090606C" w:rsidRDefault="00601604" w14:paraId="4047D935" w14:textId="77777777">
      <w:pPr>
        <w:keepNext/>
        <w:keepLines/>
        <w:jc w:val="left"/>
        <w:rPr>
          <w:lang w:val="en-GB"/>
        </w:rPr>
      </w:pPr>
      <w:r w:rsidRPr="0036350D">
        <w:rPr>
          <w:lang w:val="en-GB"/>
        </w:rPr>
        <w:t>linked to recommendation 1.4</w:t>
      </w:r>
    </w:p>
    <w:p w:rsidRPr="0036350D" w:rsidR="0090606C" w:rsidRDefault="00601604" w14:paraId="0D59F005" w14:textId="0924E7F3">
      <w:pPr>
        <w:keepNext/>
        <w:keepLines/>
        <w:jc w:val="left"/>
        <w:rPr>
          <w:lang w:val="en-GB"/>
        </w:rPr>
      </w:pPr>
      <w:r w:rsidRPr="0036350D">
        <w:rPr>
          <w:lang w:val="en-GB"/>
        </w:rPr>
        <w:t>Additional article, after current Article 8 (which would be Article 9 due to Amendment 3):</w:t>
      </w:r>
    </w:p>
    <w:p w:rsidRPr="0036350D" w:rsidR="0090606C" w:rsidP="00FA5329" w:rsidRDefault="0090606C" w14:paraId="4E59B5E0" w14:textId="77777777">
      <w:pPr>
        <w:keepNext/>
        <w:keepLines/>
        <w:spacing w:line="240" w:lineRule="auto"/>
        <w:jc w:val="left"/>
        <w:rPr>
          <w:lang w:val="en-GB"/>
        </w:rPr>
      </w:pPr>
    </w:p>
    <w:tbl>
      <w:tblPr>
        <w:tblW w:w="0" w:type="auto"/>
        <w:tblBorders>
          <w:top w:val="outset" w:color="auto" w:sz="6" w:space="0"/>
          <w:left w:val="outset" w:color="auto" w:sz="6" w:space="0"/>
          <w:bottom w:val="outset" w:color="auto" w:sz="6" w:space="0"/>
          <w:right w:val="outset" w:color="auto" w:sz="6" w:space="0"/>
        </w:tblBorders>
        <w:tblLayout w:type="fixed"/>
        <w:tblCellMar>
          <w:left w:w="57" w:type="dxa"/>
          <w:right w:w="57" w:type="dxa"/>
        </w:tblCellMar>
        <w:tblLook w:val="04A0" w:firstRow="1" w:lastRow="0" w:firstColumn="1" w:lastColumn="0" w:noHBand="0" w:noVBand="1"/>
      </w:tblPr>
      <w:tblGrid>
        <w:gridCol w:w="4529"/>
        <w:gridCol w:w="4528"/>
      </w:tblGrid>
      <w:tr w:rsidRPr="0036350D" w:rsidR="0090606C" w:rsidTr="00FA5329" w14:paraId="323EB65A" w14:textId="77777777">
        <w:trPr>
          <w:trHeight w:val="300"/>
        </w:trPr>
        <w:tc>
          <w:tcPr>
            <w:tcW w:w="4529" w:type="dxa"/>
            <w:tcBorders>
              <w:top w:val="single" w:color="auto" w:sz="2" w:space="0"/>
              <w:left w:val="single" w:color="auto" w:sz="2" w:space="0"/>
              <w:bottom w:val="single" w:color="auto" w:sz="2" w:space="0"/>
              <w:right w:val="single" w:color="auto" w:sz="2" w:space="0"/>
            </w:tcBorders>
            <w:hideMark/>
          </w:tcPr>
          <w:p w:rsidRPr="0036350D" w:rsidR="0090606C" w:rsidP="00FA5329" w:rsidRDefault="00601604" w14:paraId="62A325D8" w14:textId="77777777">
            <w:pPr>
              <w:outlineLvl w:val="1"/>
              <w:rPr>
                <w:strike/>
                <w:lang w:val="en-GB"/>
              </w:rPr>
            </w:pPr>
            <w:r w:rsidRPr="0036350D">
              <w:rPr>
                <w:b/>
                <w:bCs/>
                <w:lang w:val="en-GB"/>
              </w:rPr>
              <w:t>Text proposed by the European Commission</w:t>
            </w:r>
          </w:p>
        </w:tc>
        <w:tc>
          <w:tcPr>
            <w:tcW w:w="4528"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27EFB6A6" w14:textId="77777777">
            <w:pPr>
              <w:jc w:val="center"/>
              <w:rPr>
                <w:lang w:val="en-GB"/>
              </w:rPr>
            </w:pPr>
            <w:r w:rsidRPr="0036350D">
              <w:rPr>
                <w:b/>
                <w:bCs/>
                <w:lang w:val="en-GB"/>
              </w:rPr>
              <w:t>EESC amendment</w:t>
            </w:r>
          </w:p>
        </w:tc>
      </w:tr>
      <w:tr w:rsidRPr="0036350D" w:rsidR="0090606C" w:rsidTr="00FA5329" w14:paraId="153EAE34" w14:textId="77777777">
        <w:trPr>
          <w:trHeight w:val="300"/>
        </w:trPr>
        <w:tc>
          <w:tcPr>
            <w:tcW w:w="4529" w:type="dxa"/>
            <w:tcBorders>
              <w:top w:val="single" w:color="auto" w:sz="2" w:space="0"/>
              <w:left w:val="single" w:color="auto" w:sz="6" w:space="0"/>
              <w:bottom w:val="single" w:color="auto" w:sz="6" w:space="0"/>
              <w:right w:val="single" w:color="auto" w:sz="6" w:space="0"/>
            </w:tcBorders>
            <w:hideMark/>
          </w:tcPr>
          <w:p w:rsidRPr="0036350D" w:rsidR="0090606C" w:rsidP="00FA5329" w:rsidRDefault="0090606C" w14:paraId="2AE66F71" w14:textId="77777777">
            <w:pPr>
              <w:ind w:left="57" w:right="57"/>
              <w:rPr>
                <w:lang w:val="en-GB"/>
              </w:rPr>
            </w:pPr>
          </w:p>
        </w:tc>
        <w:tc>
          <w:tcPr>
            <w:tcW w:w="4528" w:type="dxa"/>
            <w:tcBorders>
              <w:top w:val="single" w:color="auto" w:sz="2" w:space="0"/>
              <w:left w:val="single" w:color="auto" w:sz="6" w:space="0"/>
              <w:bottom w:val="single" w:color="auto" w:sz="6" w:space="0"/>
              <w:right w:val="single" w:color="auto" w:sz="6" w:space="0"/>
            </w:tcBorders>
            <w:hideMark/>
          </w:tcPr>
          <w:p w:rsidRPr="0036350D" w:rsidR="0090606C" w:rsidP="00FA5329" w:rsidRDefault="00601604" w14:paraId="654E063C" w14:textId="77777777">
            <w:pPr>
              <w:ind w:left="57" w:right="57"/>
              <w:rPr>
                <w:b/>
                <w:bCs/>
                <w:i/>
                <w:iCs/>
                <w:lang w:val="en-GB"/>
              </w:rPr>
            </w:pPr>
            <w:r w:rsidRPr="0036350D">
              <w:rPr>
                <w:b/>
                <w:bCs/>
                <w:i/>
                <w:iCs/>
                <w:lang w:val="en-GB"/>
              </w:rPr>
              <w:t>Article 10</w:t>
            </w:r>
          </w:p>
          <w:p w:rsidRPr="0036350D" w:rsidR="0090606C" w:rsidP="00FA5329" w:rsidRDefault="00601604" w14:paraId="7D5210DF" w14:textId="77777777">
            <w:pPr>
              <w:ind w:left="57" w:right="57"/>
              <w:jc w:val="left"/>
              <w:rPr>
                <w:b/>
                <w:bCs/>
                <w:i/>
                <w:iCs/>
                <w:lang w:val="en-GB"/>
              </w:rPr>
            </w:pPr>
            <w:r w:rsidRPr="0036350D">
              <w:rPr>
                <w:b/>
                <w:bCs/>
                <w:i/>
                <w:iCs/>
                <w:lang w:val="en-GB"/>
              </w:rPr>
              <w:t>Level playing field</w:t>
            </w:r>
          </w:p>
          <w:p w:rsidRPr="0036350D" w:rsidR="0090606C" w:rsidP="00FA5329" w:rsidRDefault="0090606C" w14:paraId="505E3C7D" w14:textId="77777777">
            <w:pPr>
              <w:ind w:left="57" w:right="57"/>
              <w:jc w:val="left"/>
              <w:rPr>
                <w:lang w:val="en-GB"/>
              </w:rPr>
            </w:pPr>
          </w:p>
          <w:p w:rsidRPr="0036350D" w:rsidR="0090606C" w:rsidP="00FA5329" w:rsidRDefault="00601604" w14:paraId="4A435C74" w14:textId="77777777">
            <w:pPr>
              <w:ind w:left="57" w:right="57"/>
              <w:jc w:val="left"/>
              <w:rPr>
                <w:lang w:val="en-GB"/>
              </w:rPr>
            </w:pPr>
            <w:r w:rsidRPr="0036350D">
              <w:rPr>
                <w:b/>
                <w:bCs/>
                <w:i/>
                <w:iCs/>
                <w:lang w:val="en-GB"/>
              </w:rPr>
              <w:t>The decisions regarding funding to specific targeted purposes (Articles 16-20), are to be guided by the principle of enhancing a level playing field across the EU and economic actors.</w:t>
            </w:r>
          </w:p>
        </w:tc>
      </w:tr>
    </w:tbl>
    <w:p w:rsidRPr="0036350D" w:rsidR="0090606C" w:rsidRDefault="0090606C" w14:paraId="20ADAF20" w14:textId="77777777">
      <w:pPr>
        <w:jc w:val="center"/>
        <w:rPr>
          <w:lang w:val="en-GB"/>
        </w:rPr>
      </w:pPr>
    </w:p>
    <w:tbl>
      <w:tblPr>
        <w:tblW w:w="0" w:type="auto"/>
        <w:tblBorders>
          <w:top w:val="outset" w:color="auto" w:sz="6" w:space="0"/>
          <w:left w:val="outset" w:color="auto" w:sz="6" w:space="0"/>
          <w:bottom w:val="outset" w:color="auto" w:sz="6" w:space="0"/>
          <w:right w:val="outset" w:color="auto" w:sz="6" w:space="0"/>
        </w:tblBorders>
        <w:tblLayout w:type="fixed"/>
        <w:tblCellMar>
          <w:left w:w="0" w:type="dxa"/>
          <w:right w:w="0" w:type="dxa"/>
        </w:tblCellMar>
        <w:tblLook w:val="04A0" w:firstRow="1" w:lastRow="0" w:firstColumn="1" w:lastColumn="0" w:noHBand="0" w:noVBand="1"/>
      </w:tblPr>
      <w:tblGrid>
        <w:gridCol w:w="9057"/>
      </w:tblGrid>
      <w:tr w:rsidRPr="0036350D" w:rsidR="0090606C" w14:paraId="7D419C54" w14:textId="77777777">
        <w:trPr>
          <w:trHeight w:val="300"/>
        </w:trPr>
        <w:tc>
          <w:tcPr>
            <w:tcW w:w="9057" w:type="dxa"/>
            <w:tcBorders>
              <w:top w:val="single" w:color="auto" w:sz="2" w:space="0"/>
              <w:left w:val="single" w:color="auto" w:sz="2" w:space="0"/>
              <w:bottom w:val="single" w:color="auto" w:sz="2" w:space="0"/>
              <w:right w:val="single" w:color="auto" w:sz="2" w:space="0"/>
            </w:tcBorders>
            <w:hideMark/>
          </w:tcPr>
          <w:p w:rsidRPr="0036350D" w:rsidR="0090606C" w:rsidRDefault="00601604" w14:paraId="422414E0" w14:textId="77777777">
            <w:pPr>
              <w:keepNext/>
              <w:keepLines/>
              <w:jc w:val="center"/>
              <w:divId w:val="1152411509"/>
              <w:rPr>
                <w:lang w:val="en-GB"/>
              </w:rPr>
            </w:pPr>
            <w:r w:rsidRPr="0036350D">
              <w:rPr>
                <w:b/>
                <w:bCs/>
                <w:lang w:val="en-GB"/>
              </w:rPr>
              <w:t>Reason</w:t>
            </w:r>
          </w:p>
        </w:tc>
      </w:tr>
      <w:tr w:rsidRPr="0036350D" w:rsidR="0090606C" w14:paraId="6C7B7DC2" w14:textId="77777777">
        <w:trPr>
          <w:trHeight w:val="300"/>
        </w:trPr>
        <w:tc>
          <w:tcPr>
            <w:tcW w:w="9057" w:type="dxa"/>
            <w:tcBorders>
              <w:top w:val="single" w:color="auto" w:sz="2" w:space="0"/>
              <w:left w:val="single" w:color="auto" w:sz="6" w:space="0"/>
              <w:bottom w:val="single" w:color="auto" w:sz="6" w:space="0"/>
              <w:right w:val="single" w:color="auto" w:sz="6" w:space="0"/>
            </w:tcBorders>
            <w:hideMark/>
          </w:tcPr>
          <w:p w:rsidRPr="0036350D" w:rsidR="0090606C" w:rsidRDefault="00601604" w14:paraId="5917433E" w14:textId="77777777">
            <w:pPr>
              <w:keepNext/>
              <w:keepLines/>
              <w:ind w:left="30" w:right="30"/>
              <w:rPr>
                <w:lang w:val="en-GB"/>
              </w:rPr>
            </w:pPr>
            <w:r w:rsidRPr="0036350D">
              <w:rPr>
                <w:lang w:val="en-GB"/>
              </w:rPr>
              <w:t>See points 2.11, 2.17 and 2.26.</w:t>
            </w:r>
          </w:p>
        </w:tc>
      </w:tr>
    </w:tbl>
    <w:p w:rsidRPr="0036350D" w:rsidR="0090606C" w:rsidRDefault="0090606C" w14:paraId="58946C51" w14:textId="27E36A57">
      <w:pPr>
        <w:pStyle w:val="Header"/>
        <w:rPr>
          <w:lang w:val="en-GB"/>
        </w:rPr>
      </w:pPr>
    </w:p>
    <w:p w:rsidRPr="0036350D" w:rsidR="00CD1734" w:rsidRDefault="00CD1734" w14:paraId="5A734E24" w14:textId="1489A04F">
      <w:pPr>
        <w:pStyle w:val="Header"/>
        <w:rPr>
          <w:lang w:val="en-GB"/>
        </w:rPr>
      </w:pPr>
    </w:p>
    <w:p w:rsidRPr="00FA5329" w:rsidR="00CD1734" w:rsidP="00CD1734" w:rsidRDefault="00CD1734" w14:paraId="34EFD7C4" w14:textId="183B82D7">
      <w:pPr>
        <w:rPr>
          <w:lang w:val="en-GB"/>
        </w:rPr>
      </w:pPr>
      <w:r w:rsidRPr="00FA5329">
        <w:rPr>
          <w:lang w:val="en-GB"/>
        </w:rPr>
        <w:t>Brussels, 14 November 2025.</w:t>
      </w:r>
    </w:p>
    <w:p w:rsidRPr="00FA5329" w:rsidR="00CD1734" w:rsidP="00CD1734" w:rsidRDefault="00CD1734" w14:paraId="70355B15" w14:textId="77777777">
      <w:pPr>
        <w:rPr>
          <w:lang w:val="en-GB"/>
        </w:rPr>
      </w:pPr>
    </w:p>
    <w:p w:rsidRPr="00FA5329" w:rsidR="00CD1734" w:rsidP="00CD1734" w:rsidRDefault="00CD1734" w14:paraId="49F42F83" w14:textId="77777777">
      <w:pPr>
        <w:rPr>
          <w:lang w:val="en-GB"/>
        </w:rPr>
      </w:pPr>
    </w:p>
    <w:p w:rsidRPr="00FA5329" w:rsidR="00CD1734" w:rsidP="00CD1734" w:rsidRDefault="00CD1734" w14:paraId="37CF8A3C" w14:textId="77777777">
      <w:pPr>
        <w:spacing w:line="286" w:lineRule="auto"/>
        <w:jc w:val="left"/>
        <w:rPr>
          <w:i/>
          <w:lang w:val="en-GB"/>
        </w:rPr>
      </w:pPr>
      <w:r w:rsidRPr="00FA5329">
        <w:rPr>
          <w:i/>
          <w:iCs/>
          <w:lang w:val="en-GB"/>
        </w:rPr>
        <w:t xml:space="preserve">The president of the Section </w:t>
      </w:r>
      <w:r w:rsidRPr="00FA5329">
        <w:rPr>
          <w:i/>
          <w:lang w:val="en-GB"/>
        </w:rPr>
        <w:t>for the Single Market, Production and Consumption</w:t>
      </w:r>
    </w:p>
    <w:p w:rsidRPr="00FA5329" w:rsidR="00CD1734" w:rsidP="00CD1734" w:rsidRDefault="00CD1734" w14:paraId="7ED7B962" w14:textId="5AF8BB03">
      <w:pPr>
        <w:pStyle w:val="Header"/>
        <w:rPr>
          <w:lang w:val="en-GB"/>
        </w:rPr>
      </w:pPr>
      <w:r w:rsidRPr="00FA5329">
        <w:rPr>
          <w:lang w:val="en-GB"/>
        </w:rPr>
        <w:t>Émilie PROUZET</w:t>
      </w:r>
    </w:p>
    <w:p w:rsidRPr="0036350D" w:rsidR="0090606C" w:rsidRDefault="00601604" w14:paraId="510C4E8B" w14:textId="77777777">
      <w:pPr>
        <w:jc w:val="center"/>
        <w:rPr>
          <w:lang w:val="en-GB"/>
        </w:rPr>
      </w:pPr>
      <w:r w:rsidRPr="0036350D">
        <w:rPr>
          <w:lang w:val="en-GB"/>
        </w:rPr>
        <w:t>_____________</w:t>
      </w:r>
    </w:p>
    <w:sectPr w:rsidRPr="0036350D" w:rsidR="0090606C" w:rsidSect="00432D8E">
      <w:headerReference w:type="even" r:id="rId25"/>
      <w:headerReference w:type="default" r:id="rId26"/>
      <w:footerReference w:type="even" r:id="rId27"/>
      <w:footerReference w:type="default" r:id="rId28"/>
      <w:headerReference w:type="first" r:id="rId29"/>
      <w:footerReference w:type="first" r:id="rId30"/>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606C" w:rsidRDefault="00601604" w14:paraId="6F843987" w14:textId="77777777">
      <w:r>
        <w:separator/>
      </w:r>
    </w:p>
  </w:endnote>
  <w:endnote w:type="continuationSeparator" w:id="0">
    <w:p w:rsidR="0090606C" w:rsidRDefault="00601604" w14:paraId="1671EDD9"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432D8E" w:rsidP="00432D8E" w:rsidRDefault="00432D8E" w14:paraId="16F8D2A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90606C" w:rsidP="00432D8E" w:rsidRDefault="00432D8E" w14:paraId="0A581D4F" w14:textId="69B4772E">
    <w:pPr>
      <w:pStyle w:val="Footer"/>
    </w:pPr>
    <w:r>
      <w:t xml:space="preserve">INT/1101 – EESC-2025-02576-00-01-AS-TRA (EN) </w:t>
    </w:r>
    <w:r>
      <w:fldChar w:fldCharType="begin"/>
    </w:r>
    <w:r>
      <w:instrText xml:space="preserve"> PAGE  \* Arabic  \* MERGEFORMAT </w:instrText>
    </w:r>
    <w:r>
      <w:fldChar w:fldCharType="separate"/>
    </w:r>
    <w:r w:rsidR="002B07F3">
      <w:rPr>
        <w:noProof/>
      </w:rPr>
      <w:t>1</w:t>
    </w:r>
    <w:r>
      <w:fldChar w:fldCharType="end"/>
    </w:r>
    <w:r>
      <w:t>/</w:t>
    </w:r>
    <w:r>
      <w:fldChar w:fldCharType="begin"/>
    </w:r>
    <w:r>
      <w:instrText xml:space="preserve"> NUMPAGES </w:instrText>
    </w:r>
    <w:r>
      <w:fldChar w:fldCharType="separate"/>
    </w:r>
    <w:r w:rsidR="002B07F3">
      <w:rPr>
        <w:noProof/>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432D8E" w:rsidP="00432D8E" w:rsidRDefault="00432D8E" w14:paraId="7208D0F3"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90606C" w:rsidP="00432D8E" w:rsidRDefault="0090606C" w14:paraId="53F9EFBA"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90606C" w:rsidP="00432D8E" w:rsidRDefault="00432D8E" w14:paraId="4932F3A5" w14:textId="0C16FB65">
    <w:pPr>
      <w:pStyle w:val="Footer"/>
    </w:pPr>
    <w:r>
      <w:t xml:space="preserve">INT/1101 – EESC-2025-02576-00-01-AS-TRA (EN) </w:t>
    </w:r>
    <w:r>
      <w:fldChar w:fldCharType="begin"/>
    </w:r>
    <w:r>
      <w:instrText xml:space="preserve"> PAGE  \* Arabic  \* MERGEFORMAT </w:instrText>
    </w:r>
    <w:r>
      <w:fldChar w:fldCharType="separate"/>
    </w:r>
    <w:r>
      <w:rPr>
        <w:noProof/>
      </w:rPr>
      <w:t>2</w:t>
    </w:r>
    <w:r>
      <w:fldChar w:fldCharType="end"/>
    </w:r>
    <w:r>
      <w:t>/</w:t>
    </w:r>
    <w:r>
      <w:fldChar w:fldCharType="begin"/>
    </w:r>
    <w:r>
      <w:instrText xml:space="preserve"> NUMPAGES </w:instrText>
    </w:r>
    <w:r>
      <w:fldChar w:fldCharType="separate"/>
    </w:r>
    <w:r>
      <w:rPr>
        <w:noProof/>
      </w:rPr>
      <w:t>12</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90606C" w:rsidP="00432D8E" w:rsidRDefault="0090606C" w14:paraId="0AD33167"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606C" w:rsidRDefault="00601604" w14:paraId="61EB2CA5" w14:textId="77777777">
      <w:r>
        <w:separator/>
      </w:r>
    </w:p>
  </w:footnote>
  <w:footnote w:type="continuationSeparator" w:id="0">
    <w:p w:rsidR="0090606C" w:rsidRDefault="00601604" w14:paraId="627C898A" w14:textId="77777777">
      <w:r>
        <w:continuationSeparator/>
      </w:r>
    </w:p>
  </w:footnote>
  <w:footnote w:id="1">
    <w:p w:rsidRPr="00FA5329" w:rsidR="006F7338" w:rsidRDefault="006F7338" w14:paraId="5D8D318F" w14:textId="1B31731C">
      <w:pPr>
        <w:pStyle w:val="FootnoteText"/>
        <w:rPr>
          <w:lang w:val="en-GB"/>
        </w:rPr>
      </w:pPr>
      <w:r>
        <w:rPr>
          <w:rStyle w:val="FootnoteReference"/>
        </w:rPr>
        <w:footnoteRef/>
      </w:r>
      <w:r>
        <w:t xml:space="preserve"> </w:t>
      </w:r>
      <w:r>
        <w:rPr>
          <w:lang w:val="en-GB"/>
        </w:rPr>
        <w:tab/>
      </w:r>
      <w:r w:rsidRPr="006F7338">
        <w:rPr>
          <w:lang w:val="en-GB"/>
        </w:rPr>
        <w:t>Principle 12 of the EESC Blue Deal Declaration (October 2023)</w:t>
      </w:r>
      <w:r>
        <w:rPr>
          <w:lang w:val="en-GB"/>
        </w:rPr>
        <w:t>.</w:t>
      </w:r>
    </w:p>
  </w:footnote>
  <w:footnote w:id="2">
    <w:p w:rsidR="0090606C" w:rsidRDefault="00601604" w14:paraId="3F42C207" w14:textId="45E837EF">
      <w:pPr>
        <w:pStyle w:val="FootnoteText"/>
      </w:pPr>
      <w:r>
        <w:rPr>
          <w:rStyle w:val="FootnoteReference"/>
        </w:rPr>
        <w:footnoteRef/>
      </w:r>
      <w:r>
        <w:tab/>
      </w:r>
      <w:hyperlink w:history="1" r:id="rId1">
        <w:r>
          <w:rPr>
            <w:rStyle w:val="Hyperlink"/>
          </w:rPr>
          <w:t>OJ C 486, 21.12.2022, p.1</w:t>
        </w:r>
      </w:hyperlink>
      <w:r>
        <w:t xml:space="preserve">, pt. 1.1, pt. 2.12; </w:t>
      </w:r>
      <w:hyperlink w:history="1" r:id="rId2">
        <w:r>
          <w:rPr>
            <w:rStyle w:val="Hyperlink"/>
          </w:rPr>
          <w:t>OJ C 194, 12.5.2022, p. 7</w:t>
        </w:r>
      </w:hyperlink>
      <w:r>
        <w:t xml:space="preserve">, pt. 4.5; </w:t>
      </w:r>
      <w:hyperlink w:history="1" r:id="rId3">
        <w:r>
          <w:rPr>
            <w:rStyle w:val="Hyperlink"/>
          </w:rPr>
          <w:t>OJ C 429, 11.12.2020, p. 210</w:t>
        </w:r>
      </w:hyperlink>
      <w:r>
        <w:t>, pt. 2.2; OJ C, C/2025/3189, 2.7.2025, ELI: </w:t>
      </w:r>
      <w:hyperlink w:tgtFrame="_blank" w:tooltip="Gives access to this document through its ELI URI." w:history="1" r:id="rId4">
        <w:r>
          <w:rPr>
            <w:rStyle w:val="Hyperlink"/>
          </w:rPr>
          <w:t>http://data.europa.eu/eli/C/2025/3189/oj</w:t>
        </w:r>
      </w:hyperlink>
      <w:r>
        <w:t>; OJ C, C/2025/4212, 20.8.2025, ELI:</w:t>
      </w:r>
      <w:r w:rsidR="0036350D">
        <w:t xml:space="preserve"> </w:t>
      </w:r>
      <w:hyperlink w:tgtFrame="_blank" w:tooltip="Gives access to this document through its ELI URI." w:history="1" r:id="rId5">
        <w:r>
          <w:rPr>
            <w:rStyle w:val="Hyperlink"/>
          </w:rPr>
          <w:t>http://data.europa.eu/eli/C/2025/4212/oj</w:t>
        </w:r>
      </w:hyperlink>
      <w:r>
        <w:t>, pt. 3.2.1.</w:t>
      </w:r>
    </w:p>
  </w:footnote>
  <w:footnote w:id="3">
    <w:p w:rsidR="0090606C" w:rsidRDefault="00601604" w14:paraId="7F1A5F2E" w14:textId="0693CF06">
      <w:pPr>
        <w:pStyle w:val="FootnoteText"/>
        <w:rPr>
          <w:szCs w:val="16"/>
          <w:highlight w:val="yellow"/>
        </w:rPr>
      </w:pPr>
      <w:r>
        <w:rPr>
          <w:rStyle w:val="FootnoteReference"/>
        </w:rPr>
        <w:footnoteRef/>
      </w:r>
      <w:r>
        <w:tab/>
      </w:r>
      <w:hyperlink w:history="1" r:id="rId6">
        <w:r>
          <w:rPr>
            <w:rStyle w:val="Hyperlink"/>
          </w:rPr>
          <w:t>INT/1094 ‘Single Market Strategy’</w:t>
        </w:r>
      </w:hyperlink>
      <w:r>
        <w:t xml:space="preserve"> (ongoing); </w:t>
      </w:r>
      <w:hyperlink w:history="1" r:id="rId7">
        <w:r>
          <w:t xml:space="preserve">EESC opinion on </w:t>
        </w:r>
        <w:r>
          <w:rPr>
            <w:rStyle w:val="Hyperlink"/>
          </w:rPr>
          <w:t>‘Strengthening enforcement of Single Market Rules: revision of current tools and framework</w:t>
        </w:r>
      </w:hyperlink>
      <w:r>
        <w:t>’ (not yet published in the Official Journal); OJ C, C/2025/2004, 30.4.2025, ELI: </w:t>
      </w:r>
      <w:hyperlink w:tgtFrame="_blank" w:tooltip="Gives access to this document through its ELI URI." w:history="1" r:id="rId8">
        <w:r>
          <w:rPr>
            <w:rStyle w:val="Hyperlink"/>
          </w:rPr>
          <w:t>http://data.europa.eu/eli/C/2025/2004/oj</w:t>
        </w:r>
      </w:hyperlink>
      <w:r>
        <w:t>.</w:t>
      </w:r>
    </w:p>
  </w:footnote>
  <w:footnote w:id="4">
    <w:p w:rsidR="0090606C" w:rsidRDefault="00601604" w14:paraId="31C26358" w14:textId="77777777">
      <w:pPr>
        <w:pStyle w:val="FootnoteText"/>
        <w:spacing w:after="0"/>
      </w:pPr>
      <w:r>
        <w:rPr>
          <w:rStyle w:val="FootnoteReference"/>
          <w:szCs w:val="24"/>
        </w:rPr>
        <w:footnoteRef/>
      </w:r>
      <w:r>
        <w:tab/>
        <w:t>For example, to pay for the commitments to buy LNG and chips from the US.</w:t>
      </w:r>
    </w:p>
  </w:footnote>
  <w:footnote w:id="5">
    <w:p w:rsidR="0090606C" w:rsidRDefault="00601604" w14:paraId="0969F5B9" w14:textId="26105276">
      <w:pPr>
        <w:pStyle w:val="FootnoteText"/>
        <w:spacing w:after="0"/>
      </w:pPr>
      <w:r>
        <w:rPr>
          <w:rStyle w:val="FootnoteReference"/>
        </w:rPr>
        <w:footnoteRef/>
      </w:r>
      <w:r>
        <w:t xml:space="preserve"> </w:t>
      </w:r>
      <w:r>
        <w:tab/>
      </w:r>
      <w:hyperlink w:history="1" r:id="rId9">
        <w:r>
          <w:rPr>
            <w:rStyle w:val="Hyperlink"/>
          </w:rPr>
          <w:t>https://commission.europa.eu/topics/budget/eu-budget-2028-2034-explained_en</w:t>
        </w:r>
      </w:hyperlink>
      <w:r>
        <w:t xml:space="preserve">, </w:t>
      </w:r>
      <w:hyperlink w:history="1" r:id="rId10">
        <w:r>
          <w:rPr>
            <w:rStyle w:val="Hyperlink"/>
          </w:rPr>
          <w:t>https://commission.europa.eu/publications/multiannual-financial-framework_en</w:t>
        </w:r>
      </w:hyperlink>
      <w:r>
        <w:t xml:space="preserve">. </w:t>
      </w:r>
    </w:p>
  </w:footnote>
  <w:footnote w:id="6">
    <w:p w:rsidRPr="00FA5329" w:rsidR="00D568A2" w:rsidRDefault="00D568A2" w14:paraId="02415A5F" w14:textId="61A1FF63">
      <w:pPr>
        <w:pStyle w:val="FootnoteText"/>
        <w:rPr>
          <w:iCs/>
          <w:lang w:val="en-GB"/>
        </w:rPr>
      </w:pPr>
      <w:r>
        <w:rPr>
          <w:rStyle w:val="FootnoteReference"/>
        </w:rPr>
        <w:footnoteRef/>
      </w:r>
      <w:r>
        <w:t xml:space="preserve"> </w:t>
      </w:r>
      <w:r>
        <w:tab/>
      </w:r>
      <w:r w:rsidRPr="00FA5329">
        <w:rPr>
          <w:iCs/>
        </w:rPr>
        <w:t>Actions 14 and 15 of the EESC Blue Deal Declaration (October 2023)</w:t>
      </w:r>
      <w:r>
        <w:rPr>
          <w:iCs/>
        </w:rPr>
        <w:t>.</w:t>
      </w:r>
    </w:p>
  </w:footnote>
  <w:footnote w:id="7">
    <w:p w:rsidR="0090606C" w:rsidRDefault="00601604" w14:paraId="41046A03" w14:textId="77777777">
      <w:pPr>
        <w:pStyle w:val="FootnoteText"/>
      </w:pPr>
      <w:r>
        <w:rPr>
          <w:rStyle w:val="FootnoteReference"/>
        </w:rPr>
        <w:footnoteRef/>
      </w:r>
      <w:r>
        <w:tab/>
        <w:t>COM(2025) 555 final – 2025/0555 (COD), recitals (70), (73) and (77).</w:t>
      </w:r>
    </w:p>
  </w:footnote>
  <w:footnote w:id="8">
    <w:p w:rsidR="0090606C" w:rsidRDefault="00601604" w14:paraId="6163CA95" w14:textId="77777777">
      <w:pPr>
        <w:pStyle w:val="FootnoteText"/>
      </w:pPr>
      <w:r>
        <w:rPr>
          <w:rStyle w:val="FootnoteReference"/>
        </w:rPr>
        <w:footnoteRef/>
      </w:r>
      <w:r>
        <w:tab/>
        <w:t>OJ C, C/2024/6874, 28.11.2024, ELI: </w:t>
      </w:r>
      <w:hyperlink w:tgtFrame="_blank" w:tooltip="Gives access to this document through its ELI URI." w:history="1" r:id="rId11">
        <w:r>
          <w:rPr>
            <w:rStyle w:val="Hyperlink"/>
          </w:rPr>
          <w:t>http://data.europa.eu/eli/C/2024/6874/oj</w:t>
        </w:r>
      </w:hyperlink>
      <w:r>
        <w:t xml:space="preserve">; </w:t>
      </w:r>
      <w:hyperlink w:tgtFrame="_blank" w:tooltip="(opens in a new window)" w:history="1" r:id="rId12">
        <w:r>
          <w:rPr>
            <w:rStyle w:val="Hyperlink"/>
          </w:rPr>
          <w:t>OJ C 62, 15.2.2019, p. 33</w:t>
        </w:r>
      </w:hyperlink>
      <w:r>
        <w:t xml:space="preserve">, </w:t>
      </w:r>
      <w:hyperlink w:tgtFrame="_blank" w:tooltip="(opens in a new window)" w:history="1" r:id="rId13">
        <w:r>
          <w:rPr>
            <w:rStyle w:val="Hyperlink"/>
          </w:rPr>
          <w:t>OJ C 34, 2.2.2017, p. 66</w:t>
        </w:r>
      </w:hyperlink>
      <w:r>
        <w:t>.</w:t>
      </w:r>
    </w:p>
  </w:footnote>
  <w:footnote w:id="9">
    <w:p w:rsidRPr="0093057B" w:rsidR="00A27CE3" w:rsidP="00A27CE3" w:rsidRDefault="00A27CE3" w14:paraId="316642A0" w14:textId="77777777">
      <w:pPr>
        <w:pStyle w:val="FootnoteText"/>
        <w:rPr>
          <w:lang w:val="en-GB"/>
        </w:rPr>
      </w:pPr>
      <w:r>
        <w:rPr>
          <w:rStyle w:val="FootnoteReference"/>
        </w:rPr>
        <w:footnoteRef/>
      </w:r>
      <w:r>
        <w:t xml:space="preserve"> </w:t>
      </w:r>
      <w:r>
        <w:rPr>
          <w:lang w:val="en-GB"/>
        </w:rPr>
        <w:tab/>
      </w:r>
      <w:r w:rsidRPr="0093057B">
        <w:rPr>
          <w:iCs/>
        </w:rPr>
        <w:t>Principle 12 of the EESC Blue Deal Declaration (October 2023) and Initiative for water resilience (September 2025)</w:t>
      </w:r>
      <w:r>
        <w:rPr>
          <w:iCs/>
        </w:rPr>
        <w:t>.</w:t>
      </w:r>
    </w:p>
  </w:footnote>
  <w:footnote w:id="10">
    <w:p w:rsidR="0090606C" w:rsidRDefault="00601604" w14:paraId="4C5F99A2" w14:textId="3A53E4C3">
      <w:pPr>
        <w:pStyle w:val="FootnoteText"/>
        <w:rPr>
          <w:lang w:val="pt-PT"/>
        </w:rPr>
      </w:pPr>
      <w:r>
        <w:rPr>
          <w:rStyle w:val="FootnoteReference"/>
        </w:rPr>
        <w:footnoteRef/>
      </w:r>
      <w:r>
        <w:rPr>
          <w:lang w:val="pt-PT"/>
        </w:rPr>
        <w:tab/>
      </w:r>
      <w:hyperlink w:history="1" r:id="rId14">
        <w:r w:rsidRPr="008B6745">
          <w:rPr>
            <w:rStyle w:val="Hyperlink"/>
            <w:lang w:val="pt-PT"/>
          </w:rPr>
          <w:t>COM(2025) 555 final – 2025/0555 (COD), recital (4)</w:t>
        </w:r>
      </w:hyperlink>
      <w:r>
        <w:rPr>
          <w:lang w:val="pt-PT"/>
        </w:rPr>
        <w:t>.</w:t>
      </w:r>
    </w:p>
  </w:footnote>
  <w:footnote w:id="11">
    <w:p w:rsidR="0090606C" w:rsidRDefault="00601604" w14:paraId="0A95BE16" w14:textId="6C4B56A6">
      <w:pPr>
        <w:pStyle w:val="FootnoteText"/>
        <w:rPr>
          <w:lang w:val="pt-PT"/>
        </w:rPr>
      </w:pPr>
      <w:r>
        <w:rPr>
          <w:rStyle w:val="FootnoteReference"/>
        </w:rPr>
        <w:footnoteRef/>
      </w:r>
      <w:r>
        <w:rPr>
          <w:lang w:val="pt-PT"/>
        </w:rPr>
        <w:tab/>
      </w:r>
      <w:hyperlink w:history="1" r:id="rId15">
        <w:r w:rsidR="00432D8E">
          <w:rPr>
            <w:rStyle w:val="Hyperlink"/>
          </w:rPr>
          <w:t>COM(2025) 555 final – 2025/0555 (COD), recital (5)</w:t>
        </w:r>
      </w:hyperlink>
      <w:r w:rsidRPr="00C14759" w:rsidR="00432D8E">
        <w:t>.</w:t>
      </w:r>
    </w:p>
  </w:footnote>
  <w:footnote w:id="12">
    <w:p w:rsidR="0090606C" w:rsidRDefault="00601604" w14:paraId="2DAA0A7D" w14:textId="457ECB63">
      <w:pPr>
        <w:pStyle w:val="FootnoteText"/>
        <w:rPr>
          <w:lang w:val="pt-PT"/>
        </w:rPr>
      </w:pPr>
      <w:r>
        <w:rPr>
          <w:rStyle w:val="FootnoteReference"/>
        </w:rPr>
        <w:footnoteRef/>
      </w:r>
      <w:r>
        <w:rPr>
          <w:lang w:val="pt-PT"/>
        </w:rPr>
        <w:tab/>
      </w:r>
      <w:hyperlink w:history="1" r:id="rId16">
        <w:r w:rsidR="00432D8E">
          <w:rPr>
            <w:rStyle w:val="Hyperlink"/>
            <w:lang w:val="pt-PT"/>
          </w:rPr>
          <w:t>COM(2025) 555 final – 2025/0555 (COD) recitals (78)–(82)</w:t>
        </w:r>
      </w:hyperlink>
      <w:r w:rsidRPr="00C14759" w:rsidR="00432D8E">
        <w:t>.</w:t>
      </w:r>
    </w:p>
  </w:footnote>
  <w:footnote w:id="13">
    <w:p w:rsidR="0090606C" w:rsidRDefault="00601604" w14:paraId="6F613599" w14:textId="3898FC9A">
      <w:pPr>
        <w:pStyle w:val="FootnoteText"/>
        <w:rPr>
          <w:lang w:val="pt-PT"/>
        </w:rPr>
      </w:pPr>
      <w:r>
        <w:rPr>
          <w:rStyle w:val="FootnoteReference"/>
        </w:rPr>
        <w:footnoteRef/>
      </w:r>
      <w:r>
        <w:rPr>
          <w:lang w:val="pt-PT"/>
        </w:rPr>
        <w:tab/>
      </w:r>
      <w:hyperlink w:history="1" r:id="rId17">
        <w:r>
          <w:rPr>
            <w:rStyle w:val="Hyperlink"/>
            <w:lang w:val="pt-PT"/>
          </w:rPr>
          <w:t>OJ C 486, 21.12.2022, p.1</w:t>
        </w:r>
      </w:hyperlink>
      <w:r>
        <w:rPr>
          <w:lang w:val="pt-PT"/>
        </w:rPr>
        <w:t xml:space="preserve">, pt. 1.1, pt. 2.12; </w:t>
      </w:r>
      <w:hyperlink w:history="1" r:id="rId18">
        <w:r>
          <w:rPr>
            <w:rStyle w:val="Hyperlink"/>
            <w:lang w:val="pt-PT"/>
          </w:rPr>
          <w:t>OJ C 194, 12.5.2022, p. 7</w:t>
        </w:r>
      </w:hyperlink>
      <w:r>
        <w:rPr>
          <w:lang w:val="pt-PT"/>
        </w:rPr>
        <w:t xml:space="preserve">, pt. 4.5; </w:t>
      </w:r>
      <w:hyperlink w:history="1" r:id="rId19">
        <w:r>
          <w:rPr>
            <w:rStyle w:val="Hyperlink"/>
            <w:lang w:val="pt-PT"/>
          </w:rPr>
          <w:t>OJ C 429, 11.12.2020, p. 210</w:t>
        </w:r>
      </w:hyperlink>
      <w:r>
        <w:rPr>
          <w:lang w:val="pt-PT"/>
        </w:rPr>
        <w:t>, pt. 2.2; OJ C, C/2025/4212, 20.8.2025, ELI: </w:t>
      </w:r>
      <w:hyperlink w:tgtFrame="_blank" w:tooltip="Gives access to this document through its ELI URI." w:history="1" r:id="rId20">
        <w:r>
          <w:rPr>
            <w:rStyle w:val="Hyperlink"/>
            <w:lang w:val="pt-PT"/>
          </w:rPr>
          <w:t>http://data.europa.eu/eli/C/2025/4212/oj</w:t>
        </w:r>
      </w:hyperlink>
      <w:r>
        <w:rPr>
          <w:lang w:val="pt-PT"/>
        </w:rPr>
        <w:t>, pt. 3.2.1.</w:t>
      </w:r>
    </w:p>
  </w:footnote>
  <w:footnote w:id="14">
    <w:p w:rsidR="0090606C" w:rsidRDefault="00601604" w14:paraId="7F5226C3" w14:textId="7F76B438">
      <w:pPr>
        <w:pStyle w:val="FootnoteText"/>
        <w:rPr>
          <w:lang w:val="pt-PT"/>
        </w:rPr>
      </w:pPr>
      <w:r>
        <w:rPr>
          <w:rStyle w:val="FootnoteReference"/>
        </w:rPr>
        <w:footnoteRef/>
      </w:r>
      <w:r>
        <w:rPr>
          <w:lang w:val="pt-PT"/>
        </w:rPr>
        <w:tab/>
      </w:r>
      <w:hyperlink w:history="1" r:id="rId21">
        <w:r w:rsidRPr="008B6745">
          <w:rPr>
            <w:rStyle w:val="Hyperlink"/>
            <w:lang w:val="pt-PT"/>
          </w:rPr>
          <w:t>COM(2025) 555 final – 2025/0555 (COD), recital (66)</w:t>
        </w:r>
      </w:hyperlink>
      <w:r>
        <w:rPr>
          <w:lang w:val="pt-PT"/>
        </w:rPr>
        <w:t>.</w:t>
      </w:r>
    </w:p>
  </w:footnote>
  <w:footnote w:id="15">
    <w:p w:rsidR="0090606C" w:rsidRDefault="00601604" w14:paraId="0DA61488" w14:textId="2AAA2D37">
      <w:pPr>
        <w:pStyle w:val="FootnoteText"/>
        <w:rPr>
          <w:lang w:val="pt-PT"/>
        </w:rPr>
      </w:pPr>
      <w:r>
        <w:rPr>
          <w:rStyle w:val="FootnoteReference"/>
        </w:rPr>
        <w:footnoteRef/>
      </w:r>
      <w:r>
        <w:rPr>
          <w:lang w:val="pt-PT"/>
        </w:rPr>
        <w:tab/>
      </w:r>
      <w:hyperlink w:history="1" r:id="rId22">
        <w:r w:rsidR="00432D8E">
          <w:rPr>
            <w:rStyle w:val="Hyperlink"/>
            <w:lang w:val="pt-PT"/>
          </w:rPr>
          <w:t>COM(2025) 555 final – 2025/0555 (COD), recital (62)</w:t>
        </w:r>
      </w:hyperlink>
      <w:r w:rsidRPr="00C14759" w:rsidR="00432D8E">
        <w:t>.</w:t>
      </w:r>
    </w:p>
  </w:footnote>
  <w:footnote w:id="16">
    <w:p w:rsidR="0090606C" w:rsidRDefault="00601604" w14:paraId="376E6B77" w14:textId="5D955937">
      <w:pPr>
        <w:pStyle w:val="FootnoteText"/>
        <w:rPr>
          <w:lang w:val="pt-PT"/>
        </w:rPr>
      </w:pPr>
      <w:r>
        <w:rPr>
          <w:rStyle w:val="FootnoteReference"/>
        </w:rPr>
        <w:footnoteRef/>
      </w:r>
      <w:r>
        <w:rPr>
          <w:lang w:val="pt-PT"/>
        </w:rPr>
        <w:tab/>
      </w:r>
      <w:hyperlink w:history="1" r:id="rId23">
        <w:r w:rsidRPr="008B6745">
          <w:rPr>
            <w:rStyle w:val="Hyperlink"/>
            <w:lang w:val="pt-PT"/>
          </w:rPr>
          <w:t>COM(2025) 555 final – 2025/0555 (COD), recital (63)</w:t>
        </w:r>
      </w:hyperlink>
      <w:r w:rsidRPr="00C14759">
        <w:t>.</w:t>
      </w:r>
    </w:p>
  </w:footnote>
  <w:footnote w:id="17">
    <w:p w:rsidR="0090606C" w:rsidRDefault="00601604" w14:paraId="221D87B4" w14:textId="77876208">
      <w:pPr>
        <w:pStyle w:val="FootnoteText"/>
        <w:rPr>
          <w:lang w:val="pt-PT"/>
        </w:rPr>
      </w:pPr>
      <w:r>
        <w:rPr>
          <w:rStyle w:val="FootnoteReference"/>
        </w:rPr>
        <w:footnoteRef/>
      </w:r>
      <w:r>
        <w:rPr>
          <w:lang w:val="pt-PT"/>
        </w:rPr>
        <w:tab/>
      </w:r>
      <w:hyperlink w:history="1" r:id="rId24">
        <w:r w:rsidR="00432D8E">
          <w:rPr>
            <w:rStyle w:val="Hyperlink"/>
            <w:lang w:val="pt-PT"/>
          </w:rPr>
          <w:t>COM(2025) 555 final – 2025/0555 (COD), recital (64)</w:t>
        </w:r>
      </w:hyperlink>
      <w:r w:rsidRPr="00C14759" w:rsidR="00432D8E">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432D8E" w:rsidP="00432D8E" w:rsidRDefault="00432D8E" w14:paraId="41B0CED2"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432D8E" w:rsidP="00432D8E" w:rsidRDefault="00432D8E" w14:paraId="590EF063" w14:textId="2CDDF8E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432D8E" w:rsidP="00432D8E" w:rsidRDefault="00432D8E" w14:paraId="0B541E21"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90606C" w:rsidP="00432D8E" w:rsidRDefault="0090606C" w14:paraId="67733E1F" w14:textId="7777777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90606C" w:rsidP="00432D8E" w:rsidRDefault="0090606C" w14:paraId="1DA95887" w14:textId="3BF8C1C3">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432D8E" w:rsidR="0090606C" w:rsidP="00432D8E" w:rsidRDefault="0090606C" w14:paraId="6FEB323D"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991E7CCC"/>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val="0"/>
      </w:rPr>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00C239EF"/>
    <w:multiLevelType w:val="multilevel"/>
    <w:tmpl w:val="9462F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A05380"/>
    <w:multiLevelType w:val="hybridMultilevel"/>
    <w:tmpl w:val="0578441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AC080C"/>
    <w:multiLevelType w:val="hybridMultilevel"/>
    <w:tmpl w:val="B652DA40"/>
    <w:lvl w:ilvl="0" w:tplc="080C0017">
      <w:start w:val="1"/>
      <w:numFmt w:val="lowerLetter"/>
      <w:lvlText w:val="%1)"/>
      <w:lvlJc w:val="left"/>
      <w:pPr>
        <w:ind w:left="360" w:hanging="360"/>
      </w:p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5" w15:restartNumberingAfterBreak="0">
    <w:nsid w:val="3BAE4401"/>
    <w:multiLevelType w:val="hybridMultilevel"/>
    <w:tmpl w:val="3A5065D0"/>
    <w:lvl w:ilvl="0" w:tplc="52620F36">
      <w:start w:val="1"/>
      <w:numFmt w:val="lowerLetter"/>
      <w:lvlText w:val="%1)"/>
      <w:lvlJc w:val="left"/>
      <w:pPr>
        <w:ind w:left="720" w:hanging="360"/>
      </w:pPr>
      <w:rPr>
        <w:b w:val="0"/>
        <w:bCs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8BE5558"/>
    <w:multiLevelType w:val="hybridMultilevel"/>
    <w:tmpl w:val="3E28E2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7981E46"/>
    <w:multiLevelType w:val="hybridMultilevel"/>
    <w:tmpl w:val="01BAA456"/>
    <w:lvl w:ilvl="0" w:tplc="F75C0ABC">
      <w:start w:val="1"/>
      <w:numFmt w:val="lowerLetter"/>
      <w:lvlText w:val="%1)"/>
      <w:lvlJc w:val="left"/>
      <w:pPr>
        <w:ind w:left="360" w:hanging="360"/>
      </w:pPr>
      <w:rPr>
        <w:color w:val="auto"/>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0" w15:restartNumberingAfterBreak="0">
    <w:nsid w:val="6A8F3A17"/>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703B6A5A"/>
    <w:multiLevelType w:val="hybridMultilevel"/>
    <w:tmpl w:val="B9626BE4"/>
    <w:lvl w:ilvl="0" w:tplc="201C4710">
      <w:start w:val="4"/>
      <w:numFmt w:val="bullet"/>
      <w:lvlText w:val="-"/>
      <w:lvlJc w:val="left"/>
      <w:pPr>
        <w:ind w:left="480" w:hanging="360"/>
      </w:pPr>
      <w:rPr>
        <w:rFonts w:ascii="Times New Roman" w:eastAsia="Times New Roman" w:hAnsi="Times New Roman" w:cs="Times New Roman" w:hint="default"/>
      </w:rPr>
    </w:lvl>
    <w:lvl w:ilvl="1" w:tplc="04020003">
      <w:start w:val="1"/>
      <w:numFmt w:val="bullet"/>
      <w:lvlText w:val="o"/>
      <w:lvlJc w:val="left"/>
      <w:pPr>
        <w:ind w:left="1200" w:hanging="360"/>
      </w:pPr>
      <w:rPr>
        <w:rFonts w:ascii="Courier New" w:hAnsi="Courier New" w:cs="Courier New" w:hint="default"/>
      </w:rPr>
    </w:lvl>
    <w:lvl w:ilvl="2" w:tplc="04020005">
      <w:start w:val="1"/>
      <w:numFmt w:val="bullet"/>
      <w:lvlText w:val=""/>
      <w:lvlJc w:val="left"/>
      <w:pPr>
        <w:ind w:left="1920" w:hanging="360"/>
      </w:pPr>
      <w:rPr>
        <w:rFonts w:ascii="Wingdings" w:hAnsi="Wingdings" w:hint="default"/>
      </w:rPr>
    </w:lvl>
    <w:lvl w:ilvl="3" w:tplc="04020001">
      <w:start w:val="1"/>
      <w:numFmt w:val="bullet"/>
      <w:lvlText w:val=""/>
      <w:lvlJc w:val="left"/>
      <w:pPr>
        <w:ind w:left="2640" w:hanging="360"/>
      </w:pPr>
      <w:rPr>
        <w:rFonts w:ascii="Symbol" w:hAnsi="Symbol" w:hint="default"/>
      </w:rPr>
    </w:lvl>
    <w:lvl w:ilvl="4" w:tplc="04020003">
      <w:start w:val="1"/>
      <w:numFmt w:val="bullet"/>
      <w:lvlText w:val="o"/>
      <w:lvlJc w:val="left"/>
      <w:pPr>
        <w:ind w:left="3360" w:hanging="360"/>
      </w:pPr>
      <w:rPr>
        <w:rFonts w:ascii="Courier New" w:hAnsi="Courier New" w:cs="Courier New" w:hint="default"/>
      </w:rPr>
    </w:lvl>
    <w:lvl w:ilvl="5" w:tplc="04020005">
      <w:start w:val="1"/>
      <w:numFmt w:val="bullet"/>
      <w:lvlText w:val=""/>
      <w:lvlJc w:val="left"/>
      <w:pPr>
        <w:ind w:left="4080" w:hanging="360"/>
      </w:pPr>
      <w:rPr>
        <w:rFonts w:ascii="Wingdings" w:hAnsi="Wingdings" w:hint="default"/>
      </w:rPr>
    </w:lvl>
    <w:lvl w:ilvl="6" w:tplc="04020001">
      <w:start w:val="1"/>
      <w:numFmt w:val="bullet"/>
      <w:lvlText w:val=""/>
      <w:lvlJc w:val="left"/>
      <w:pPr>
        <w:ind w:left="4800" w:hanging="360"/>
      </w:pPr>
      <w:rPr>
        <w:rFonts w:ascii="Symbol" w:hAnsi="Symbol" w:hint="default"/>
      </w:rPr>
    </w:lvl>
    <w:lvl w:ilvl="7" w:tplc="04020003">
      <w:start w:val="1"/>
      <w:numFmt w:val="bullet"/>
      <w:lvlText w:val="o"/>
      <w:lvlJc w:val="left"/>
      <w:pPr>
        <w:ind w:left="5520" w:hanging="360"/>
      </w:pPr>
      <w:rPr>
        <w:rFonts w:ascii="Courier New" w:hAnsi="Courier New" w:cs="Courier New" w:hint="default"/>
      </w:rPr>
    </w:lvl>
    <w:lvl w:ilvl="8" w:tplc="04020005">
      <w:start w:val="1"/>
      <w:numFmt w:val="bullet"/>
      <w:lvlText w:val=""/>
      <w:lvlJc w:val="left"/>
      <w:pPr>
        <w:ind w:left="6240" w:hanging="360"/>
      </w:pPr>
      <w:rPr>
        <w:rFonts w:ascii="Wingdings" w:hAnsi="Wingdings" w:hint="default"/>
      </w:rPr>
    </w:lvl>
  </w:abstractNum>
  <w:abstractNum w:abstractNumId="12" w15:restartNumberingAfterBreak="0">
    <w:nsid w:val="740C5072"/>
    <w:multiLevelType w:val="hybridMultilevel"/>
    <w:tmpl w:val="F22ACF22"/>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13" w15:restartNumberingAfterBreak="0">
    <w:nsid w:val="78B47322"/>
    <w:multiLevelType w:val="hybridMultilevel"/>
    <w:tmpl w:val="3C3C1E20"/>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7E281574"/>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8"/>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3"/>
  </w:num>
  <w:num w:numId="6">
    <w:abstractNumId w:val="1"/>
  </w:num>
  <w:num w:numId="7">
    <w:abstractNumId w:val="5"/>
  </w:num>
  <w:num w:numId="8">
    <w:abstractNumId w:val="10"/>
  </w:num>
  <w:num w:numId="9">
    <w:abstractNumId w:val="14"/>
  </w:num>
  <w:num w:numId="10">
    <w:abstractNumId w:val="13"/>
  </w:num>
  <w:num w:numId="11">
    <w:abstractNumId w:val="2"/>
  </w:num>
  <w:num w:numId="12">
    <w:abstractNumId w:val="9"/>
  </w:num>
  <w:num w:numId="13">
    <w:abstractNumId w:val="4"/>
  </w:num>
  <w:num w:numId="14">
    <w:abstractNumId w:val="1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4"/>
    </w:lvlOverride>
    <w:lvlOverride w:ilvl="1">
      <w:startOverride w:val="2"/>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2"/>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0"/>
    <w:lvlOverride w:ilvl="0">
      <w:startOverride w:val="3"/>
    </w:lvlOverride>
  </w:num>
  <w:num w:numId="22">
    <w:abstractNumId w:val="0"/>
    <w:lvlOverride w:ilvl="0">
      <w:startOverride w:val="3"/>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F8F"/>
    <w:rsid w:val="000000C1"/>
    <w:rsid w:val="00000571"/>
    <w:rsid w:val="00000D0F"/>
    <w:rsid w:val="00001642"/>
    <w:rsid w:val="0000235E"/>
    <w:rsid w:val="00002741"/>
    <w:rsid w:val="00002B9F"/>
    <w:rsid w:val="00002FA7"/>
    <w:rsid w:val="00003646"/>
    <w:rsid w:val="00003A2F"/>
    <w:rsid w:val="00003F4C"/>
    <w:rsid w:val="00004050"/>
    <w:rsid w:val="00004188"/>
    <w:rsid w:val="00004856"/>
    <w:rsid w:val="00005AB9"/>
    <w:rsid w:val="00005EB9"/>
    <w:rsid w:val="00006217"/>
    <w:rsid w:val="00006912"/>
    <w:rsid w:val="00006BAD"/>
    <w:rsid w:val="00006E24"/>
    <w:rsid w:val="00007062"/>
    <w:rsid w:val="00007302"/>
    <w:rsid w:val="0000736E"/>
    <w:rsid w:val="00007560"/>
    <w:rsid w:val="000075E1"/>
    <w:rsid w:val="0000763E"/>
    <w:rsid w:val="00007A40"/>
    <w:rsid w:val="00011DA2"/>
    <w:rsid w:val="00012627"/>
    <w:rsid w:val="000128CD"/>
    <w:rsid w:val="00013F77"/>
    <w:rsid w:val="0001417B"/>
    <w:rsid w:val="0001472D"/>
    <w:rsid w:val="00015EA8"/>
    <w:rsid w:val="00016211"/>
    <w:rsid w:val="00016E22"/>
    <w:rsid w:val="00017391"/>
    <w:rsid w:val="00017B45"/>
    <w:rsid w:val="00020138"/>
    <w:rsid w:val="00020E6E"/>
    <w:rsid w:val="00022182"/>
    <w:rsid w:val="0002229F"/>
    <w:rsid w:val="000229C4"/>
    <w:rsid w:val="000229CD"/>
    <w:rsid w:val="00022A73"/>
    <w:rsid w:val="000242C4"/>
    <w:rsid w:val="00024685"/>
    <w:rsid w:val="00024D96"/>
    <w:rsid w:val="000255B3"/>
    <w:rsid w:val="00025D0E"/>
    <w:rsid w:val="00026608"/>
    <w:rsid w:val="000266E1"/>
    <w:rsid w:val="00026A08"/>
    <w:rsid w:val="00030973"/>
    <w:rsid w:val="00030E19"/>
    <w:rsid w:val="00030E72"/>
    <w:rsid w:val="00030F6C"/>
    <w:rsid w:val="000318A2"/>
    <w:rsid w:val="00031A4B"/>
    <w:rsid w:val="00031BFB"/>
    <w:rsid w:val="00032A1E"/>
    <w:rsid w:val="00032B76"/>
    <w:rsid w:val="000338E9"/>
    <w:rsid w:val="00033913"/>
    <w:rsid w:val="00033AFC"/>
    <w:rsid w:val="00033B4B"/>
    <w:rsid w:val="00033DB4"/>
    <w:rsid w:val="00033E5B"/>
    <w:rsid w:val="0003525D"/>
    <w:rsid w:val="000357A8"/>
    <w:rsid w:val="00035894"/>
    <w:rsid w:val="000377E7"/>
    <w:rsid w:val="00041305"/>
    <w:rsid w:val="000430A6"/>
    <w:rsid w:val="00044576"/>
    <w:rsid w:val="000446AF"/>
    <w:rsid w:val="00044923"/>
    <w:rsid w:val="000449C7"/>
    <w:rsid w:val="000458A4"/>
    <w:rsid w:val="00046BEA"/>
    <w:rsid w:val="00046E60"/>
    <w:rsid w:val="00046FAB"/>
    <w:rsid w:val="0005249C"/>
    <w:rsid w:val="00052551"/>
    <w:rsid w:val="000534A5"/>
    <w:rsid w:val="0005398E"/>
    <w:rsid w:val="0005435D"/>
    <w:rsid w:val="00054415"/>
    <w:rsid w:val="00054D94"/>
    <w:rsid w:val="00055094"/>
    <w:rsid w:val="000552FC"/>
    <w:rsid w:val="0005592F"/>
    <w:rsid w:val="00055A39"/>
    <w:rsid w:val="0005680D"/>
    <w:rsid w:val="00056DF4"/>
    <w:rsid w:val="00057433"/>
    <w:rsid w:val="0006012D"/>
    <w:rsid w:val="000608E4"/>
    <w:rsid w:val="00060B3D"/>
    <w:rsid w:val="00060EC5"/>
    <w:rsid w:val="00061FBF"/>
    <w:rsid w:val="000624E2"/>
    <w:rsid w:val="00062940"/>
    <w:rsid w:val="00062AD8"/>
    <w:rsid w:val="00062C52"/>
    <w:rsid w:val="00063389"/>
    <w:rsid w:val="00063763"/>
    <w:rsid w:val="0006385B"/>
    <w:rsid w:val="00063FB4"/>
    <w:rsid w:val="0006416A"/>
    <w:rsid w:val="000643AE"/>
    <w:rsid w:val="00064AA5"/>
    <w:rsid w:val="00065656"/>
    <w:rsid w:val="0006674E"/>
    <w:rsid w:val="000668AF"/>
    <w:rsid w:val="0006793E"/>
    <w:rsid w:val="00067A9B"/>
    <w:rsid w:val="00067C03"/>
    <w:rsid w:val="00072CC6"/>
    <w:rsid w:val="00072E0F"/>
    <w:rsid w:val="00073124"/>
    <w:rsid w:val="000735E5"/>
    <w:rsid w:val="0007392F"/>
    <w:rsid w:val="00074960"/>
    <w:rsid w:val="00075538"/>
    <w:rsid w:val="000769FB"/>
    <w:rsid w:val="00076F2D"/>
    <w:rsid w:val="00077E7C"/>
    <w:rsid w:val="00080042"/>
    <w:rsid w:val="00080F33"/>
    <w:rsid w:val="0008166C"/>
    <w:rsid w:val="00081D29"/>
    <w:rsid w:val="00082D59"/>
    <w:rsid w:val="00083005"/>
    <w:rsid w:val="0008339D"/>
    <w:rsid w:val="0008380C"/>
    <w:rsid w:val="00083CB5"/>
    <w:rsid w:val="00083CB8"/>
    <w:rsid w:val="000853C3"/>
    <w:rsid w:val="000854F1"/>
    <w:rsid w:val="000855B7"/>
    <w:rsid w:val="00085FA8"/>
    <w:rsid w:val="0008717F"/>
    <w:rsid w:val="000876F0"/>
    <w:rsid w:val="00087B39"/>
    <w:rsid w:val="00091DB5"/>
    <w:rsid w:val="00092A52"/>
    <w:rsid w:val="00092C9E"/>
    <w:rsid w:val="00093DCE"/>
    <w:rsid w:val="00093DE0"/>
    <w:rsid w:val="00094226"/>
    <w:rsid w:val="000943A9"/>
    <w:rsid w:val="0009484C"/>
    <w:rsid w:val="000948A2"/>
    <w:rsid w:val="00094ACC"/>
    <w:rsid w:val="00095279"/>
    <w:rsid w:val="00095701"/>
    <w:rsid w:val="0009643C"/>
    <w:rsid w:val="00096502"/>
    <w:rsid w:val="00096A64"/>
    <w:rsid w:val="00097E3F"/>
    <w:rsid w:val="000A08A7"/>
    <w:rsid w:val="000A0F76"/>
    <w:rsid w:val="000A23E3"/>
    <w:rsid w:val="000A3061"/>
    <w:rsid w:val="000A36B3"/>
    <w:rsid w:val="000A4385"/>
    <w:rsid w:val="000A49BB"/>
    <w:rsid w:val="000A54A5"/>
    <w:rsid w:val="000A5670"/>
    <w:rsid w:val="000A5829"/>
    <w:rsid w:val="000A5D7F"/>
    <w:rsid w:val="000A5E1D"/>
    <w:rsid w:val="000A621F"/>
    <w:rsid w:val="000A6251"/>
    <w:rsid w:val="000A64AE"/>
    <w:rsid w:val="000A7851"/>
    <w:rsid w:val="000A7B61"/>
    <w:rsid w:val="000B0CC8"/>
    <w:rsid w:val="000B106A"/>
    <w:rsid w:val="000B1073"/>
    <w:rsid w:val="000B24D9"/>
    <w:rsid w:val="000B349A"/>
    <w:rsid w:val="000B4774"/>
    <w:rsid w:val="000B5226"/>
    <w:rsid w:val="000B5C3F"/>
    <w:rsid w:val="000B5CF0"/>
    <w:rsid w:val="000B5F7B"/>
    <w:rsid w:val="000B67C2"/>
    <w:rsid w:val="000B68FA"/>
    <w:rsid w:val="000B6BA4"/>
    <w:rsid w:val="000B7369"/>
    <w:rsid w:val="000B7390"/>
    <w:rsid w:val="000B7545"/>
    <w:rsid w:val="000B77C8"/>
    <w:rsid w:val="000B79A7"/>
    <w:rsid w:val="000B7D06"/>
    <w:rsid w:val="000C095C"/>
    <w:rsid w:val="000C1524"/>
    <w:rsid w:val="000C3129"/>
    <w:rsid w:val="000C3441"/>
    <w:rsid w:val="000C3BEF"/>
    <w:rsid w:val="000C3C13"/>
    <w:rsid w:val="000C4328"/>
    <w:rsid w:val="000C4C09"/>
    <w:rsid w:val="000C5127"/>
    <w:rsid w:val="000C536A"/>
    <w:rsid w:val="000C54B1"/>
    <w:rsid w:val="000C5DA0"/>
    <w:rsid w:val="000C6B0C"/>
    <w:rsid w:val="000C6FED"/>
    <w:rsid w:val="000C70D6"/>
    <w:rsid w:val="000C7582"/>
    <w:rsid w:val="000C761B"/>
    <w:rsid w:val="000C7AFF"/>
    <w:rsid w:val="000C7BBE"/>
    <w:rsid w:val="000C7C5F"/>
    <w:rsid w:val="000C7E8E"/>
    <w:rsid w:val="000C7F53"/>
    <w:rsid w:val="000D01FF"/>
    <w:rsid w:val="000D0527"/>
    <w:rsid w:val="000D0A25"/>
    <w:rsid w:val="000D18A9"/>
    <w:rsid w:val="000D1A43"/>
    <w:rsid w:val="000D2215"/>
    <w:rsid w:val="000D2F8E"/>
    <w:rsid w:val="000D35B8"/>
    <w:rsid w:val="000D3BB3"/>
    <w:rsid w:val="000D3DA9"/>
    <w:rsid w:val="000D4E00"/>
    <w:rsid w:val="000D5881"/>
    <w:rsid w:val="000D6892"/>
    <w:rsid w:val="000D6CBA"/>
    <w:rsid w:val="000E03F7"/>
    <w:rsid w:val="000E09C2"/>
    <w:rsid w:val="000E235C"/>
    <w:rsid w:val="000E3187"/>
    <w:rsid w:val="000E3D1B"/>
    <w:rsid w:val="000E423D"/>
    <w:rsid w:val="000E514C"/>
    <w:rsid w:val="000E556D"/>
    <w:rsid w:val="000E5A1C"/>
    <w:rsid w:val="000E6DD2"/>
    <w:rsid w:val="000E7397"/>
    <w:rsid w:val="000E7564"/>
    <w:rsid w:val="000F099E"/>
    <w:rsid w:val="000F124B"/>
    <w:rsid w:val="000F1827"/>
    <w:rsid w:val="000F196B"/>
    <w:rsid w:val="000F1BF2"/>
    <w:rsid w:val="000F242E"/>
    <w:rsid w:val="000F251D"/>
    <w:rsid w:val="000F2898"/>
    <w:rsid w:val="000F2CBF"/>
    <w:rsid w:val="000F41C2"/>
    <w:rsid w:val="000F4B92"/>
    <w:rsid w:val="000F5DD2"/>
    <w:rsid w:val="000F72D2"/>
    <w:rsid w:val="00101352"/>
    <w:rsid w:val="0010241C"/>
    <w:rsid w:val="0010281D"/>
    <w:rsid w:val="00102D37"/>
    <w:rsid w:val="00103FE1"/>
    <w:rsid w:val="001041DC"/>
    <w:rsid w:val="001046B7"/>
    <w:rsid w:val="001050A0"/>
    <w:rsid w:val="00105361"/>
    <w:rsid w:val="001061CB"/>
    <w:rsid w:val="001064F3"/>
    <w:rsid w:val="00106D43"/>
    <w:rsid w:val="00106E23"/>
    <w:rsid w:val="00107235"/>
    <w:rsid w:val="00107982"/>
    <w:rsid w:val="001101F8"/>
    <w:rsid w:val="00111136"/>
    <w:rsid w:val="00111330"/>
    <w:rsid w:val="001116BD"/>
    <w:rsid w:val="00111995"/>
    <w:rsid w:val="00111A0D"/>
    <w:rsid w:val="0011206F"/>
    <w:rsid w:val="0011240F"/>
    <w:rsid w:val="00112DDB"/>
    <w:rsid w:val="00113A9A"/>
    <w:rsid w:val="00113F77"/>
    <w:rsid w:val="0011498A"/>
    <w:rsid w:val="0011538E"/>
    <w:rsid w:val="00115815"/>
    <w:rsid w:val="001164F5"/>
    <w:rsid w:val="0011656A"/>
    <w:rsid w:val="00117AB2"/>
    <w:rsid w:val="001208A1"/>
    <w:rsid w:val="00120987"/>
    <w:rsid w:val="00120C8B"/>
    <w:rsid w:val="00120E2F"/>
    <w:rsid w:val="00120E55"/>
    <w:rsid w:val="0012220C"/>
    <w:rsid w:val="00122327"/>
    <w:rsid w:val="00125835"/>
    <w:rsid w:val="00126630"/>
    <w:rsid w:val="00126BEB"/>
    <w:rsid w:val="00126C54"/>
    <w:rsid w:val="0012704E"/>
    <w:rsid w:val="00127387"/>
    <w:rsid w:val="00127493"/>
    <w:rsid w:val="00130928"/>
    <w:rsid w:val="00130983"/>
    <w:rsid w:val="00130BEC"/>
    <w:rsid w:val="00130DB0"/>
    <w:rsid w:val="00131982"/>
    <w:rsid w:val="00131F18"/>
    <w:rsid w:val="00131F37"/>
    <w:rsid w:val="0013362B"/>
    <w:rsid w:val="00133635"/>
    <w:rsid w:val="00133D9F"/>
    <w:rsid w:val="0013447C"/>
    <w:rsid w:val="00134583"/>
    <w:rsid w:val="00134E8C"/>
    <w:rsid w:val="001352EB"/>
    <w:rsid w:val="0013549B"/>
    <w:rsid w:val="00136531"/>
    <w:rsid w:val="00136A0D"/>
    <w:rsid w:val="00136EA3"/>
    <w:rsid w:val="00137575"/>
    <w:rsid w:val="00137808"/>
    <w:rsid w:val="00137CE2"/>
    <w:rsid w:val="00140323"/>
    <w:rsid w:val="0014036C"/>
    <w:rsid w:val="00140503"/>
    <w:rsid w:val="00140917"/>
    <w:rsid w:val="00141500"/>
    <w:rsid w:val="00141B3D"/>
    <w:rsid w:val="00142120"/>
    <w:rsid w:val="0014346D"/>
    <w:rsid w:val="00144231"/>
    <w:rsid w:val="001444BA"/>
    <w:rsid w:val="0014479F"/>
    <w:rsid w:val="001447DB"/>
    <w:rsid w:val="00144D19"/>
    <w:rsid w:val="00144DB0"/>
    <w:rsid w:val="00145470"/>
    <w:rsid w:val="00145838"/>
    <w:rsid w:val="0014636D"/>
    <w:rsid w:val="0014781D"/>
    <w:rsid w:val="00147BCA"/>
    <w:rsid w:val="00150434"/>
    <w:rsid w:val="0015084F"/>
    <w:rsid w:val="00151AAF"/>
    <w:rsid w:val="00152187"/>
    <w:rsid w:val="0015344E"/>
    <w:rsid w:val="001549A1"/>
    <w:rsid w:val="00154A79"/>
    <w:rsid w:val="001554E5"/>
    <w:rsid w:val="00155721"/>
    <w:rsid w:val="00155729"/>
    <w:rsid w:val="00155755"/>
    <w:rsid w:val="00156115"/>
    <w:rsid w:val="001579E5"/>
    <w:rsid w:val="00157E2B"/>
    <w:rsid w:val="001607A6"/>
    <w:rsid w:val="00160801"/>
    <w:rsid w:val="00161C0F"/>
    <w:rsid w:val="00163AFD"/>
    <w:rsid w:val="00163ED0"/>
    <w:rsid w:val="00164320"/>
    <w:rsid w:val="0016503F"/>
    <w:rsid w:val="00165131"/>
    <w:rsid w:val="0016674F"/>
    <w:rsid w:val="0016697C"/>
    <w:rsid w:val="00166B91"/>
    <w:rsid w:val="00167CA0"/>
    <w:rsid w:val="00170418"/>
    <w:rsid w:val="00170DF1"/>
    <w:rsid w:val="00171019"/>
    <w:rsid w:val="0017120D"/>
    <w:rsid w:val="001714F6"/>
    <w:rsid w:val="0017263F"/>
    <w:rsid w:val="00172A93"/>
    <w:rsid w:val="00175260"/>
    <w:rsid w:val="0017536B"/>
    <w:rsid w:val="00175823"/>
    <w:rsid w:val="0017597F"/>
    <w:rsid w:val="00175CD1"/>
    <w:rsid w:val="00175E26"/>
    <w:rsid w:val="00176168"/>
    <w:rsid w:val="0017650C"/>
    <w:rsid w:val="00176564"/>
    <w:rsid w:val="001766E3"/>
    <w:rsid w:val="00176CC6"/>
    <w:rsid w:val="00177028"/>
    <w:rsid w:val="00177158"/>
    <w:rsid w:val="00177B47"/>
    <w:rsid w:val="00181C57"/>
    <w:rsid w:val="0018206C"/>
    <w:rsid w:val="00182A2A"/>
    <w:rsid w:val="00182ECA"/>
    <w:rsid w:val="001831DB"/>
    <w:rsid w:val="00183E8C"/>
    <w:rsid w:val="0018421F"/>
    <w:rsid w:val="001843DE"/>
    <w:rsid w:val="00184FD4"/>
    <w:rsid w:val="00185DA5"/>
    <w:rsid w:val="0018609B"/>
    <w:rsid w:val="00186B04"/>
    <w:rsid w:val="00186F1E"/>
    <w:rsid w:val="00187DD3"/>
    <w:rsid w:val="001902FB"/>
    <w:rsid w:val="00190836"/>
    <w:rsid w:val="00190B4F"/>
    <w:rsid w:val="00190DD1"/>
    <w:rsid w:val="001916A1"/>
    <w:rsid w:val="001918EC"/>
    <w:rsid w:val="00191E06"/>
    <w:rsid w:val="00191F29"/>
    <w:rsid w:val="0019344F"/>
    <w:rsid w:val="00193460"/>
    <w:rsid w:val="0019354A"/>
    <w:rsid w:val="00193832"/>
    <w:rsid w:val="00193930"/>
    <w:rsid w:val="001944E9"/>
    <w:rsid w:val="00194B36"/>
    <w:rsid w:val="00194F66"/>
    <w:rsid w:val="001963A5"/>
    <w:rsid w:val="00196F1E"/>
    <w:rsid w:val="00196FBA"/>
    <w:rsid w:val="00197CFF"/>
    <w:rsid w:val="00197FCA"/>
    <w:rsid w:val="001A0211"/>
    <w:rsid w:val="001A08E3"/>
    <w:rsid w:val="001A0C9B"/>
    <w:rsid w:val="001A0FA8"/>
    <w:rsid w:val="001A1869"/>
    <w:rsid w:val="001A1C55"/>
    <w:rsid w:val="001A1FC3"/>
    <w:rsid w:val="001A24CB"/>
    <w:rsid w:val="001A27DB"/>
    <w:rsid w:val="001A529D"/>
    <w:rsid w:val="001A6852"/>
    <w:rsid w:val="001A6D93"/>
    <w:rsid w:val="001A7AB7"/>
    <w:rsid w:val="001B02A8"/>
    <w:rsid w:val="001B054B"/>
    <w:rsid w:val="001B19C6"/>
    <w:rsid w:val="001B2609"/>
    <w:rsid w:val="001B286A"/>
    <w:rsid w:val="001B2BA6"/>
    <w:rsid w:val="001B2D02"/>
    <w:rsid w:val="001B300F"/>
    <w:rsid w:val="001B3647"/>
    <w:rsid w:val="001B3A1F"/>
    <w:rsid w:val="001B3F2A"/>
    <w:rsid w:val="001B4DE7"/>
    <w:rsid w:val="001B659A"/>
    <w:rsid w:val="001B72FF"/>
    <w:rsid w:val="001B7708"/>
    <w:rsid w:val="001B77FA"/>
    <w:rsid w:val="001B79BE"/>
    <w:rsid w:val="001B7E07"/>
    <w:rsid w:val="001C0ABE"/>
    <w:rsid w:val="001C0B62"/>
    <w:rsid w:val="001C0D92"/>
    <w:rsid w:val="001C19F4"/>
    <w:rsid w:val="001C1CEB"/>
    <w:rsid w:val="001C1FFC"/>
    <w:rsid w:val="001C20B0"/>
    <w:rsid w:val="001C264C"/>
    <w:rsid w:val="001C2981"/>
    <w:rsid w:val="001C38B5"/>
    <w:rsid w:val="001C3BFA"/>
    <w:rsid w:val="001C4250"/>
    <w:rsid w:val="001C4A77"/>
    <w:rsid w:val="001C4AA3"/>
    <w:rsid w:val="001C4D9E"/>
    <w:rsid w:val="001C50F1"/>
    <w:rsid w:val="001C510A"/>
    <w:rsid w:val="001C5852"/>
    <w:rsid w:val="001C6856"/>
    <w:rsid w:val="001C69A5"/>
    <w:rsid w:val="001C7B6D"/>
    <w:rsid w:val="001D040A"/>
    <w:rsid w:val="001D0B67"/>
    <w:rsid w:val="001D19EB"/>
    <w:rsid w:val="001D201F"/>
    <w:rsid w:val="001D236F"/>
    <w:rsid w:val="001D3C4F"/>
    <w:rsid w:val="001D4556"/>
    <w:rsid w:val="001D45F0"/>
    <w:rsid w:val="001D4B77"/>
    <w:rsid w:val="001D5219"/>
    <w:rsid w:val="001D549B"/>
    <w:rsid w:val="001D6D46"/>
    <w:rsid w:val="001D6F62"/>
    <w:rsid w:val="001E05F9"/>
    <w:rsid w:val="001E0E7C"/>
    <w:rsid w:val="001E1335"/>
    <w:rsid w:val="001E1D16"/>
    <w:rsid w:val="001E227F"/>
    <w:rsid w:val="001E2610"/>
    <w:rsid w:val="001E4A33"/>
    <w:rsid w:val="001E5C27"/>
    <w:rsid w:val="001E6CAF"/>
    <w:rsid w:val="001E7117"/>
    <w:rsid w:val="001E789A"/>
    <w:rsid w:val="001F0B56"/>
    <w:rsid w:val="001F0EEB"/>
    <w:rsid w:val="001F110E"/>
    <w:rsid w:val="001F223A"/>
    <w:rsid w:val="001F2A2F"/>
    <w:rsid w:val="001F2BEB"/>
    <w:rsid w:val="001F371A"/>
    <w:rsid w:val="001F3853"/>
    <w:rsid w:val="001F5A94"/>
    <w:rsid w:val="001F602B"/>
    <w:rsid w:val="001F6AC8"/>
    <w:rsid w:val="001F7712"/>
    <w:rsid w:val="001F78DF"/>
    <w:rsid w:val="001F7A4D"/>
    <w:rsid w:val="001F7F4B"/>
    <w:rsid w:val="001F7F4C"/>
    <w:rsid w:val="00200540"/>
    <w:rsid w:val="0020057B"/>
    <w:rsid w:val="00200E75"/>
    <w:rsid w:val="002014DE"/>
    <w:rsid w:val="0020189B"/>
    <w:rsid w:val="002023F8"/>
    <w:rsid w:val="002024A8"/>
    <w:rsid w:val="002024E9"/>
    <w:rsid w:val="0020269F"/>
    <w:rsid w:val="002031DC"/>
    <w:rsid w:val="002031F9"/>
    <w:rsid w:val="00203741"/>
    <w:rsid w:val="002037D5"/>
    <w:rsid w:val="00203CCF"/>
    <w:rsid w:val="00204DD2"/>
    <w:rsid w:val="00204F81"/>
    <w:rsid w:val="002050E1"/>
    <w:rsid w:val="00205BC8"/>
    <w:rsid w:val="00205FB0"/>
    <w:rsid w:val="00206F90"/>
    <w:rsid w:val="00207500"/>
    <w:rsid w:val="00207B24"/>
    <w:rsid w:val="0021000D"/>
    <w:rsid w:val="002110FD"/>
    <w:rsid w:val="002115E5"/>
    <w:rsid w:val="00211D67"/>
    <w:rsid w:val="00212B03"/>
    <w:rsid w:val="002134AD"/>
    <w:rsid w:val="002142B8"/>
    <w:rsid w:val="00214394"/>
    <w:rsid w:val="00214410"/>
    <w:rsid w:val="00214BE4"/>
    <w:rsid w:val="00215828"/>
    <w:rsid w:val="002158CA"/>
    <w:rsid w:val="00215B56"/>
    <w:rsid w:val="00215C10"/>
    <w:rsid w:val="00215C2D"/>
    <w:rsid w:val="0021619E"/>
    <w:rsid w:val="00216B49"/>
    <w:rsid w:val="00216DC7"/>
    <w:rsid w:val="00217576"/>
    <w:rsid w:val="00217AD9"/>
    <w:rsid w:val="00217FA8"/>
    <w:rsid w:val="00220713"/>
    <w:rsid w:val="00220815"/>
    <w:rsid w:val="00220F59"/>
    <w:rsid w:val="002211D0"/>
    <w:rsid w:val="00221A06"/>
    <w:rsid w:val="00221A66"/>
    <w:rsid w:val="00222EC1"/>
    <w:rsid w:val="0022388F"/>
    <w:rsid w:val="0022399E"/>
    <w:rsid w:val="00224AF6"/>
    <w:rsid w:val="002252C4"/>
    <w:rsid w:val="0022541A"/>
    <w:rsid w:val="00226221"/>
    <w:rsid w:val="002267D2"/>
    <w:rsid w:val="00226A7C"/>
    <w:rsid w:val="00227E09"/>
    <w:rsid w:val="002313CF"/>
    <w:rsid w:val="0023140A"/>
    <w:rsid w:val="0023183A"/>
    <w:rsid w:val="0023183E"/>
    <w:rsid w:val="00232B04"/>
    <w:rsid w:val="00232F88"/>
    <w:rsid w:val="002330FC"/>
    <w:rsid w:val="00233227"/>
    <w:rsid w:val="0023377C"/>
    <w:rsid w:val="00233860"/>
    <w:rsid w:val="00233BB3"/>
    <w:rsid w:val="002340B7"/>
    <w:rsid w:val="00234A23"/>
    <w:rsid w:val="00235138"/>
    <w:rsid w:val="002356DD"/>
    <w:rsid w:val="00236BDA"/>
    <w:rsid w:val="00237E1D"/>
    <w:rsid w:val="0024002E"/>
    <w:rsid w:val="00241116"/>
    <w:rsid w:val="002411EE"/>
    <w:rsid w:val="002434ED"/>
    <w:rsid w:val="00243CF0"/>
    <w:rsid w:val="00243E36"/>
    <w:rsid w:val="00244393"/>
    <w:rsid w:val="0024540B"/>
    <w:rsid w:val="00245EF4"/>
    <w:rsid w:val="00245F43"/>
    <w:rsid w:val="002469D3"/>
    <w:rsid w:val="00246B00"/>
    <w:rsid w:val="00247AB0"/>
    <w:rsid w:val="00250E11"/>
    <w:rsid w:val="00250F3F"/>
    <w:rsid w:val="00251383"/>
    <w:rsid w:val="00251568"/>
    <w:rsid w:val="00251754"/>
    <w:rsid w:val="002522C9"/>
    <w:rsid w:val="00252A21"/>
    <w:rsid w:val="00253E4F"/>
    <w:rsid w:val="002542E4"/>
    <w:rsid w:val="0025540F"/>
    <w:rsid w:val="00256502"/>
    <w:rsid w:val="00256B6E"/>
    <w:rsid w:val="00257469"/>
    <w:rsid w:val="00257E7F"/>
    <w:rsid w:val="002602E5"/>
    <w:rsid w:val="00261053"/>
    <w:rsid w:val="002619A4"/>
    <w:rsid w:val="00261D79"/>
    <w:rsid w:val="0026220E"/>
    <w:rsid w:val="00262416"/>
    <w:rsid w:val="002624E5"/>
    <w:rsid w:val="00262FDE"/>
    <w:rsid w:val="00263629"/>
    <w:rsid w:val="00263E94"/>
    <w:rsid w:val="00263F28"/>
    <w:rsid w:val="002641D0"/>
    <w:rsid w:val="00265151"/>
    <w:rsid w:val="002663DC"/>
    <w:rsid w:val="00266A3B"/>
    <w:rsid w:val="0026785C"/>
    <w:rsid w:val="0027010A"/>
    <w:rsid w:val="002715EE"/>
    <w:rsid w:val="00272583"/>
    <w:rsid w:val="00273005"/>
    <w:rsid w:val="002733E5"/>
    <w:rsid w:val="00274649"/>
    <w:rsid w:val="0027499E"/>
    <w:rsid w:val="0027540A"/>
    <w:rsid w:val="00275E25"/>
    <w:rsid w:val="002764E0"/>
    <w:rsid w:val="00276930"/>
    <w:rsid w:val="002769BD"/>
    <w:rsid w:val="0028009F"/>
    <w:rsid w:val="00280912"/>
    <w:rsid w:val="002809EA"/>
    <w:rsid w:val="00280BE8"/>
    <w:rsid w:val="00280D5C"/>
    <w:rsid w:val="00280ED8"/>
    <w:rsid w:val="002812B8"/>
    <w:rsid w:val="00282B61"/>
    <w:rsid w:val="00283DCE"/>
    <w:rsid w:val="002845B9"/>
    <w:rsid w:val="002846C2"/>
    <w:rsid w:val="00284962"/>
    <w:rsid w:val="00284C67"/>
    <w:rsid w:val="00285CE0"/>
    <w:rsid w:val="00286280"/>
    <w:rsid w:val="00286318"/>
    <w:rsid w:val="00286CAE"/>
    <w:rsid w:val="00287414"/>
    <w:rsid w:val="002874BC"/>
    <w:rsid w:val="00287B0E"/>
    <w:rsid w:val="002901A7"/>
    <w:rsid w:val="00290D7E"/>
    <w:rsid w:val="002915C8"/>
    <w:rsid w:val="00293914"/>
    <w:rsid w:val="00293C9D"/>
    <w:rsid w:val="00293E1F"/>
    <w:rsid w:val="00295327"/>
    <w:rsid w:val="0029549C"/>
    <w:rsid w:val="002954B9"/>
    <w:rsid w:val="00295E76"/>
    <w:rsid w:val="00296554"/>
    <w:rsid w:val="00296829"/>
    <w:rsid w:val="002977EC"/>
    <w:rsid w:val="002A07A1"/>
    <w:rsid w:val="002A0B53"/>
    <w:rsid w:val="002A0EEF"/>
    <w:rsid w:val="002A173F"/>
    <w:rsid w:val="002A266B"/>
    <w:rsid w:val="002A28C9"/>
    <w:rsid w:val="002A2A7F"/>
    <w:rsid w:val="002A351C"/>
    <w:rsid w:val="002A478B"/>
    <w:rsid w:val="002A62C7"/>
    <w:rsid w:val="002A6949"/>
    <w:rsid w:val="002A6A34"/>
    <w:rsid w:val="002B07F3"/>
    <w:rsid w:val="002B1A65"/>
    <w:rsid w:val="002B1D88"/>
    <w:rsid w:val="002B2300"/>
    <w:rsid w:val="002B2316"/>
    <w:rsid w:val="002B2DF7"/>
    <w:rsid w:val="002B325E"/>
    <w:rsid w:val="002B33FF"/>
    <w:rsid w:val="002B3A28"/>
    <w:rsid w:val="002B3F78"/>
    <w:rsid w:val="002B4037"/>
    <w:rsid w:val="002B48D5"/>
    <w:rsid w:val="002B4CD2"/>
    <w:rsid w:val="002B5128"/>
    <w:rsid w:val="002B51C5"/>
    <w:rsid w:val="002B7200"/>
    <w:rsid w:val="002B7889"/>
    <w:rsid w:val="002B7B60"/>
    <w:rsid w:val="002B7D95"/>
    <w:rsid w:val="002C01B5"/>
    <w:rsid w:val="002C0CBD"/>
    <w:rsid w:val="002C0E0E"/>
    <w:rsid w:val="002C1D46"/>
    <w:rsid w:val="002C2111"/>
    <w:rsid w:val="002C2A0D"/>
    <w:rsid w:val="002C31A8"/>
    <w:rsid w:val="002C3BF4"/>
    <w:rsid w:val="002C4653"/>
    <w:rsid w:val="002C4ACC"/>
    <w:rsid w:val="002C5D23"/>
    <w:rsid w:val="002C6A6C"/>
    <w:rsid w:val="002C6CE6"/>
    <w:rsid w:val="002C6E45"/>
    <w:rsid w:val="002C6E9D"/>
    <w:rsid w:val="002C73DB"/>
    <w:rsid w:val="002C749F"/>
    <w:rsid w:val="002D006F"/>
    <w:rsid w:val="002D06D2"/>
    <w:rsid w:val="002D0983"/>
    <w:rsid w:val="002D185A"/>
    <w:rsid w:val="002D1F11"/>
    <w:rsid w:val="002D2288"/>
    <w:rsid w:val="002D2636"/>
    <w:rsid w:val="002D2E51"/>
    <w:rsid w:val="002D37B0"/>
    <w:rsid w:val="002D43AD"/>
    <w:rsid w:val="002D51E5"/>
    <w:rsid w:val="002D5AE6"/>
    <w:rsid w:val="002D60B4"/>
    <w:rsid w:val="002D7444"/>
    <w:rsid w:val="002D7FB6"/>
    <w:rsid w:val="002E1BC5"/>
    <w:rsid w:val="002E42C7"/>
    <w:rsid w:val="002E49B6"/>
    <w:rsid w:val="002E5AE1"/>
    <w:rsid w:val="002E5D57"/>
    <w:rsid w:val="002E6137"/>
    <w:rsid w:val="002E61A3"/>
    <w:rsid w:val="002E76B6"/>
    <w:rsid w:val="002E7A58"/>
    <w:rsid w:val="002E7A78"/>
    <w:rsid w:val="002F059B"/>
    <w:rsid w:val="002F12D7"/>
    <w:rsid w:val="002F13B7"/>
    <w:rsid w:val="002F1561"/>
    <w:rsid w:val="002F24B2"/>
    <w:rsid w:val="002F25A5"/>
    <w:rsid w:val="002F2ED5"/>
    <w:rsid w:val="002F3442"/>
    <w:rsid w:val="002F3A74"/>
    <w:rsid w:val="002F41CD"/>
    <w:rsid w:val="002F546A"/>
    <w:rsid w:val="002F5494"/>
    <w:rsid w:val="002F56C1"/>
    <w:rsid w:val="002F5B0B"/>
    <w:rsid w:val="002F5B13"/>
    <w:rsid w:val="002F6AC3"/>
    <w:rsid w:val="002F74BD"/>
    <w:rsid w:val="00300924"/>
    <w:rsid w:val="00300C1C"/>
    <w:rsid w:val="00300EA6"/>
    <w:rsid w:val="00303979"/>
    <w:rsid w:val="00304D46"/>
    <w:rsid w:val="00305777"/>
    <w:rsid w:val="0030596E"/>
    <w:rsid w:val="00305E7F"/>
    <w:rsid w:val="00305E96"/>
    <w:rsid w:val="003060D9"/>
    <w:rsid w:val="00306A57"/>
    <w:rsid w:val="003073AB"/>
    <w:rsid w:val="003073C3"/>
    <w:rsid w:val="003074AB"/>
    <w:rsid w:val="00307D89"/>
    <w:rsid w:val="00307F10"/>
    <w:rsid w:val="00310428"/>
    <w:rsid w:val="003106D7"/>
    <w:rsid w:val="0031071A"/>
    <w:rsid w:val="003107E1"/>
    <w:rsid w:val="00310992"/>
    <w:rsid w:val="00310B5D"/>
    <w:rsid w:val="00310B89"/>
    <w:rsid w:val="003114D3"/>
    <w:rsid w:val="00311759"/>
    <w:rsid w:val="00311946"/>
    <w:rsid w:val="003119B6"/>
    <w:rsid w:val="003127B4"/>
    <w:rsid w:val="00313941"/>
    <w:rsid w:val="00313A46"/>
    <w:rsid w:val="0031538C"/>
    <w:rsid w:val="00315539"/>
    <w:rsid w:val="0031582A"/>
    <w:rsid w:val="00316937"/>
    <w:rsid w:val="00316A35"/>
    <w:rsid w:val="00316F90"/>
    <w:rsid w:val="00317579"/>
    <w:rsid w:val="003178FB"/>
    <w:rsid w:val="00320A08"/>
    <w:rsid w:val="00320CA2"/>
    <w:rsid w:val="00320CAA"/>
    <w:rsid w:val="0032120A"/>
    <w:rsid w:val="00321C7C"/>
    <w:rsid w:val="00322963"/>
    <w:rsid w:val="00322DF3"/>
    <w:rsid w:val="00323637"/>
    <w:rsid w:val="00323C0E"/>
    <w:rsid w:val="00323FBB"/>
    <w:rsid w:val="00324666"/>
    <w:rsid w:val="00324E8A"/>
    <w:rsid w:val="00324EC9"/>
    <w:rsid w:val="00325E35"/>
    <w:rsid w:val="00326D1B"/>
    <w:rsid w:val="00326EA1"/>
    <w:rsid w:val="00327D26"/>
    <w:rsid w:val="00327DBC"/>
    <w:rsid w:val="0033024E"/>
    <w:rsid w:val="00331786"/>
    <w:rsid w:val="00331D87"/>
    <w:rsid w:val="00332095"/>
    <w:rsid w:val="0033246B"/>
    <w:rsid w:val="00332850"/>
    <w:rsid w:val="00332B80"/>
    <w:rsid w:val="00332D02"/>
    <w:rsid w:val="00332DEB"/>
    <w:rsid w:val="00334478"/>
    <w:rsid w:val="003346B4"/>
    <w:rsid w:val="00334AE6"/>
    <w:rsid w:val="00335107"/>
    <w:rsid w:val="00335249"/>
    <w:rsid w:val="00335BF4"/>
    <w:rsid w:val="00335F85"/>
    <w:rsid w:val="00335FCB"/>
    <w:rsid w:val="003360FA"/>
    <w:rsid w:val="003365D0"/>
    <w:rsid w:val="00336CCE"/>
    <w:rsid w:val="00337D54"/>
    <w:rsid w:val="00340558"/>
    <w:rsid w:val="00340E89"/>
    <w:rsid w:val="0034110C"/>
    <w:rsid w:val="00341CC6"/>
    <w:rsid w:val="00342FA4"/>
    <w:rsid w:val="003431AD"/>
    <w:rsid w:val="003439AB"/>
    <w:rsid w:val="00344195"/>
    <w:rsid w:val="00344667"/>
    <w:rsid w:val="00344C38"/>
    <w:rsid w:val="0034525B"/>
    <w:rsid w:val="003453E4"/>
    <w:rsid w:val="003458AD"/>
    <w:rsid w:val="00345916"/>
    <w:rsid w:val="00345A97"/>
    <w:rsid w:val="00346150"/>
    <w:rsid w:val="00346FFA"/>
    <w:rsid w:val="00350719"/>
    <w:rsid w:val="00351ABA"/>
    <w:rsid w:val="0035236E"/>
    <w:rsid w:val="003528F2"/>
    <w:rsid w:val="003536F7"/>
    <w:rsid w:val="00353B87"/>
    <w:rsid w:val="00353CB8"/>
    <w:rsid w:val="00354695"/>
    <w:rsid w:val="0035549B"/>
    <w:rsid w:val="00355563"/>
    <w:rsid w:val="00356B87"/>
    <w:rsid w:val="00356F62"/>
    <w:rsid w:val="00357CB3"/>
    <w:rsid w:val="003609F6"/>
    <w:rsid w:val="00360F0B"/>
    <w:rsid w:val="0036100C"/>
    <w:rsid w:val="00361882"/>
    <w:rsid w:val="00361CBE"/>
    <w:rsid w:val="0036350D"/>
    <w:rsid w:val="003635EA"/>
    <w:rsid w:val="003635EC"/>
    <w:rsid w:val="00363D47"/>
    <w:rsid w:val="0036429F"/>
    <w:rsid w:val="003645AD"/>
    <w:rsid w:val="003649EF"/>
    <w:rsid w:val="00365078"/>
    <w:rsid w:val="00365E7D"/>
    <w:rsid w:val="003665BC"/>
    <w:rsid w:val="00366C43"/>
    <w:rsid w:val="00367D8B"/>
    <w:rsid w:val="00367FD9"/>
    <w:rsid w:val="00371419"/>
    <w:rsid w:val="0037225F"/>
    <w:rsid w:val="00373E8F"/>
    <w:rsid w:val="00374B59"/>
    <w:rsid w:val="00374CA0"/>
    <w:rsid w:val="003755C8"/>
    <w:rsid w:val="00375687"/>
    <w:rsid w:val="003757C4"/>
    <w:rsid w:val="003759FC"/>
    <w:rsid w:val="00375C20"/>
    <w:rsid w:val="00375F6B"/>
    <w:rsid w:val="00376316"/>
    <w:rsid w:val="00377EAE"/>
    <w:rsid w:val="00380A75"/>
    <w:rsid w:val="00380AE0"/>
    <w:rsid w:val="00381078"/>
    <w:rsid w:val="00381DBD"/>
    <w:rsid w:val="00382C8A"/>
    <w:rsid w:val="00383324"/>
    <w:rsid w:val="00383465"/>
    <w:rsid w:val="00383967"/>
    <w:rsid w:val="00384FD5"/>
    <w:rsid w:val="00385B6A"/>
    <w:rsid w:val="00385CA8"/>
    <w:rsid w:val="00387357"/>
    <w:rsid w:val="00387527"/>
    <w:rsid w:val="00387A75"/>
    <w:rsid w:val="00387FB2"/>
    <w:rsid w:val="003904DC"/>
    <w:rsid w:val="003904FD"/>
    <w:rsid w:val="00390545"/>
    <w:rsid w:val="003906A8"/>
    <w:rsid w:val="00390F34"/>
    <w:rsid w:val="003914DB"/>
    <w:rsid w:val="00391694"/>
    <w:rsid w:val="003916DE"/>
    <w:rsid w:val="00391BFC"/>
    <w:rsid w:val="00391F83"/>
    <w:rsid w:val="003920AB"/>
    <w:rsid w:val="003923AF"/>
    <w:rsid w:val="0039246C"/>
    <w:rsid w:val="00393863"/>
    <w:rsid w:val="00394125"/>
    <w:rsid w:val="00394254"/>
    <w:rsid w:val="0039465F"/>
    <w:rsid w:val="00394B73"/>
    <w:rsid w:val="003976DE"/>
    <w:rsid w:val="00397B4F"/>
    <w:rsid w:val="003A0394"/>
    <w:rsid w:val="003A04BA"/>
    <w:rsid w:val="003A0B80"/>
    <w:rsid w:val="003A247D"/>
    <w:rsid w:val="003A2A3C"/>
    <w:rsid w:val="003A3172"/>
    <w:rsid w:val="003A326E"/>
    <w:rsid w:val="003A3B17"/>
    <w:rsid w:val="003A4B66"/>
    <w:rsid w:val="003A5098"/>
    <w:rsid w:val="003A5147"/>
    <w:rsid w:val="003A5331"/>
    <w:rsid w:val="003A5971"/>
    <w:rsid w:val="003A641F"/>
    <w:rsid w:val="003A65B9"/>
    <w:rsid w:val="003A71B0"/>
    <w:rsid w:val="003B0143"/>
    <w:rsid w:val="003B1B24"/>
    <w:rsid w:val="003B30BA"/>
    <w:rsid w:val="003B312F"/>
    <w:rsid w:val="003B46BA"/>
    <w:rsid w:val="003B4C3C"/>
    <w:rsid w:val="003C039B"/>
    <w:rsid w:val="003C05FA"/>
    <w:rsid w:val="003C08F8"/>
    <w:rsid w:val="003C14E0"/>
    <w:rsid w:val="003C1669"/>
    <w:rsid w:val="003C18A0"/>
    <w:rsid w:val="003C1902"/>
    <w:rsid w:val="003C1EF6"/>
    <w:rsid w:val="003C204A"/>
    <w:rsid w:val="003C2BFB"/>
    <w:rsid w:val="003C3440"/>
    <w:rsid w:val="003C3BA9"/>
    <w:rsid w:val="003C3CF9"/>
    <w:rsid w:val="003C3E2D"/>
    <w:rsid w:val="003C3FD6"/>
    <w:rsid w:val="003C436B"/>
    <w:rsid w:val="003C4D7A"/>
    <w:rsid w:val="003C4F20"/>
    <w:rsid w:val="003C5109"/>
    <w:rsid w:val="003C5337"/>
    <w:rsid w:val="003C5EEF"/>
    <w:rsid w:val="003C5F92"/>
    <w:rsid w:val="003C67D3"/>
    <w:rsid w:val="003C6CED"/>
    <w:rsid w:val="003C770D"/>
    <w:rsid w:val="003C7B5F"/>
    <w:rsid w:val="003C7BBE"/>
    <w:rsid w:val="003C7FD8"/>
    <w:rsid w:val="003D0EAB"/>
    <w:rsid w:val="003D0EAE"/>
    <w:rsid w:val="003D0F03"/>
    <w:rsid w:val="003D279E"/>
    <w:rsid w:val="003D2FD6"/>
    <w:rsid w:val="003D329F"/>
    <w:rsid w:val="003D37EE"/>
    <w:rsid w:val="003D3DFC"/>
    <w:rsid w:val="003D4C7B"/>
    <w:rsid w:val="003D6F2E"/>
    <w:rsid w:val="003D7771"/>
    <w:rsid w:val="003D794D"/>
    <w:rsid w:val="003D7A8C"/>
    <w:rsid w:val="003D7C00"/>
    <w:rsid w:val="003D7E27"/>
    <w:rsid w:val="003E0EB4"/>
    <w:rsid w:val="003E1662"/>
    <w:rsid w:val="003E3071"/>
    <w:rsid w:val="003E3078"/>
    <w:rsid w:val="003E38C6"/>
    <w:rsid w:val="003E423D"/>
    <w:rsid w:val="003E4D48"/>
    <w:rsid w:val="003E56E5"/>
    <w:rsid w:val="003E5BAE"/>
    <w:rsid w:val="003E6BA5"/>
    <w:rsid w:val="003E7051"/>
    <w:rsid w:val="003E7237"/>
    <w:rsid w:val="003E74FE"/>
    <w:rsid w:val="003E7E60"/>
    <w:rsid w:val="003F00D4"/>
    <w:rsid w:val="003F00E8"/>
    <w:rsid w:val="003F0171"/>
    <w:rsid w:val="003F01E9"/>
    <w:rsid w:val="003F0592"/>
    <w:rsid w:val="003F08BB"/>
    <w:rsid w:val="003F0DDC"/>
    <w:rsid w:val="003F2209"/>
    <w:rsid w:val="003F28DB"/>
    <w:rsid w:val="003F2C3F"/>
    <w:rsid w:val="003F381E"/>
    <w:rsid w:val="003F3D39"/>
    <w:rsid w:val="003F3F1B"/>
    <w:rsid w:val="003F500E"/>
    <w:rsid w:val="003F5337"/>
    <w:rsid w:val="003F5621"/>
    <w:rsid w:val="003F646A"/>
    <w:rsid w:val="003F6761"/>
    <w:rsid w:val="003F6A0A"/>
    <w:rsid w:val="003F6A36"/>
    <w:rsid w:val="003F7ECD"/>
    <w:rsid w:val="00400D8D"/>
    <w:rsid w:val="00400FEE"/>
    <w:rsid w:val="00401032"/>
    <w:rsid w:val="00401C1B"/>
    <w:rsid w:val="004020EA"/>
    <w:rsid w:val="00402156"/>
    <w:rsid w:val="004024F5"/>
    <w:rsid w:val="00402D79"/>
    <w:rsid w:val="00402DE1"/>
    <w:rsid w:val="0040369D"/>
    <w:rsid w:val="004038D8"/>
    <w:rsid w:val="00403D8B"/>
    <w:rsid w:val="00403DDD"/>
    <w:rsid w:val="0040582C"/>
    <w:rsid w:val="004058F1"/>
    <w:rsid w:val="00405F00"/>
    <w:rsid w:val="00407E7D"/>
    <w:rsid w:val="00410214"/>
    <w:rsid w:val="0041040B"/>
    <w:rsid w:val="0041076A"/>
    <w:rsid w:val="0041283D"/>
    <w:rsid w:val="004130B9"/>
    <w:rsid w:val="00413899"/>
    <w:rsid w:val="00413AB4"/>
    <w:rsid w:val="00413DAB"/>
    <w:rsid w:val="00415EBC"/>
    <w:rsid w:val="00417182"/>
    <w:rsid w:val="00417467"/>
    <w:rsid w:val="00417468"/>
    <w:rsid w:val="0042037B"/>
    <w:rsid w:val="00420597"/>
    <w:rsid w:val="00420814"/>
    <w:rsid w:val="00421373"/>
    <w:rsid w:val="00421AE6"/>
    <w:rsid w:val="00421FB7"/>
    <w:rsid w:val="004220C3"/>
    <w:rsid w:val="00422512"/>
    <w:rsid w:val="00422D8F"/>
    <w:rsid w:val="00422D96"/>
    <w:rsid w:val="00422FD4"/>
    <w:rsid w:val="00423F44"/>
    <w:rsid w:val="004240E2"/>
    <w:rsid w:val="00424568"/>
    <w:rsid w:val="00424A75"/>
    <w:rsid w:val="004251D4"/>
    <w:rsid w:val="004261F4"/>
    <w:rsid w:val="00426AD1"/>
    <w:rsid w:val="0042763B"/>
    <w:rsid w:val="00427B1E"/>
    <w:rsid w:val="00427B79"/>
    <w:rsid w:val="00427D1C"/>
    <w:rsid w:val="00427D2C"/>
    <w:rsid w:val="0043024C"/>
    <w:rsid w:val="00430FCF"/>
    <w:rsid w:val="004319A9"/>
    <w:rsid w:val="00431A0D"/>
    <w:rsid w:val="004321C9"/>
    <w:rsid w:val="00432D8E"/>
    <w:rsid w:val="00432DF6"/>
    <w:rsid w:val="00433887"/>
    <w:rsid w:val="004338A0"/>
    <w:rsid w:val="00433FEC"/>
    <w:rsid w:val="00433FF7"/>
    <w:rsid w:val="00434D6D"/>
    <w:rsid w:val="004358FD"/>
    <w:rsid w:val="004359DD"/>
    <w:rsid w:val="00436706"/>
    <w:rsid w:val="004367EC"/>
    <w:rsid w:val="00436F96"/>
    <w:rsid w:val="004371A0"/>
    <w:rsid w:val="004371CE"/>
    <w:rsid w:val="00440657"/>
    <w:rsid w:val="00440CC4"/>
    <w:rsid w:val="00440CFA"/>
    <w:rsid w:val="00440EF5"/>
    <w:rsid w:val="00441CF0"/>
    <w:rsid w:val="00441EEE"/>
    <w:rsid w:val="00442487"/>
    <w:rsid w:val="004437EF"/>
    <w:rsid w:val="00443D38"/>
    <w:rsid w:val="00445EE3"/>
    <w:rsid w:val="00446015"/>
    <w:rsid w:val="00446740"/>
    <w:rsid w:val="00446CEC"/>
    <w:rsid w:val="0044723A"/>
    <w:rsid w:val="00447885"/>
    <w:rsid w:val="00447960"/>
    <w:rsid w:val="00447D5F"/>
    <w:rsid w:val="00447D8E"/>
    <w:rsid w:val="00450E7A"/>
    <w:rsid w:val="0045102B"/>
    <w:rsid w:val="0045135E"/>
    <w:rsid w:val="00451656"/>
    <w:rsid w:val="00451D96"/>
    <w:rsid w:val="00452496"/>
    <w:rsid w:val="00452AD0"/>
    <w:rsid w:val="00453A82"/>
    <w:rsid w:val="00453B5E"/>
    <w:rsid w:val="0045469A"/>
    <w:rsid w:val="00454F47"/>
    <w:rsid w:val="0045573C"/>
    <w:rsid w:val="0045593F"/>
    <w:rsid w:val="00456348"/>
    <w:rsid w:val="004563DB"/>
    <w:rsid w:val="004567AD"/>
    <w:rsid w:val="0045680D"/>
    <w:rsid w:val="00456AF8"/>
    <w:rsid w:val="004571C5"/>
    <w:rsid w:val="00457A79"/>
    <w:rsid w:val="004600C0"/>
    <w:rsid w:val="00460938"/>
    <w:rsid w:val="00460B85"/>
    <w:rsid w:val="00460E65"/>
    <w:rsid w:val="00461D4B"/>
    <w:rsid w:val="00462678"/>
    <w:rsid w:val="00462983"/>
    <w:rsid w:val="004631C3"/>
    <w:rsid w:val="0046343D"/>
    <w:rsid w:val="00463460"/>
    <w:rsid w:val="004645A4"/>
    <w:rsid w:val="0046475E"/>
    <w:rsid w:val="00464D98"/>
    <w:rsid w:val="0046682B"/>
    <w:rsid w:val="00466871"/>
    <w:rsid w:val="00466979"/>
    <w:rsid w:val="0046720F"/>
    <w:rsid w:val="00467611"/>
    <w:rsid w:val="004678DF"/>
    <w:rsid w:val="00470089"/>
    <w:rsid w:val="004702A0"/>
    <w:rsid w:val="00470537"/>
    <w:rsid w:val="00470B15"/>
    <w:rsid w:val="00470D8B"/>
    <w:rsid w:val="00472BCC"/>
    <w:rsid w:val="00472D89"/>
    <w:rsid w:val="00473AA5"/>
    <w:rsid w:val="00474955"/>
    <w:rsid w:val="00475869"/>
    <w:rsid w:val="00475A77"/>
    <w:rsid w:val="00476299"/>
    <w:rsid w:val="004765AC"/>
    <w:rsid w:val="0047670C"/>
    <w:rsid w:val="00476736"/>
    <w:rsid w:val="00476FC9"/>
    <w:rsid w:val="004776A8"/>
    <w:rsid w:val="00477EF1"/>
    <w:rsid w:val="004801EB"/>
    <w:rsid w:val="00480282"/>
    <w:rsid w:val="00482595"/>
    <w:rsid w:val="00482DDC"/>
    <w:rsid w:val="00483261"/>
    <w:rsid w:val="00483E6C"/>
    <w:rsid w:val="00484421"/>
    <w:rsid w:val="00485129"/>
    <w:rsid w:val="00485254"/>
    <w:rsid w:val="0048565B"/>
    <w:rsid w:val="00486335"/>
    <w:rsid w:val="004866A9"/>
    <w:rsid w:val="004867FF"/>
    <w:rsid w:val="0048687E"/>
    <w:rsid w:val="004904CD"/>
    <w:rsid w:val="00490FB8"/>
    <w:rsid w:val="00491018"/>
    <w:rsid w:val="00491220"/>
    <w:rsid w:val="00492774"/>
    <w:rsid w:val="00493E0B"/>
    <w:rsid w:val="00493EFE"/>
    <w:rsid w:val="004958F5"/>
    <w:rsid w:val="004961F3"/>
    <w:rsid w:val="004962AB"/>
    <w:rsid w:val="00496BB4"/>
    <w:rsid w:val="00496CB0"/>
    <w:rsid w:val="00496D7A"/>
    <w:rsid w:val="004979DC"/>
    <w:rsid w:val="00497B6D"/>
    <w:rsid w:val="004A1852"/>
    <w:rsid w:val="004A2136"/>
    <w:rsid w:val="004A229D"/>
    <w:rsid w:val="004A2EBF"/>
    <w:rsid w:val="004A2F3C"/>
    <w:rsid w:val="004A31BC"/>
    <w:rsid w:val="004A3F1A"/>
    <w:rsid w:val="004A3F45"/>
    <w:rsid w:val="004A65D1"/>
    <w:rsid w:val="004A704F"/>
    <w:rsid w:val="004B0550"/>
    <w:rsid w:val="004B0CE7"/>
    <w:rsid w:val="004B1262"/>
    <w:rsid w:val="004B148F"/>
    <w:rsid w:val="004B1743"/>
    <w:rsid w:val="004B19FC"/>
    <w:rsid w:val="004B1AFA"/>
    <w:rsid w:val="004B1D73"/>
    <w:rsid w:val="004B1F26"/>
    <w:rsid w:val="004B22C0"/>
    <w:rsid w:val="004B4626"/>
    <w:rsid w:val="004B5B67"/>
    <w:rsid w:val="004B5DA2"/>
    <w:rsid w:val="004B6047"/>
    <w:rsid w:val="004B6B0A"/>
    <w:rsid w:val="004B6BBA"/>
    <w:rsid w:val="004B7088"/>
    <w:rsid w:val="004B74BC"/>
    <w:rsid w:val="004B761C"/>
    <w:rsid w:val="004B7CF2"/>
    <w:rsid w:val="004B7F3D"/>
    <w:rsid w:val="004C252E"/>
    <w:rsid w:val="004C2A6B"/>
    <w:rsid w:val="004C319C"/>
    <w:rsid w:val="004C3479"/>
    <w:rsid w:val="004C3948"/>
    <w:rsid w:val="004C3E08"/>
    <w:rsid w:val="004C4B79"/>
    <w:rsid w:val="004C4C94"/>
    <w:rsid w:val="004C5491"/>
    <w:rsid w:val="004C5B76"/>
    <w:rsid w:val="004C5C04"/>
    <w:rsid w:val="004C60A0"/>
    <w:rsid w:val="004C6918"/>
    <w:rsid w:val="004C6EC9"/>
    <w:rsid w:val="004D02CD"/>
    <w:rsid w:val="004D0ADC"/>
    <w:rsid w:val="004D0B24"/>
    <w:rsid w:val="004D1243"/>
    <w:rsid w:val="004D1450"/>
    <w:rsid w:val="004D1FA1"/>
    <w:rsid w:val="004D2A8D"/>
    <w:rsid w:val="004D31B3"/>
    <w:rsid w:val="004D3EA5"/>
    <w:rsid w:val="004D4283"/>
    <w:rsid w:val="004D4B90"/>
    <w:rsid w:val="004D5056"/>
    <w:rsid w:val="004D537A"/>
    <w:rsid w:val="004D56A4"/>
    <w:rsid w:val="004D620F"/>
    <w:rsid w:val="004D6247"/>
    <w:rsid w:val="004D6B95"/>
    <w:rsid w:val="004D6DA3"/>
    <w:rsid w:val="004D7E4E"/>
    <w:rsid w:val="004D7F41"/>
    <w:rsid w:val="004E03A2"/>
    <w:rsid w:val="004E043E"/>
    <w:rsid w:val="004E12C9"/>
    <w:rsid w:val="004E1422"/>
    <w:rsid w:val="004E205F"/>
    <w:rsid w:val="004E2730"/>
    <w:rsid w:val="004E2765"/>
    <w:rsid w:val="004E317E"/>
    <w:rsid w:val="004E31B9"/>
    <w:rsid w:val="004E339A"/>
    <w:rsid w:val="004E3906"/>
    <w:rsid w:val="004E3954"/>
    <w:rsid w:val="004E3A9D"/>
    <w:rsid w:val="004E3AD2"/>
    <w:rsid w:val="004E408F"/>
    <w:rsid w:val="004E4A5D"/>
    <w:rsid w:val="004E4E24"/>
    <w:rsid w:val="004E5856"/>
    <w:rsid w:val="004E667F"/>
    <w:rsid w:val="004E7246"/>
    <w:rsid w:val="004E728F"/>
    <w:rsid w:val="004E7B1A"/>
    <w:rsid w:val="004E7DB9"/>
    <w:rsid w:val="004F02BE"/>
    <w:rsid w:val="004F0D22"/>
    <w:rsid w:val="004F10B8"/>
    <w:rsid w:val="004F2330"/>
    <w:rsid w:val="004F2631"/>
    <w:rsid w:val="004F27F6"/>
    <w:rsid w:val="004F2C85"/>
    <w:rsid w:val="004F378E"/>
    <w:rsid w:val="004F3D3A"/>
    <w:rsid w:val="004F4C0F"/>
    <w:rsid w:val="004F53C6"/>
    <w:rsid w:val="004F5789"/>
    <w:rsid w:val="004F5989"/>
    <w:rsid w:val="004F5F81"/>
    <w:rsid w:val="004F619E"/>
    <w:rsid w:val="004F677A"/>
    <w:rsid w:val="004F69DB"/>
    <w:rsid w:val="004F6B87"/>
    <w:rsid w:val="004F6BFE"/>
    <w:rsid w:val="004F7544"/>
    <w:rsid w:val="004F7AE7"/>
    <w:rsid w:val="004F7F01"/>
    <w:rsid w:val="0050015A"/>
    <w:rsid w:val="005006DE"/>
    <w:rsid w:val="00501C2D"/>
    <w:rsid w:val="00502103"/>
    <w:rsid w:val="00502487"/>
    <w:rsid w:val="00502637"/>
    <w:rsid w:val="0050483E"/>
    <w:rsid w:val="00505167"/>
    <w:rsid w:val="005059F2"/>
    <w:rsid w:val="00506053"/>
    <w:rsid w:val="00506F7A"/>
    <w:rsid w:val="005078DF"/>
    <w:rsid w:val="00507EE9"/>
    <w:rsid w:val="00510179"/>
    <w:rsid w:val="005109CB"/>
    <w:rsid w:val="00511018"/>
    <w:rsid w:val="00511140"/>
    <w:rsid w:val="0051157E"/>
    <w:rsid w:val="0051175C"/>
    <w:rsid w:val="00511DED"/>
    <w:rsid w:val="00511F86"/>
    <w:rsid w:val="005122A0"/>
    <w:rsid w:val="00512514"/>
    <w:rsid w:val="00513CFE"/>
    <w:rsid w:val="00513EAF"/>
    <w:rsid w:val="00514C65"/>
    <w:rsid w:val="00514DB6"/>
    <w:rsid w:val="005156F1"/>
    <w:rsid w:val="00515C33"/>
    <w:rsid w:val="00516849"/>
    <w:rsid w:val="00516C82"/>
    <w:rsid w:val="00516E55"/>
    <w:rsid w:val="00516EDB"/>
    <w:rsid w:val="00521071"/>
    <w:rsid w:val="005216BB"/>
    <w:rsid w:val="00521C23"/>
    <w:rsid w:val="0052260A"/>
    <w:rsid w:val="00522EEB"/>
    <w:rsid w:val="00522F21"/>
    <w:rsid w:val="0052384A"/>
    <w:rsid w:val="00523B6A"/>
    <w:rsid w:val="005243DC"/>
    <w:rsid w:val="00524827"/>
    <w:rsid w:val="00524CBF"/>
    <w:rsid w:val="00525F53"/>
    <w:rsid w:val="00525F6C"/>
    <w:rsid w:val="00526373"/>
    <w:rsid w:val="005264D9"/>
    <w:rsid w:val="005273D4"/>
    <w:rsid w:val="005319D8"/>
    <w:rsid w:val="00531AD3"/>
    <w:rsid w:val="00531EE5"/>
    <w:rsid w:val="005335E1"/>
    <w:rsid w:val="005354C7"/>
    <w:rsid w:val="005354D8"/>
    <w:rsid w:val="00535C98"/>
    <w:rsid w:val="005360F6"/>
    <w:rsid w:val="0053701A"/>
    <w:rsid w:val="00537564"/>
    <w:rsid w:val="00537EAA"/>
    <w:rsid w:val="00540463"/>
    <w:rsid w:val="00540700"/>
    <w:rsid w:val="00540B9A"/>
    <w:rsid w:val="0054188D"/>
    <w:rsid w:val="00542BBF"/>
    <w:rsid w:val="0054481C"/>
    <w:rsid w:val="00544D9D"/>
    <w:rsid w:val="0054525B"/>
    <w:rsid w:val="0054526B"/>
    <w:rsid w:val="00545FC2"/>
    <w:rsid w:val="00546AB4"/>
    <w:rsid w:val="00546BE2"/>
    <w:rsid w:val="00547D97"/>
    <w:rsid w:val="00550591"/>
    <w:rsid w:val="00550AD2"/>
    <w:rsid w:val="00551090"/>
    <w:rsid w:val="005514E5"/>
    <w:rsid w:val="00551E9C"/>
    <w:rsid w:val="00552A47"/>
    <w:rsid w:val="00552B23"/>
    <w:rsid w:val="00552CC3"/>
    <w:rsid w:val="00553500"/>
    <w:rsid w:val="00554CEE"/>
    <w:rsid w:val="00554E77"/>
    <w:rsid w:val="00554F99"/>
    <w:rsid w:val="005550B5"/>
    <w:rsid w:val="00555998"/>
    <w:rsid w:val="0055684B"/>
    <w:rsid w:val="00557D20"/>
    <w:rsid w:val="005622A4"/>
    <w:rsid w:val="005628AE"/>
    <w:rsid w:val="005629C6"/>
    <w:rsid w:val="00562C3D"/>
    <w:rsid w:val="005637A7"/>
    <w:rsid w:val="00563BFF"/>
    <w:rsid w:val="00563C84"/>
    <w:rsid w:val="00563D67"/>
    <w:rsid w:val="005659F9"/>
    <w:rsid w:val="005661BE"/>
    <w:rsid w:val="0056661C"/>
    <w:rsid w:val="00566A44"/>
    <w:rsid w:val="0056730D"/>
    <w:rsid w:val="00567AF3"/>
    <w:rsid w:val="005703FB"/>
    <w:rsid w:val="00570DDA"/>
    <w:rsid w:val="00570E4B"/>
    <w:rsid w:val="00570F6D"/>
    <w:rsid w:val="00571545"/>
    <w:rsid w:val="00571C20"/>
    <w:rsid w:val="00572F95"/>
    <w:rsid w:val="0057392D"/>
    <w:rsid w:val="005746CD"/>
    <w:rsid w:val="00574EDD"/>
    <w:rsid w:val="00574FB4"/>
    <w:rsid w:val="005761C7"/>
    <w:rsid w:val="005762F6"/>
    <w:rsid w:val="00580680"/>
    <w:rsid w:val="00580DC5"/>
    <w:rsid w:val="00580F36"/>
    <w:rsid w:val="00581CCC"/>
    <w:rsid w:val="0058214A"/>
    <w:rsid w:val="0058393E"/>
    <w:rsid w:val="00583C56"/>
    <w:rsid w:val="00584398"/>
    <w:rsid w:val="00584511"/>
    <w:rsid w:val="00584FBE"/>
    <w:rsid w:val="0058501A"/>
    <w:rsid w:val="00585483"/>
    <w:rsid w:val="005858A5"/>
    <w:rsid w:val="00585B32"/>
    <w:rsid w:val="005861C9"/>
    <w:rsid w:val="00586CFE"/>
    <w:rsid w:val="00587378"/>
    <w:rsid w:val="00587C05"/>
    <w:rsid w:val="00587D57"/>
    <w:rsid w:val="005903FF"/>
    <w:rsid w:val="00590AAB"/>
    <w:rsid w:val="00590F9C"/>
    <w:rsid w:val="00591160"/>
    <w:rsid w:val="0059116F"/>
    <w:rsid w:val="0059331E"/>
    <w:rsid w:val="005938C3"/>
    <w:rsid w:val="00593EE2"/>
    <w:rsid w:val="00594185"/>
    <w:rsid w:val="0059468C"/>
    <w:rsid w:val="00594D24"/>
    <w:rsid w:val="00595125"/>
    <w:rsid w:val="005957EA"/>
    <w:rsid w:val="005965B9"/>
    <w:rsid w:val="00596B38"/>
    <w:rsid w:val="00596F21"/>
    <w:rsid w:val="005A03FA"/>
    <w:rsid w:val="005A05E4"/>
    <w:rsid w:val="005A1957"/>
    <w:rsid w:val="005A288B"/>
    <w:rsid w:val="005A34EA"/>
    <w:rsid w:val="005A44AC"/>
    <w:rsid w:val="005A466B"/>
    <w:rsid w:val="005A4C4B"/>
    <w:rsid w:val="005A5E10"/>
    <w:rsid w:val="005A62FC"/>
    <w:rsid w:val="005A7745"/>
    <w:rsid w:val="005A7B8E"/>
    <w:rsid w:val="005A7D03"/>
    <w:rsid w:val="005B0082"/>
    <w:rsid w:val="005B0704"/>
    <w:rsid w:val="005B0CBB"/>
    <w:rsid w:val="005B155C"/>
    <w:rsid w:val="005B15CC"/>
    <w:rsid w:val="005B1B51"/>
    <w:rsid w:val="005B1CDD"/>
    <w:rsid w:val="005B1E19"/>
    <w:rsid w:val="005B22C9"/>
    <w:rsid w:val="005B4144"/>
    <w:rsid w:val="005B4435"/>
    <w:rsid w:val="005B55FC"/>
    <w:rsid w:val="005B6456"/>
    <w:rsid w:val="005B78F3"/>
    <w:rsid w:val="005C151D"/>
    <w:rsid w:val="005C1D3F"/>
    <w:rsid w:val="005C2D5D"/>
    <w:rsid w:val="005C2D5E"/>
    <w:rsid w:val="005C3B81"/>
    <w:rsid w:val="005C4C9D"/>
    <w:rsid w:val="005C4D16"/>
    <w:rsid w:val="005C5182"/>
    <w:rsid w:val="005C57F3"/>
    <w:rsid w:val="005C5967"/>
    <w:rsid w:val="005C650C"/>
    <w:rsid w:val="005C6670"/>
    <w:rsid w:val="005C6855"/>
    <w:rsid w:val="005C71F1"/>
    <w:rsid w:val="005C7DCD"/>
    <w:rsid w:val="005D0360"/>
    <w:rsid w:val="005D086C"/>
    <w:rsid w:val="005D0B6B"/>
    <w:rsid w:val="005D11D3"/>
    <w:rsid w:val="005D13FD"/>
    <w:rsid w:val="005D1403"/>
    <w:rsid w:val="005D2143"/>
    <w:rsid w:val="005D2A02"/>
    <w:rsid w:val="005D2DA9"/>
    <w:rsid w:val="005D44A7"/>
    <w:rsid w:val="005D4E1F"/>
    <w:rsid w:val="005D4FB3"/>
    <w:rsid w:val="005D4FF2"/>
    <w:rsid w:val="005D515D"/>
    <w:rsid w:val="005D5F58"/>
    <w:rsid w:val="005D613A"/>
    <w:rsid w:val="005D6938"/>
    <w:rsid w:val="005D7EBA"/>
    <w:rsid w:val="005E0064"/>
    <w:rsid w:val="005E0A59"/>
    <w:rsid w:val="005E0B58"/>
    <w:rsid w:val="005E0CA0"/>
    <w:rsid w:val="005E24B2"/>
    <w:rsid w:val="005E2616"/>
    <w:rsid w:val="005E2F07"/>
    <w:rsid w:val="005E2FEA"/>
    <w:rsid w:val="005E3331"/>
    <w:rsid w:val="005E3F78"/>
    <w:rsid w:val="005E400C"/>
    <w:rsid w:val="005E536E"/>
    <w:rsid w:val="005E67F6"/>
    <w:rsid w:val="005E727A"/>
    <w:rsid w:val="005E7648"/>
    <w:rsid w:val="005E76CF"/>
    <w:rsid w:val="005E7A83"/>
    <w:rsid w:val="005E7B59"/>
    <w:rsid w:val="005F047A"/>
    <w:rsid w:val="005F0C07"/>
    <w:rsid w:val="005F1D8C"/>
    <w:rsid w:val="005F253C"/>
    <w:rsid w:val="005F314B"/>
    <w:rsid w:val="005F3C28"/>
    <w:rsid w:val="005F4722"/>
    <w:rsid w:val="005F4A85"/>
    <w:rsid w:val="005F5624"/>
    <w:rsid w:val="005F56DA"/>
    <w:rsid w:val="005F67D5"/>
    <w:rsid w:val="005F7187"/>
    <w:rsid w:val="005F722D"/>
    <w:rsid w:val="005F7707"/>
    <w:rsid w:val="00601223"/>
    <w:rsid w:val="006012AC"/>
    <w:rsid w:val="0060140E"/>
    <w:rsid w:val="00601604"/>
    <w:rsid w:val="00601886"/>
    <w:rsid w:val="00602044"/>
    <w:rsid w:val="006022AC"/>
    <w:rsid w:val="00602ED2"/>
    <w:rsid w:val="00603C9D"/>
    <w:rsid w:val="00603E6B"/>
    <w:rsid w:val="006051E3"/>
    <w:rsid w:val="006053E8"/>
    <w:rsid w:val="0060576B"/>
    <w:rsid w:val="00605797"/>
    <w:rsid w:val="00605CB7"/>
    <w:rsid w:val="00606383"/>
    <w:rsid w:val="00606DE4"/>
    <w:rsid w:val="00610C10"/>
    <w:rsid w:val="006110CF"/>
    <w:rsid w:val="006118A9"/>
    <w:rsid w:val="00611AF2"/>
    <w:rsid w:val="00611B72"/>
    <w:rsid w:val="0061212B"/>
    <w:rsid w:val="00612349"/>
    <w:rsid w:val="006127AF"/>
    <w:rsid w:val="0061307D"/>
    <w:rsid w:val="0061311D"/>
    <w:rsid w:val="00613212"/>
    <w:rsid w:val="0061483E"/>
    <w:rsid w:val="00614871"/>
    <w:rsid w:val="00615237"/>
    <w:rsid w:val="0061531B"/>
    <w:rsid w:val="006158B3"/>
    <w:rsid w:val="00615D12"/>
    <w:rsid w:val="00615DB9"/>
    <w:rsid w:val="00615FB2"/>
    <w:rsid w:val="006175C9"/>
    <w:rsid w:val="00617A07"/>
    <w:rsid w:val="00617BD1"/>
    <w:rsid w:val="00617C55"/>
    <w:rsid w:val="00617CE8"/>
    <w:rsid w:val="00621FF0"/>
    <w:rsid w:val="006225F3"/>
    <w:rsid w:val="006233F8"/>
    <w:rsid w:val="00625168"/>
    <w:rsid w:val="0062548D"/>
    <w:rsid w:val="00625E41"/>
    <w:rsid w:val="006264DB"/>
    <w:rsid w:val="006271F3"/>
    <w:rsid w:val="006278A0"/>
    <w:rsid w:val="00627E7F"/>
    <w:rsid w:val="00630408"/>
    <w:rsid w:val="0063095F"/>
    <w:rsid w:val="00630E8E"/>
    <w:rsid w:val="00630FBB"/>
    <w:rsid w:val="006311E2"/>
    <w:rsid w:val="00632221"/>
    <w:rsid w:val="006338B0"/>
    <w:rsid w:val="00634236"/>
    <w:rsid w:val="006345DB"/>
    <w:rsid w:val="006346DF"/>
    <w:rsid w:val="00635BF0"/>
    <w:rsid w:val="006361A6"/>
    <w:rsid w:val="00636626"/>
    <w:rsid w:val="00636EFC"/>
    <w:rsid w:val="006371A9"/>
    <w:rsid w:val="0063731C"/>
    <w:rsid w:val="0063780F"/>
    <w:rsid w:val="00640E34"/>
    <w:rsid w:val="00640FA8"/>
    <w:rsid w:val="0064103C"/>
    <w:rsid w:val="00641062"/>
    <w:rsid w:val="00641A42"/>
    <w:rsid w:val="00642D36"/>
    <w:rsid w:val="00643F5C"/>
    <w:rsid w:val="00644E36"/>
    <w:rsid w:val="0064640D"/>
    <w:rsid w:val="006467FA"/>
    <w:rsid w:val="00646AC2"/>
    <w:rsid w:val="00646E81"/>
    <w:rsid w:val="00647031"/>
    <w:rsid w:val="006477FB"/>
    <w:rsid w:val="00650390"/>
    <w:rsid w:val="006508F0"/>
    <w:rsid w:val="00651080"/>
    <w:rsid w:val="006520C9"/>
    <w:rsid w:val="00653FCE"/>
    <w:rsid w:val="00654DAB"/>
    <w:rsid w:val="0065534F"/>
    <w:rsid w:val="00655521"/>
    <w:rsid w:val="00655736"/>
    <w:rsid w:val="00656F1E"/>
    <w:rsid w:val="00657C6F"/>
    <w:rsid w:val="0066056F"/>
    <w:rsid w:val="0066112F"/>
    <w:rsid w:val="00661ABD"/>
    <w:rsid w:val="0066204A"/>
    <w:rsid w:val="00663599"/>
    <w:rsid w:val="00663812"/>
    <w:rsid w:val="00663DA1"/>
    <w:rsid w:val="00665875"/>
    <w:rsid w:val="00666565"/>
    <w:rsid w:val="00666761"/>
    <w:rsid w:val="00666E6A"/>
    <w:rsid w:val="00667562"/>
    <w:rsid w:val="00667906"/>
    <w:rsid w:val="00667B11"/>
    <w:rsid w:val="00667FB0"/>
    <w:rsid w:val="00667FC0"/>
    <w:rsid w:val="00670145"/>
    <w:rsid w:val="006701C0"/>
    <w:rsid w:val="00670D82"/>
    <w:rsid w:val="00670E3C"/>
    <w:rsid w:val="006729EE"/>
    <w:rsid w:val="0067439E"/>
    <w:rsid w:val="00675ED3"/>
    <w:rsid w:val="00676601"/>
    <w:rsid w:val="00677092"/>
    <w:rsid w:val="006770E6"/>
    <w:rsid w:val="006772F5"/>
    <w:rsid w:val="006779EB"/>
    <w:rsid w:val="00677F57"/>
    <w:rsid w:val="006801C0"/>
    <w:rsid w:val="00680F95"/>
    <w:rsid w:val="00680FC5"/>
    <w:rsid w:val="00681088"/>
    <w:rsid w:val="00681299"/>
    <w:rsid w:val="00681543"/>
    <w:rsid w:val="006820B1"/>
    <w:rsid w:val="00682A7D"/>
    <w:rsid w:val="00682DDD"/>
    <w:rsid w:val="006832F1"/>
    <w:rsid w:val="0068459E"/>
    <w:rsid w:val="00685176"/>
    <w:rsid w:val="00686035"/>
    <w:rsid w:val="0068651E"/>
    <w:rsid w:val="0068726F"/>
    <w:rsid w:val="0068732B"/>
    <w:rsid w:val="00687473"/>
    <w:rsid w:val="006877B4"/>
    <w:rsid w:val="00687818"/>
    <w:rsid w:val="006878A8"/>
    <w:rsid w:val="00690738"/>
    <w:rsid w:val="00691264"/>
    <w:rsid w:val="00691627"/>
    <w:rsid w:val="0069225C"/>
    <w:rsid w:val="00692C7D"/>
    <w:rsid w:val="00692C9D"/>
    <w:rsid w:val="00692E7B"/>
    <w:rsid w:val="00693396"/>
    <w:rsid w:val="006934C0"/>
    <w:rsid w:val="0069577E"/>
    <w:rsid w:val="00695F5F"/>
    <w:rsid w:val="0069634B"/>
    <w:rsid w:val="00696623"/>
    <w:rsid w:val="00697369"/>
    <w:rsid w:val="006A0376"/>
    <w:rsid w:val="006A04E9"/>
    <w:rsid w:val="006A08E2"/>
    <w:rsid w:val="006A09C7"/>
    <w:rsid w:val="006A0A18"/>
    <w:rsid w:val="006A10C8"/>
    <w:rsid w:val="006A1AA2"/>
    <w:rsid w:val="006A24AF"/>
    <w:rsid w:val="006A268F"/>
    <w:rsid w:val="006A41DE"/>
    <w:rsid w:val="006A42EC"/>
    <w:rsid w:val="006A452E"/>
    <w:rsid w:val="006A4A03"/>
    <w:rsid w:val="006A4F6E"/>
    <w:rsid w:val="006A531E"/>
    <w:rsid w:val="006A55DB"/>
    <w:rsid w:val="006A585F"/>
    <w:rsid w:val="006A5BDC"/>
    <w:rsid w:val="006A5D27"/>
    <w:rsid w:val="006A67ED"/>
    <w:rsid w:val="006A72FA"/>
    <w:rsid w:val="006A7543"/>
    <w:rsid w:val="006A7C44"/>
    <w:rsid w:val="006B0FF4"/>
    <w:rsid w:val="006B0FFA"/>
    <w:rsid w:val="006B1690"/>
    <w:rsid w:val="006B2E21"/>
    <w:rsid w:val="006B3EB8"/>
    <w:rsid w:val="006B4C0D"/>
    <w:rsid w:val="006B4FE5"/>
    <w:rsid w:val="006B5EC0"/>
    <w:rsid w:val="006B6EDE"/>
    <w:rsid w:val="006B710D"/>
    <w:rsid w:val="006B725C"/>
    <w:rsid w:val="006B7553"/>
    <w:rsid w:val="006B7791"/>
    <w:rsid w:val="006C03DF"/>
    <w:rsid w:val="006C14FD"/>
    <w:rsid w:val="006C1B85"/>
    <w:rsid w:val="006C1DE9"/>
    <w:rsid w:val="006C273D"/>
    <w:rsid w:val="006C2B8D"/>
    <w:rsid w:val="006C2F2C"/>
    <w:rsid w:val="006C3420"/>
    <w:rsid w:val="006C3ECB"/>
    <w:rsid w:val="006C3FE4"/>
    <w:rsid w:val="006C41F1"/>
    <w:rsid w:val="006C4973"/>
    <w:rsid w:val="006C52F7"/>
    <w:rsid w:val="006C5C4F"/>
    <w:rsid w:val="006C6282"/>
    <w:rsid w:val="006C6419"/>
    <w:rsid w:val="006C641D"/>
    <w:rsid w:val="006C762A"/>
    <w:rsid w:val="006C7A87"/>
    <w:rsid w:val="006D0156"/>
    <w:rsid w:val="006D05A1"/>
    <w:rsid w:val="006D0D09"/>
    <w:rsid w:val="006D10CD"/>
    <w:rsid w:val="006D10E5"/>
    <w:rsid w:val="006D1863"/>
    <w:rsid w:val="006D1CB4"/>
    <w:rsid w:val="006D24F1"/>
    <w:rsid w:val="006D3C2A"/>
    <w:rsid w:val="006D42F5"/>
    <w:rsid w:val="006D5FF9"/>
    <w:rsid w:val="006D690C"/>
    <w:rsid w:val="006D7D9B"/>
    <w:rsid w:val="006E0772"/>
    <w:rsid w:val="006E0C77"/>
    <w:rsid w:val="006E0F86"/>
    <w:rsid w:val="006E13D7"/>
    <w:rsid w:val="006E1874"/>
    <w:rsid w:val="006E1B8A"/>
    <w:rsid w:val="006E204B"/>
    <w:rsid w:val="006E2F3B"/>
    <w:rsid w:val="006E2F8B"/>
    <w:rsid w:val="006E4459"/>
    <w:rsid w:val="006E74B5"/>
    <w:rsid w:val="006E76FD"/>
    <w:rsid w:val="006F037E"/>
    <w:rsid w:val="006F099E"/>
    <w:rsid w:val="006F0B15"/>
    <w:rsid w:val="006F0DCC"/>
    <w:rsid w:val="006F0FF4"/>
    <w:rsid w:val="006F1141"/>
    <w:rsid w:val="006F1862"/>
    <w:rsid w:val="006F1928"/>
    <w:rsid w:val="006F25F3"/>
    <w:rsid w:val="006F2DDF"/>
    <w:rsid w:val="006F405C"/>
    <w:rsid w:val="006F4732"/>
    <w:rsid w:val="006F474E"/>
    <w:rsid w:val="006F4AA5"/>
    <w:rsid w:val="006F52DA"/>
    <w:rsid w:val="006F54D1"/>
    <w:rsid w:val="006F5EEB"/>
    <w:rsid w:val="006F6711"/>
    <w:rsid w:val="006F6836"/>
    <w:rsid w:val="006F7338"/>
    <w:rsid w:val="007009F9"/>
    <w:rsid w:val="007016CC"/>
    <w:rsid w:val="007018E7"/>
    <w:rsid w:val="00701BDE"/>
    <w:rsid w:val="00702151"/>
    <w:rsid w:val="007023C8"/>
    <w:rsid w:val="00702579"/>
    <w:rsid w:val="00703DF9"/>
    <w:rsid w:val="007048EB"/>
    <w:rsid w:val="00704B6E"/>
    <w:rsid w:val="00704FBB"/>
    <w:rsid w:val="0070505E"/>
    <w:rsid w:val="0070551C"/>
    <w:rsid w:val="00705D2B"/>
    <w:rsid w:val="007067DD"/>
    <w:rsid w:val="0070715D"/>
    <w:rsid w:val="0070726A"/>
    <w:rsid w:val="0070729B"/>
    <w:rsid w:val="00707886"/>
    <w:rsid w:val="00707A8A"/>
    <w:rsid w:val="00707AFA"/>
    <w:rsid w:val="007103D8"/>
    <w:rsid w:val="00711094"/>
    <w:rsid w:val="007112E3"/>
    <w:rsid w:val="00711DF0"/>
    <w:rsid w:val="007121BC"/>
    <w:rsid w:val="0071226B"/>
    <w:rsid w:val="00713D39"/>
    <w:rsid w:val="0071410E"/>
    <w:rsid w:val="0071532B"/>
    <w:rsid w:val="00715470"/>
    <w:rsid w:val="00715C90"/>
    <w:rsid w:val="00715FAE"/>
    <w:rsid w:val="007161DA"/>
    <w:rsid w:val="00716A7A"/>
    <w:rsid w:val="00717040"/>
    <w:rsid w:val="00717184"/>
    <w:rsid w:val="007207E2"/>
    <w:rsid w:val="00721430"/>
    <w:rsid w:val="00721C92"/>
    <w:rsid w:val="00721D02"/>
    <w:rsid w:val="00722353"/>
    <w:rsid w:val="007223BF"/>
    <w:rsid w:val="00722409"/>
    <w:rsid w:val="00722A7B"/>
    <w:rsid w:val="00722F97"/>
    <w:rsid w:val="0072336D"/>
    <w:rsid w:val="00723861"/>
    <w:rsid w:val="00725E86"/>
    <w:rsid w:val="00725F2C"/>
    <w:rsid w:val="00726228"/>
    <w:rsid w:val="00726AAF"/>
    <w:rsid w:val="00726CBE"/>
    <w:rsid w:val="00726F3A"/>
    <w:rsid w:val="00727496"/>
    <w:rsid w:val="00727B40"/>
    <w:rsid w:val="007302E1"/>
    <w:rsid w:val="007304EE"/>
    <w:rsid w:val="00730643"/>
    <w:rsid w:val="00730882"/>
    <w:rsid w:val="0073091F"/>
    <w:rsid w:val="00730A2C"/>
    <w:rsid w:val="00730DF0"/>
    <w:rsid w:val="00732B7A"/>
    <w:rsid w:val="00733508"/>
    <w:rsid w:val="00733983"/>
    <w:rsid w:val="007339B7"/>
    <w:rsid w:val="007348EE"/>
    <w:rsid w:val="00734A38"/>
    <w:rsid w:val="0073590D"/>
    <w:rsid w:val="00735AA2"/>
    <w:rsid w:val="00736209"/>
    <w:rsid w:val="007368A3"/>
    <w:rsid w:val="00736E0A"/>
    <w:rsid w:val="0074003B"/>
    <w:rsid w:val="00741DA1"/>
    <w:rsid w:val="007420D3"/>
    <w:rsid w:val="00742506"/>
    <w:rsid w:val="0074357D"/>
    <w:rsid w:val="0074368B"/>
    <w:rsid w:val="00743AB6"/>
    <w:rsid w:val="00743BAE"/>
    <w:rsid w:val="007448A5"/>
    <w:rsid w:val="007456C6"/>
    <w:rsid w:val="00745B5A"/>
    <w:rsid w:val="0074681B"/>
    <w:rsid w:val="00746875"/>
    <w:rsid w:val="00746C9F"/>
    <w:rsid w:val="00746D68"/>
    <w:rsid w:val="00747640"/>
    <w:rsid w:val="00747981"/>
    <w:rsid w:val="00750B64"/>
    <w:rsid w:val="0075174E"/>
    <w:rsid w:val="007519EA"/>
    <w:rsid w:val="00751F52"/>
    <w:rsid w:val="0075201E"/>
    <w:rsid w:val="007527D4"/>
    <w:rsid w:val="00752E13"/>
    <w:rsid w:val="00753046"/>
    <w:rsid w:val="00753C7D"/>
    <w:rsid w:val="00753D7F"/>
    <w:rsid w:val="007553B6"/>
    <w:rsid w:val="00755C17"/>
    <w:rsid w:val="00756EC4"/>
    <w:rsid w:val="00756EDF"/>
    <w:rsid w:val="00757112"/>
    <w:rsid w:val="0075713B"/>
    <w:rsid w:val="00757C32"/>
    <w:rsid w:val="007603F6"/>
    <w:rsid w:val="00760DA8"/>
    <w:rsid w:val="0076146B"/>
    <w:rsid w:val="00761844"/>
    <w:rsid w:val="00762012"/>
    <w:rsid w:val="00762288"/>
    <w:rsid w:val="007628B1"/>
    <w:rsid w:val="007634AB"/>
    <w:rsid w:val="00763529"/>
    <w:rsid w:val="00763E59"/>
    <w:rsid w:val="00765D6A"/>
    <w:rsid w:val="00766054"/>
    <w:rsid w:val="007662D5"/>
    <w:rsid w:val="00766473"/>
    <w:rsid w:val="00766CC0"/>
    <w:rsid w:val="0076743B"/>
    <w:rsid w:val="007674FD"/>
    <w:rsid w:val="007706BC"/>
    <w:rsid w:val="00772492"/>
    <w:rsid w:val="00772720"/>
    <w:rsid w:val="00772DA9"/>
    <w:rsid w:val="00772F19"/>
    <w:rsid w:val="007735D1"/>
    <w:rsid w:val="007738AA"/>
    <w:rsid w:val="00773F5E"/>
    <w:rsid w:val="00773FE2"/>
    <w:rsid w:val="007750A2"/>
    <w:rsid w:val="007751AD"/>
    <w:rsid w:val="00775A52"/>
    <w:rsid w:val="00775CDC"/>
    <w:rsid w:val="00777D76"/>
    <w:rsid w:val="00777EDA"/>
    <w:rsid w:val="00780E28"/>
    <w:rsid w:val="00781175"/>
    <w:rsid w:val="007817D6"/>
    <w:rsid w:val="00782D70"/>
    <w:rsid w:val="00783618"/>
    <w:rsid w:val="007837BD"/>
    <w:rsid w:val="00783A31"/>
    <w:rsid w:val="00783B15"/>
    <w:rsid w:val="00783B42"/>
    <w:rsid w:val="00784E65"/>
    <w:rsid w:val="00786203"/>
    <w:rsid w:val="0078637F"/>
    <w:rsid w:val="00786E0A"/>
    <w:rsid w:val="00786F92"/>
    <w:rsid w:val="00786FFD"/>
    <w:rsid w:val="00787912"/>
    <w:rsid w:val="00790DB1"/>
    <w:rsid w:val="0079177A"/>
    <w:rsid w:val="00791CFA"/>
    <w:rsid w:val="007929DA"/>
    <w:rsid w:val="00793EC4"/>
    <w:rsid w:val="00794836"/>
    <w:rsid w:val="007948D5"/>
    <w:rsid w:val="00794F4C"/>
    <w:rsid w:val="00795501"/>
    <w:rsid w:val="00795AC7"/>
    <w:rsid w:val="00795C1D"/>
    <w:rsid w:val="00795FE0"/>
    <w:rsid w:val="00796130"/>
    <w:rsid w:val="0079624E"/>
    <w:rsid w:val="007978D4"/>
    <w:rsid w:val="00797B23"/>
    <w:rsid w:val="007A033F"/>
    <w:rsid w:val="007A06A1"/>
    <w:rsid w:val="007A14F0"/>
    <w:rsid w:val="007A15C9"/>
    <w:rsid w:val="007A1FE3"/>
    <w:rsid w:val="007A21C5"/>
    <w:rsid w:val="007A38E6"/>
    <w:rsid w:val="007A4001"/>
    <w:rsid w:val="007A459F"/>
    <w:rsid w:val="007A501C"/>
    <w:rsid w:val="007A52A0"/>
    <w:rsid w:val="007A612A"/>
    <w:rsid w:val="007A618B"/>
    <w:rsid w:val="007A6676"/>
    <w:rsid w:val="007A7B26"/>
    <w:rsid w:val="007B0070"/>
    <w:rsid w:val="007B01BC"/>
    <w:rsid w:val="007B01DC"/>
    <w:rsid w:val="007B0587"/>
    <w:rsid w:val="007B1C4F"/>
    <w:rsid w:val="007B3255"/>
    <w:rsid w:val="007B341E"/>
    <w:rsid w:val="007B459C"/>
    <w:rsid w:val="007B5BA6"/>
    <w:rsid w:val="007B60EA"/>
    <w:rsid w:val="007B6145"/>
    <w:rsid w:val="007B6223"/>
    <w:rsid w:val="007B622D"/>
    <w:rsid w:val="007B6CF5"/>
    <w:rsid w:val="007B6D4B"/>
    <w:rsid w:val="007B6E19"/>
    <w:rsid w:val="007B79A1"/>
    <w:rsid w:val="007B7FF5"/>
    <w:rsid w:val="007C057D"/>
    <w:rsid w:val="007C0B8E"/>
    <w:rsid w:val="007C2C22"/>
    <w:rsid w:val="007C2C57"/>
    <w:rsid w:val="007C3FC6"/>
    <w:rsid w:val="007C4200"/>
    <w:rsid w:val="007C5578"/>
    <w:rsid w:val="007C6353"/>
    <w:rsid w:val="007C653B"/>
    <w:rsid w:val="007C6A25"/>
    <w:rsid w:val="007C6D16"/>
    <w:rsid w:val="007C7164"/>
    <w:rsid w:val="007C71AA"/>
    <w:rsid w:val="007C72B9"/>
    <w:rsid w:val="007D0D82"/>
    <w:rsid w:val="007D1641"/>
    <w:rsid w:val="007D1AC0"/>
    <w:rsid w:val="007D1D6F"/>
    <w:rsid w:val="007D2CE9"/>
    <w:rsid w:val="007D39F2"/>
    <w:rsid w:val="007D4400"/>
    <w:rsid w:val="007D47E9"/>
    <w:rsid w:val="007D4951"/>
    <w:rsid w:val="007D4D10"/>
    <w:rsid w:val="007D4FED"/>
    <w:rsid w:val="007D5770"/>
    <w:rsid w:val="007D5AD4"/>
    <w:rsid w:val="007D6128"/>
    <w:rsid w:val="007D69DA"/>
    <w:rsid w:val="007D70B1"/>
    <w:rsid w:val="007D7140"/>
    <w:rsid w:val="007D7797"/>
    <w:rsid w:val="007D7EB8"/>
    <w:rsid w:val="007E11A0"/>
    <w:rsid w:val="007E1B62"/>
    <w:rsid w:val="007E1C73"/>
    <w:rsid w:val="007E1CDB"/>
    <w:rsid w:val="007E2767"/>
    <w:rsid w:val="007E3302"/>
    <w:rsid w:val="007E3532"/>
    <w:rsid w:val="007E408C"/>
    <w:rsid w:val="007E41AF"/>
    <w:rsid w:val="007E42D3"/>
    <w:rsid w:val="007E42E7"/>
    <w:rsid w:val="007E679B"/>
    <w:rsid w:val="007E6B19"/>
    <w:rsid w:val="007E6FA2"/>
    <w:rsid w:val="007E7E21"/>
    <w:rsid w:val="007F0460"/>
    <w:rsid w:val="007F0DA2"/>
    <w:rsid w:val="007F1D85"/>
    <w:rsid w:val="007F2220"/>
    <w:rsid w:val="007F25BE"/>
    <w:rsid w:val="007F39CE"/>
    <w:rsid w:val="007F3B58"/>
    <w:rsid w:val="007F3E71"/>
    <w:rsid w:val="007F49E9"/>
    <w:rsid w:val="007F5E09"/>
    <w:rsid w:val="007F5E0D"/>
    <w:rsid w:val="007F6510"/>
    <w:rsid w:val="007F6C44"/>
    <w:rsid w:val="007F6F3F"/>
    <w:rsid w:val="007F7997"/>
    <w:rsid w:val="007F7F7F"/>
    <w:rsid w:val="00800C1B"/>
    <w:rsid w:val="00801027"/>
    <w:rsid w:val="00801085"/>
    <w:rsid w:val="00801592"/>
    <w:rsid w:val="00801A89"/>
    <w:rsid w:val="00805038"/>
    <w:rsid w:val="0080603F"/>
    <w:rsid w:val="008071B0"/>
    <w:rsid w:val="0080727A"/>
    <w:rsid w:val="00807800"/>
    <w:rsid w:val="00807B57"/>
    <w:rsid w:val="008103CF"/>
    <w:rsid w:val="0081052D"/>
    <w:rsid w:val="008106AE"/>
    <w:rsid w:val="00810714"/>
    <w:rsid w:val="00810E22"/>
    <w:rsid w:val="0081174F"/>
    <w:rsid w:val="00812132"/>
    <w:rsid w:val="00812138"/>
    <w:rsid w:val="008125A3"/>
    <w:rsid w:val="00812CC4"/>
    <w:rsid w:val="00813050"/>
    <w:rsid w:val="00814391"/>
    <w:rsid w:val="008151F2"/>
    <w:rsid w:val="008152C7"/>
    <w:rsid w:val="008161B9"/>
    <w:rsid w:val="00816D46"/>
    <w:rsid w:val="00816D7C"/>
    <w:rsid w:val="008171BB"/>
    <w:rsid w:val="0081777A"/>
    <w:rsid w:val="008178EA"/>
    <w:rsid w:val="00817F5A"/>
    <w:rsid w:val="00820D3D"/>
    <w:rsid w:val="00820E3A"/>
    <w:rsid w:val="008210E0"/>
    <w:rsid w:val="008210E2"/>
    <w:rsid w:val="00822191"/>
    <w:rsid w:val="0082291F"/>
    <w:rsid w:val="00822E1B"/>
    <w:rsid w:val="00822F91"/>
    <w:rsid w:val="008236D7"/>
    <w:rsid w:val="00823F36"/>
    <w:rsid w:val="00824079"/>
    <w:rsid w:val="00824789"/>
    <w:rsid w:val="008247E4"/>
    <w:rsid w:val="008252D5"/>
    <w:rsid w:val="008257DC"/>
    <w:rsid w:val="00825B60"/>
    <w:rsid w:val="00826078"/>
    <w:rsid w:val="00826121"/>
    <w:rsid w:val="00826538"/>
    <w:rsid w:val="00826839"/>
    <w:rsid w:val="00827185"/>
    <w:rsid w:val="0082769D"/>
    <w:rsid w:val="008277B8"/>
    <w:rsid w:val="008307E1"/>
    <w:rsid w:val="00830B89"/>
    <w:rsid w:val="008311F9"/>
    <w:rsid w:val="00831C05"/>
    <w:rsid w:val="00831F0A"/>
    <w:rsid w:val="008320B2"/>
    <w:rsid w:val="00832B37"/>
    <w:rsid w:val="00833791"/>
    <w:rsid w:val="00833A78"/>
    <w:rsid w:val="00833E92"/>
    <w:rsid w:val="00834B9B"/>
    <w:rsid w:val="00835088"/>
    <w:rsid w:val="008356E6"/>
    <w:rsid w:val="008356FA"/>
    <w:rsid w:val="00835F60"/>
    <w:rsid w:val="00836638"/>
    <w:rsid w:val="008368CA"/>
    <w:rsid w:val="00837A1A"/>
    <w:rsid w:val="008407D5"/>
    <w:rsid w:val="008409B0"/>
    <w:rsid w:val="00842165"/>
    <w:rsid w:val="0084222C"/>
    <w:rsid w:val="008438ED"/>
    <w:rsid w:val="00844500"/>
    <w:rsid w:val="00844B16"/>
    <w:rsid w:val="0084585F"/>
    <w:rsid w:val="00845CCD"/>
    <w:rsid w:val="00845F6A"/>
    <w:rsid w:val="008462B4"/>
    <w:rsid w:val="00846A62"/>
    <w:rsid w:val="008471F2"/>
    <w:rsid w:val="0085047C"/>
    <w:rsid w:val="00850FB3"/>
    <w:rsid w:val="00851066"/>
    <w:rsid w:val="008514A9"/>
    <w:rsid w:val="0085172F"/>
    <w:rsid w:val="00851A29"/>
    <w:rsid w:val="0085290F"/>
    <w:rsid w:val="00853414"/>
    <w:rsid w:val="008534C4"/>
    <w:rsid w:val="00853E53"/>
    <w:rsid w:val="008547CD"/>
    <w:rsid w:val="008549B6"/>
    <w:rsid w:val="00854D91"/>
    <w:rsid w:val="00855133"/>
    <w:rsid w:val="00856118"/>
    <w:rsid w:val="00856239"/>
    <w:rsid w:val="00856321"/>
    <w:rsid w:val="00856671"/>
    <w:rsid w:val="008569B3"/>
    <w:rsid w:val="00856BBC"/>
    <w:rsid w:val="0085716E"/>
    <w:rsid w:val="00857B77"/>
    <w:rsid w:val="00860312"/>
    <w:rsid w:val="00860A57"/>
    <w:rsid w:val="008615FF"/>
    <w:rsid w:val="00862019"/>
    <w:rsid w:val="008621E0"/>
    <w:rsid w:val="0086294A"/>
    <w:rsid w:val="00863317"/>
    <w:rsid w:val="008647D0"/>
    <w:rsid w:val="00864D76"/>
    <w:rsid w:val="0086506A"/>
    <w:rsid w:val="00865159"/>
    <w:rsid w:val="008653A0"/>
    <w:rsid w:val="00865663"/>
    <w:rsid w:val="008656C9"/>
    <w:rsid w:val="00865BA8"/>
    <w:rsid w:val="008669FD"/>
    <w:rsid w:val="0086711C"/>
    <w:rsid w:val="008671B4"/>
    <w:rsid w:val="00867535"/>
    <w:rsid w:val="00867686"/>
    <w:rsid w:val="00867C30"/>
    <w:rsid w:val="00870242"/>
    <w:rsid w:val="00870762"/>
    <w:rsid w:val="0087076C"/>
    <w:rsid w:val="0087177D"/>
    <w:rsid w:val="0087236A"/>
    <w:rsid w:val="008727ED"/>
    <w:rsid w:val="008729EB"/>
    <w:rsid w:val="00874110"/>
    <w:rsid w:val="00874456"/>
    <w:rsid w:val="00875285"/>
    <w:rsid w:val="008758F9"/>
    <w:rsid w:val="00875C5B"/>
    <w:rsid w:val="00877D5C"/>
    <w:rsid w:val="0088004C"/>
    <w:rsid w:val="00880F13"/>
    <w:rsid w:val="00880FE2"/>
    <w:rsid w:val="0088193E"/>
    <w:rsid w:val="008822E4"/>
    <w:rsid w:val="0088232B"/>
    <w:rsid w:val="00882425"/>
    <w:rsid w:val="0088309C"/>
    <w:rsid w:val="008831D9"/>
    <w:rsid w:val="00883C5F"/>
    <w:rsid w:val="00883FCA"/>
    <w:rsid w:val="008844DD"/>
    <w:rsid w:val="00884C4A"/>
    <w:rsid w:val="00885CAA"/>
    <w:rsid w:val="00887978"/>
    <w:rsid w:val="0089016C"/>
    <w:rsid w:val="008901ED"/>
    <w:rsid w:val="0089107C"/>
    <w:rsid w:val="008913BB"/>
    <w:rsid w:val="00891C7D"/>
    <w:rsid w:val="0089200C"/>
    <w:rsid w:val="00892FA7"/>
    <w:rsid w:val="00893B8C"/>
    <w:rsid w:val="00895030"/>
    <w:rsid w:val="00895628"/>
    <w:rsid w:val="00896B4D"/>
    <w:rsid w:val="00896BB4"/>
    <w:rsid w:val="00896F44"/>
    <w:rsid w:val="008976C9"/>
    <w:rsid w:val="00897794"/>
    <w:rsid w:val="008A0B4F"/>
    <w:rsid w:val="008A0D12"/>
    <w:rsid w:val="008A2226"/>
    <w:rsid w:val="008A2603"/>
    <w:rsid w:val="008A2796"/>
    <w:rsid w:val="008A2CFC"/>
    <w:rsid w:val="008A3301"/>
    <w:rsid w:val="008A4775"/>
    <w:rsid w:val="008A4DF1"/>
    <w:rsid w:val="008A54E7"/>
    <w:rsid w:val="008A55D2"/>
    <w:rsid w:val="008A5636"/>
    <w:rsid w:val="008A6877"/>
    <w:rsid w:val="008A6899"/>
    <w:rsid w:val="008A71AD"/>
    <w:rsid w:val="008A74D3"/>
    <w:rsid w:val="008A7531"/>
    <w:rsid w:val="008A78FB"/>
    <w:rsid w:val="008B06EC"/>
    <w:rsid w:val="008B0967"/>
    <w:rsid w:val="008B0BA0"/>
    <w:rsid w:val="008B125E"/>
    <w:rsid w:val="008B2022"/>
    <w:rsid w:val="008B241C"/>
    <w:rsid w:val="008B2AFA"/>
    <w:rsid w:val="008B2E01"/>
    <w:rsid w:val="008B36BF"/>
    <w:rsid w:val="008B3A64"/>
    <w:rsid w:val="008B3F08"/>
    <w:rsid w:val="008B408B"/>
    <w:rsid w:val="008B4C6D"/>
    <w:rsid w:val="008B4F11"/>
    <w:rsid w:val="008B5184"/>
    <w:rsid w:val="008B54FE"/>
    <w:rsid w:val="008B6745"/>
    <w:rsid w:val="008B6D2E"/>
    <w:rsid w:val="008B7D7A"/>
    <w:rsid w:val="008B7F10"/>
    <w:rsid w:val="008C008D"/>
    <w:rsid w:val="008C04C4"/>
    <w:rsid w:val="008C0C0B"/>
    <w:rsid w:val="008C2362"/>
    <w:rsid w:val="008C23C5"/>
    <w:rsid w:val="008C2E45"/>
    <w:rsid w:val="008C3049"/>
    <w:rsid w:val="008C32E8"/>
    <w:rsid w:val="008C3A0C"/>
    <w:rsid w:val="008C5CCB"/>
    <w:rsid w:val="008C6836"/>
    <w:rsid w:val="008C6F2C"/>
    <w:rsid w:val="008C736F"/>
    <w:rsid w:val="008C75AF"/>
    <w:rsid w:val="008C777E"/>
    <w:rsid w:val="008C7780"/>
    <w:rsid w:val="008C7F9A"/>
    <w:rsid w:val="008D0590"/>
    <w:rsid w:val="008D0D9D"/>
    <w:rsid w:val="008D16A9"/>
    <w:rsid w:val="008D1AFA"/>
    <w:rsid w:val="008D1B27"/>
    <w:rsid w:val="008D1C80"/>
    <w:rsid w:val="008D232D"/>
    <w:rsid w:val="008D2A34"/>
    <w:rsid w:val="008D31D0"/>
    <w:rsid w:val="008D3363"/>
    <w:rsid w:val="008D4AE9"/>
    <w:rsid w:val="008D55A6"/>
    <w:rsid w:val="008D5C3A"/>
    <w:rsid w:val="008D5CA4"/>
    <w:rsid w:val="008D5CF3"/>
    <w:rsid w:val="008D5E21"/>
    <w:rsid w:val="008D5F78"/>
    <w:rsid w:val="008D6097"/>
    <w:rsid w:val="008D62AF"/>
    <w:rsid w:val="008D6A3E"/>
    <w:rsid w:val="008D7D39"/>
    <w:rsid w:val="008E0C0D"/>
    <w:rsid w:val="008E1C9F"/>
    <w:rsid w:val="008E2B8A"/>
    <w:rsid w:val="008E3AA1"/>
    <w:rsid w:val="008E3E6B"/>
    <w:rsid w:val="008E418D"/>
    <w:rsid w:val="008E4574"/>
    <w:rsid w:val="008E5409"/>
    <w:rsid w:val="008E553C"/>
    <w:rsid w:val="008E5956"/>
    <w:rsid w:val="008E5FAB"/>
    <w:rsid w:val="008E5FFE"/>
    <w:rsid w:val="008E61F0"/>
    <w:rsid w:val="008F00D0"/>
    <w:rsid w:val="008F1182"/>
    <w:rsid w:val="008F22FF"/>
    <w:rsid w:val="008F3976"/>
    <w:rsid w:val="008F400E"/>
    <w:rsid w:val="008F4016"/>
    <w:rsid w:val="008F41A0"/>
    <w:rsid w:val="008F42FE"/>
    <w:rsid w:val="008F4A00"/>
    <w:rsid w:val="008F51CF"/>
    <w:rsid w:val="008F5402"/>
    <w:rsid w:val="008F6652"/>
    <w:rsid w:val="008F67D8"/>
    <w:rsid w:val="008F6C91"/>
    <w:rsid w:val="008F7073"/>
    <w:rsid w:val="008F79F5"/>
    <w:rsid w:val="008F7D19"/>
    <w:rsid w:val="00900085"/>
    <w:rsid w:val="0090053A"/>
    <w:rsid w:val="00900EB3"/>
    <w:rsid w:val="009010DD"/>
    <w:rsid w:val="00901272"/>
    <w:rsid w:val="00901C2A"/>
    <w:rsid w:val="00902091"/>
    <w:rsid w:val="00902219"/>
    <w:rsid w:val="009029E7"/>
    <w:rsid w:val="00902F72"/>
    <w:rsid w:val="00902F7B"/>
    <w:rsid w:val="009031F2"/>
    <w:rsid w:val="00903976"/>
    <w:rsid w:val="00903B30"/>
    <w:rsid w:val="00904137"/>
    <w:rsid w:val="00904806"/>
    <w:rsid w:val="00904D49"/>
    <w:rsid w:val="009059C6"/>
    <w:rsid w:val="00905C32"/>
    <w:rsid w:val="0090606C"/>
    <w:rsid w:val="00906B56"/>
    <w:rsid w:val="00906ECA"/>
    <w:rsid w:val="009076F9"/>
    <w:rsid w:val="00907CF1"/>
    <w:rsid w:val="009104AB"/>
    <w:rsid w:val="009113E7"/>
    <w:rsid w:val="009118C7"/>
    <w:rsid w:val="00911CDA"/>
    <w:rsid w:val="009126E5"/>
    <w:rsid w:val="00912808"/>
    <w:rsid w:val="00914AEC"/>
    <w:rsid w:val="00915316"/>
    <w:rsid w:val="0091648E"/>
    <w:rsid w:val="0091680C"/>
    <w:rsid w:val="00916B32"/>
    <w:rsid w:val="00916EB5"/>
    <w:rsid w:val="00917D76"/>
    <w:rsid w:val="00917DBE"/>
    <w:rsid w:val="00917E51"/>
    <w:rsid w:val="00917E8A"/>
    <w:rsid w:val="00917F2F"/>
    <w:rsid w:val="009201A0"/>
    <w:rsid w:val="0092046E"/>
    <w:rsid w:val="009210B0"/>
    <w:rsid w:val="00921641"/>
    <w:rsid w:val="00921B69"/>
    <w:rsid w:val="009223A1"/>
    <w:rsid w:val="009225B6"/>
    <w:rsid w:val="00922F4C"/>
    <w:rsid w:val="00923B4E"/>
    <w:rsid w:val="009242CA"/>
    <w:rsid w:val="009243A0"/>
    <w:rsid w:val="00925015"/>
    <w:rsid w:val="00925397"/>
    <w:rsid w:val="009253F5"/>
    <w:rsid w:val="0092749D"/>
    <w:rsid w:val="0092756A"/>
    <w:rsid w:val="009278D3"/>
    <w:rsid w:val="00930DFA"/>
    <w:rsid w:val="0093148D"/>
    <w:rsid w:val="009322CA"/>
    <w:rsid w:val="00932A7E"/>
    <w:rsid w:val="0093351B"/>
    <w:rsid w:val="0093382E"/>
    <w:rsid w:val="00933A21"/>
    <w:rsid w:val="009345EE"/>
    <w:rsid w:val="00934C10"/>
    <w:rsid w:val="00934FF6"/>
    <w:rsid w:val="00934FFB"/>
    <w:rsid w:val="0093564E"/>
    <w:rsid w:val="0093662A"/>
    <w:rsid w:val="009369E8"/>
    <w:rsid w:val="009369F1"/>
    <w:rsid w:val="00936E5C"/>
    <w:rsid w:val="009375C3"/>
    <w:rsid w:val="009375D1"/>
    <w:rsid w:val="00940015"/>
    <w:rsid w:val="009401CE"/>
    <w:rsid w:val="00940214"/>
    <w:rsid w:val="00940345"/>
    <w:rsid w:val="0094051B"/>
    <w:rsid w:val="0094060C"/>
    <w:rsid w:val="00940666"/>
    <w:rsid w:val="009421D6"/>
    <w:rsid w:val="00942E5B"/>
    <w:rsid w:val="009431FC"/>
    <w:rsid w:val="00943BB4"/>
    <w:rsid w:val="00943F66"/>
    <w:rsid w:val="00944075"/>
    <w:rsid w:val="00947042"/>
    <w:rsid w:val="00947B88"/>
    <w:rsid w:val="00947E32"/>
    <w:rsid w:val="0095038D"/>
    <w:rsid w:val="0095096B"/>
    <w:rsid w:val="00950A6F"/>
    <w:rsid w:val="00951550"/>
    <w:rsid w:val="00951CBC"/>
    <w:rsid w:val="00951F5C"/>
    <w:rsid w:val="00952389"/>
    <w:rsid w:val="0095316A"/>
    <w:rsid w:val="009533AB"/>
    <w:rsid w:val="009534AA"/>
    <w:rsid w:val="009535E8"/>
    <w:rsid w:val="009538BD"/>
    <w:rsid w:val="00953928"/>
    <w:rsid w:val="00953EE0"/>
    <w:rsid w:val="0095408A"/>
    <w:rsid w:val="00954331"/>
    <w:rsid w:val="0095444A"/>
    <w:rsid w:val="00955A4A"/>
    <w:rsid w:val="00955A7E"/>
    <w:rsid w:val="0095736E"/>
    <w:rsid w:val="009606A5"/>
    <w:rsid w:val="00962C79"/>
    <w:rsid w:val="00962F1F"/>
    <w:rsid w:val="00962FD0"/>
    <w:rsid w:val="00963351"/>
    <w:rsid w:val="00963702"/>
    <w:rsid w:val="00964083"/>
    <w:rsid w:val="00964B6F"/>
    <w:rsid w:val="00965304"/>
    <w:rsid w:val="009655F0"/>
    <w:rsid w:val="00966D01"/>
    <w:rsid w:val="00966F1B"/>
    <w:rsid w:val="00966FC7"/>
    <w:rsid w:val="00970041"/>
    <w:rsid w:val="00970715"/>
    <w:rsid w:val="00971293"/>
    <w:rsid w:val="009716E3"/>
    <w:rsid w:val="00971FA5"/>
    <w:rsid w:val="009733BF"/>
    <w:rsid w:val="0097363E"/>
    <w:rsid w:val="009736BB"/>
    <w:rsid w:val="00973926"/>
    <w:rsid w:val="00973A3B"/>
    <w:rsid w:val="00973C8C"/>
    <w:rsid w:val="009743B9"/>
    <w:rsid w:val="00975B1A"/>
    <w:rsid w:val="00975C03"/>
    <w:rsid w:val="00976025"/>
    <w:rsid w:val="00976205"/>
    <w:rsid w:val="0097674A"/>
    <w:rsid w:val="009770D0"/>
    <w:rsid w:val="009779EA"/>
    <w:rsid w:val="009802F4"/>
    <w:rsid w:val="009806A7"/>
    <w:rsid w:val="009808AB"/>
    <w:rsid w:val="00980AFF"/>
    <w:rsid w:val="00981045"/>
    <w:rsid w:val="00981930"/>
    <w:rsid w:val="00981D12"/>
    <w:rsid w:val="00981E6C"/>
    <w:rsid w:val="00981F02"/>
    <w:rsid w:val="00982227"/>
    <w:rsid w:val="00982532"/>
    <w:rsid w:val="00982678"/>
    <w:rsid w:val="00982B0B"/>
    <w:rsid w:val="009832DB"/>
    <w:rsid w:val="00983797"/>
    <w:rsid w:val="00983EAE"/>
    <w:rsid w:val="00984816"/>
    <w:rsid w:val="00984D51"/>
    <w:rsid w:val="00985663"/>
    <w:rsid w:val="00985FBF"/>
    <w:rsid w:val="00986122"/>
    <w:rsid w:val="0098682E"/>
    <w:rsid w:val="0098760B"/>
    <w:rsid w:val="00987A2A"/>
    <w:rsid w:val="00991AAF"/>
    <w:rsid w:val="00991EF7"/>
    <w:rsid w:val="00993124"/>
    <w:rsid w:val="00993C75"/>
    <w:rsid w:val="0099406B"/>
    <w:rsid w:val="009960C3"/>
    <w:rsid w:val="00996113"/>
    <w:rsid w:val="0099768E"/>
    <w:rsid w:val="00997864"/>
    <w:rsid w:val="009A11DD"/>
    <w:rsid w:val="009A3D48"/>
    <w:rsid w:val="009A3DF3"/>
    <w:rsid w:val="009A5563"/>
    <w:rsid w:val="009A5FB5"/>
    <w:rsid w:val="009B27DD"/>
    <w:rsid w:val="009B29E0"/>
    <w:rsid w:val="009B30AA"/>
    <w:rsid w:val="009B3B00"/>
    <w:rsid w:val="009B3CCB"/>
    <w:rsid w:val="009B4265"/>
    <w:rsid w:val="009B49FD"/>
    <w:rsid w:val="009B5217"/>
    <w:rsid w:val="009B69DB"/>
    <w:rsid w:val="009B70DB"/>
    <w:rsid w:val="009C0A06"/>
    <w:rsid w:val="009C1941"/>
    <w:rsid w:val="009C1C25"/>
    <w:rsid w:val="009C2151"/>
    <w:rsid w:val="009C3FC6"/>
    <w:rsid w:val="009C4798"/>
    <w:rsid w:val="009C48DE"/>
    <w:rsid w:val="009C677B"/>
    <w:rsid w:val="009C7583"/>
    <w:rsid w:val="009C7861"/>
    <w:rsid w:val="009C7A5B"/>
    <w:rsid w:val="009C7EFF"/>
    <w:rsid w:val="009D0A6A"/>
    <w:rsid w:val="009D0A6F"/>
    <w:rsid w:val="009D115B"/>
    <w:rsid w:val="009D1834"/>
    <w:rsid w:val="009D1B6B"/>
    <w:rsid w:val="009D2C29"/>
    <w:rsid w:val="009D2C61"/>
    <w:rsid w:val="009D3108"/>
    <w:rsid w:val="009D6394"/>
    <w:rsid w:val="009D7C68"/>
    <w:rsid w:val="009D7CBF"/>
    <w:rsid w:val="009E003B"/>
    <w:rsid w:val="009E065D"/>
    <w:rsid w:val="009E19C4"/>
    <w:rsid w:val="009E1D16"/>
    <w:rsid w:val="009E1E1E"/>
    <w:rsid w:val="009E20D2"/>
    <w:rsid w:val="009E33E3"/>
    <w:rsid w:val="009E3657"/>
    <w:rsid w:val="009E365B"/>
    <w:rsid w:val="009E3D39"/>
    <w:rsid w:val="009E44CB"/>
    <w:rsid w:val="009E4C84"/>
    <w:rsid w:val="009E4DC6"/>
    <w:rsid w:val="009E5590"/>
    <w:rsid w:val="009E55B4"/>
    <w:rsid w:val="009E561E"/>
    <w:rsid w:val="009E66D2"/>
    <w:rsid w:val="009E7E78"/>
    <w:rsid w:val="009E7F16"/>
    <w:rsid w:val="009F16A7"/>
    <w:rsid w:val="009F20B3"/>
    <w:rsid w:val="009F26A9"/>
    <w:rsid w:val="009F2957"/>
    <w:rsid w:val="009F2D7D"/>
    <w:rsid w:val="009F4871"/>
    <w:rsid w:val="009F5052"/>
    <w:rsid w:val="009F5376"/>
    <w:rsid w:val="009F5817"/>
    <w:rsid w:val="009F5CB5"/>
    <w:rsid w:val="009F5E35"/>
    <w:rsid w:val="009F5FFE"/>
    <w:rsid w:val="009F65C7"/>
    <w:rsid w:val="009F6677"/>
    <w:rsid w:val="009F6AD9"/>
    <w:rsid w:val="009F7C6E"/>
    <w:rsid w:val="00A00842"/>
    <w:rsid w:val="00A00857"/>
    <w:rsid w:val="00A011A1"/>
    <w:rsid w:val="00A0167E"/>
    <w:rsid w:val="00A017E6"/>
    <w:rsid w:val="00A020B3"/>
    <w:rsid w:val="00A024FF"/>
    <w:rsid w:val="00A02A1C"/>
    <w:rsid w:val="00A034B7"/>
    <w:rsid w:val="00A04C85"/>
    <w:rsid w:val="00A05B30"/>
    <w:rsid w:val="00A05F97"/>
    <w:rsid w:val="00A0654A"/>
    <w:rsid w:val="00A06639"/>
    <w:rsid w:val="00A07467"/>
    <w:rsid w:val="00A07489"/>
    <w:rsid w:val="00A07F53"/>
    <w:rsid w:val="00A100F0"/>
    <w:rsid w:val="00A107BD"/>
    <w:rsid w:val="00A12027"/>
    <w:rsid w:val="00A12030"/>
    <w:rsid w:val="00A12C9A"/>
    <w:rsid w:val="00A13C4C"/>
    <w:rsid w:val="00A141F1"/>
    <w:rsid w:val="00A156E6"/>
    <w:rsid w:val="00A1596E"/>
    <w:rsid w:val="00A164A3"/>
    <w:rsid w:val="00A17AD1"/>
    <w:rsid w:val="00A17F61"/>
    <w:rsid w:val="00A17F87"/>
    <w:rsid w:val="00A20C1B"/>
    <w:rsid w:val="00A220E8"/>
    <w:rsid w:val="00A2278D"/>
    <w:rsid w:val="00A228AA"/>
    <w:rsid w:val="00A23C8B"/>
    <w:rsid w:val="00A23DBC"/>
    <w:rsid w:val="00A241D0"/>
    <w:rsid w:val="00A247DA"/>
    <w:rsid w:val="00A257C5"/>
    <w:rsid w:val="00A267BA"/>
    <w:rsid w:val="00A27630"/>
    <w:rsid w:val="00A27CE3"/>
    <w:rsid w:val="00A27D86"/>
    <w:rsid w:val="00A30566"/>
    <w:rsid w:val="00A30CED"/>
    <w:rsid w:val="00A316C0"/>
    <w:rsid w:val="00A32F8F"/>
    <w:rsid w:val="00A33151"/>
    <w:rsid w:val="00A33472"/>
    <w:rsid w:val="00A339B0"/>
    <w:rsid w:val="00A34E2C"/>
    <w:rsid w:val="00A35086"/>
    <w:rsid w:val="00A36792"/>
    <w:rsid w:val="00A36970"/>
    <w:rsid w:val="00A36F09"/>
    <w:rsid w:val="00A4175E"/>
    <w:rsid w:val="00A41EB4"/>
    <w:rsid w:val="00A42304"/>
    <w:rsid w:val="00A4250D"/>
    <w:rsid w:val="00A429BC"/>
    <w:rsid w:val="00A42C05"/>
    <w:rsid w:val="00A437B0"/>
    <w:rsid w:val="00A438ED"/>
    <w:rsid w:val="00A43929"/>
    <w:rsid w:val="00A442F6"/>
    <w:rsid w:val="00A44BFF"/>
    <w:rsid w:val="00A463EC"/>
    <w:rsid w:val="00A465DB"/>
    <w:rsid w:val="00A46946"/>
    <w:rsid w:val="00A470D3"/>
    <w:rsid w:val="00A47468"/>
    <w:rsid w:val="00A47B55"/>
    <w:rsid w:val="00A501E3"/>
    <w:rsid w:val="00A5083C"/>
    <w:rsid w:val="00A50F0C"/>
    <w:rsid w:val="00A51A80"/>
    <w:rsid w:val="00A51F08"/>
    <w:rsid w:val="00A523C1"/>
    <w:rsid w:val="00A523F4"/>
    <w:rsid w:val="00A52660"/>
    <w:rsid w:val="00A52C8D"/>
    <w:rsid w:val="00A52DEE"/>
    <w:rsid w:val="00A52F12"/>
    <w:rsid w:val="00A53716"/>
    <w:rsid w:val="00A53A5D"/>
    <w:rsid w:val="00A53E2E"/>
    <w:rsid w:val="00A53F50"/>
    <w:rsid w:val="00A544FA"/>
    <w:rsid w:val="00A547A3"/>
    <w:rsid w:val="00A548F9"/>
    <w:rsid w:val="00A54E12"/>
    <w:rsid w:val="00A54E21"/>
    <w:rsid w:val="00A558F1"/>
    <w:rsid w:val="00A5618A"/>
    <w:rsid w:val="00A56399"/>
    <w:rsid w:val="00A56441"/>
    <w:rsid w:val="00A57134"/>
    <w:rsid w:val="00A57393"/>
    <w:rsid w:val="00A618BF"/>
    <w:rsid w:val="00A62127"/>
    <w:rsid w:val="00A6326C"/>
    <w:rsid w:val="00A63930"/>
    <w:rsid w:val="00A644A3"/>
    <w:rsid w:val="00A651B7"/>
    <w:rsid w:val="00A6689E"/>
    <w:rsid w:val="00A670D4"/>
    <w:rsid w:val="00A70E20"/>
    <w:rsid w:val="00A71B0F"/>
    <w:rsid w:val="00A72818"/>
    <w:rsid w:val="00A72CAE"/>
    <w:rsid w:val="00A731A4"/>
    <w:rsid w:val="00A73208"/>
    <w:rsid w:val="00A736DD"/>
    <w:rsid w:val="00A73A82"/>
    <w:rsid w:val="00A7432D"/>
    <w:rsid w:val="00A75C72"/>
    <w:rsid w:val="00A75D1B"/>
    <w:rsid w:val="00A75E58"/>
    <w:rsid w:val="00A7610B"/>
    <w:rsid w:val="00A761A6"/>
    <w:rsid w:val="00A76B67"/>
    <w:rsid w:val="00A76E10"/>
    <w:rsid w:val="00A76E78"/>
    <w:rsid w:val="00A7728E"/>
    <w:rsid w:val="00A774EA"/>
    <w:rsid w:val="00A77DB8"/>
    <w:rsid w:val="00A8067B"/>
    <w:rsid w:val="00A806EB"/>
    <w:rsid w:val="00A809FF"/>
    <w:rsid w:val="00A81585"/>
    <w:rsid w:val="00A816E2"/>
    <w:rsid w:val="00A81A18"/>
    <w:rsid w:val="00A81E8B"/>
    <w:rsid w:val="00A81EDE"/>
    <w:rsid w:val="00A82248"/>
    <w:rsid w:val="00A8266C"/>
    <w:rsid w:val="00A82869"/>
    <w:rsid w:val="00A83056"/>
    <w:rsid w:val="00A85A1A"/>
    <w:rsid w:val="00A863B3"/>
    <w:rsid w:val="00A87232"/>
    <w:rsid w:val="00A8754E"/>
    <w:rsid w:val="00A8758C"/>
    <w:rsid w:val="00A87CF0"/>
    <w:rsid w:val="00A90E8C"/>
    <w:rsid w:val="00A91006"/>
    <w:rsid w:val="00A91576"/>
    <w:rsid w:val="00A92393"/>
    <w:rsid w:val="00A92538"/>
    <w:rsid w:val="00A92BAF"/>
    <w:rsid w:val="00A93381"/>
    <w:rsid w:val="00A9364C"/>
    <w:rsid w:val="00A93B5C"/>
    <w:rsid w:val="00A93B8C"/>
    <w:rsid w:val="00A93C17"/>
    <w:rsid w:val="00A9410F"/>
    <w:rsid w:val="00A944A9"/>
    <w:rsid w:val="00A94949"/>
    <w:rsid w:val="00A95E79"/>
    <w:rsid w:val="00A96099"/>
    <w:rsid w:val="00A9630A"/>
    <w:rsid w:val="00A968F4"/>
    <w:rsid w:val="00A96BF0"/>
    <w:rsid w:val="00A97127"/>
    <w:rsid w:val="00A9775A"/>
    <w:rsid w:val="00AA06F3"/>
    <w:rsid w:val="00AA08C6"/>
    <w:rsid w:val="00AA0BEB"/>
    <w:rsid w:val="00AA127E"/>
    <w:rsid w:val="00AA19AE"/>
    <w:rsid w:val="00AA1BC0"/>
    <w:rsid w:val="00AA2013"/>
    <w:rsid w:val="00AA2856"/>
    <w:rsid w:val="00AA3063"/>
    <w:rsid w:val="00AA3A94"/>
    <w:rsid w:val="00AA423D"/>
    <w:rsid w:val="00AA4DE4"/>
    <w:rsid w:val="00AA69D3"/>
    <w:rsid w:val="00AA6A95"/>
    <w:rsid w:val="00AA7DEC"/>
    <w:rsid w:val="00AB00E3"/>
    <w:rsid w:val="00AB0AE0"/>
    <w:rsid w:val="00AB10DE"/>
    <w:rsid w:val="00AB1AF1"/>
    <w:rsid w:val="00AB3460"/>
    <w:rsid w:val="00AB3668"/>
    <w:rsid w:val="00AB4940"/>
    <w:rsid w:val="00AB56C1"/>
    <w:rsid w:val="00AB5ED7"/>
    <w:rsid w:val="00AB61AD"/>
    <w:rsid w:val="00AB6C24"/>
    <w:rsid w:val="00AB7CD7"/>
    <w:rsid w:val="00AC0001"/>
    <w:rsid w:val="00AC0B4C"/>
    <w:rsid w:val="00AC13FE"/>
    <w:rsid w:val="00AC1CDF"/>
    <w:rsid w:val="00AC3A6F"/>
    <w:rsid w:val="00AC5B9E"/>
    <w:rsid w:val="00AC5F01"/>
    <w:rsid w:val="00AC656D"/>
    <w:rsid w:val="00AC7DB5"/>
    <w:rsid w:val="00AD0567"/>
    <w:rsid w:val="00AD0A2A"/>
    <w:rsid w:val="00AD0AEE"/>
    <w:rsid w:val="00AD1051"/>
    <w:rsid w:val="00AD2291"/>
    <w:rsid w:val="00AD3C6C"/>
    <w:rsid w:val="00AD3EFE"/>
    <w:rsid w:val="00AD49E3"/>
    <w:rsid w:val="00AD4B4F"/>
    <w:rsid w:val="00AD5C58"/>
    <w:rsid w:val="00AD660C"/>
    <w:rsid w:val="00AD6A9A"/>
    <w:rsid w:val="00AD79F3"/>
    <w:rsid w:val="00AE074F"/>
    <w:rsid w:val="00AE078B"/>
    <w:rsid w:val="00AE1668"/>
    <w:rsid w:val="00AE25F0"/>
    <w:rsid w:val="00AE36DA"/>
    <w:rsid w:val="00AE42C6"/>
    <w:rsid w:val="00AE48F5"/>
    <w:rsid w:val="00AE4926"/>
    <w:rsid w:val="00AE4F07"/>
    <w:rsid w:val="00AE627C"/>
    <w:rsid w:val="00AE6BE6"/>
    <w:rsid w:val="00AE6C8B"/>
    <w:rsid w:val="00AE7696"/>
    <w:rsid w:val="00AE7809"/>
    <w:rsid w:val="00AF0616"/>
    <w:rsid w:val="00AF06E5"/>
    <w:rsid w:val="00AF0D73"/>
    <w:rsid w:val="00AF0E28"/>
    <w:rsid w:val="00AF1480"/>
    <w:rsid w:val="00AF1788"/>
    <w:rsid w:val="00AF1824"/>
    <w:rsid w:val="00AF1E5E"/>
    <w:rsid w:val="00AF237C"/>
    <w:rsid w:val="00AF2F1D"/>
    <w:rsid w:val="00AF3ADA"/>
    <w:rsid w:val="00AF5D5E"/>
    <w:rsid w:val="00AF6A87"/>
    <w:rsid w:val="00AF6AB3"/>
    <w:rsid w:val="00AF6BD8"/>
    <w:rsid w:val="00AF6F9B"/>
    <w:rsid w:val="00AF7A07"/>
    <w:rsid w:val="00B007B7"/>
    <w:rsid w:val="00B0132C"/>
    <w:rsid w:val="00B01409"/>
    <w:rsid w:val="00B0149D"/>
    <w:rsid w:val="00B02655"/>
    <w:rsid w:val="00B04D8E"/>
    <w:rsid w:val="00B05126"/>
    <w:rsid w:val="00B0545D"/>
    <w:rsid w:val="00B059BC"/>
    <w:rsid w:val="00B05B09"/>
    <w:rsid w:val="00B068BF"/>
    <w:rsid w:val="00B109D6"/>
    <w:rsid w:val="00B10DBD"/>
    <w:rsid w:val="00B11164"/>
    <w:rsid w:val="00B11364"/>
    <w:rsid w:val="00B11F8D"/>
    <w:rsid w:val="00B11FB1"/>
    <w:rsid w:val="00B12283"/>
    <w:rsid w:val="00B126B3"/>
    <w:rsid w:val="00B131A9"/>
    <w:rsid w:val="00B13998"/>
    <w:rsid w:val="00B14AE1"/>
    <w:rsid w:val="00B14B0F"/>
    <w:rsid w:val="00B14E20"/>
    <w:rsid w:val="00B14F40"/>
    <w:rsid w:val="00B15629"/>
    <w:rsid w:val="00B15FEF"/>
    <w:rsid w:val="00B165C4"/>
    <w:rsid w:val="00B16A32"/>
    <w:rsid w:val="00B16AEF"/>
    <w:rsid w:val="00B16CC9"/>
    <w:rsid w:val="00B171A5"/>
    <w:rsid w:val="00B17C17"/>
    <w:rsid w:val="00B2016F"/>
    <w:rsid w:val="00B20404"/>
    <w:rsid w:val="00B21021"/>
    <w:rsid w:val="00B2203F"/>
    <w:rsid w:val="00B22727"/>
    <w:rsid w:val="00B22AAA"/>
    <w:rsid w:val="00B22ED8"/>
    <w:rsid w:val="00B230DB"/>
    <w:rsid w:val="00B2339C"/>
    <w:rsid w:val="00B2372C"/>
    <w:rsid w:val="00B2413D"/>
    <w:rsid w:val="00B24670"/>
    <w:rsid w:val="00B2473B"/>
    <w:rsid w:val="00B24CAC"/>
    <w:rsid w:val="00B250FE"/>
    <w:rsid w:val="00B25105"/>
    <w:rsid w:val="00B267EE"/>
    <w:rsid w:val="00B26DD6"/>
    <w:rsid w:val="00B27737"/>
    <w:rsid w:val="00B27921"/>
    <w:rsid w:val="00B308EC"/>
    <w:rsid w:val="00B322EB"/>
    <w:rsid w:val="00B32F70"/>
    <w:rsid w:val="00B32FF5"/>
    <w:rsid w:val="00B3365D"/>
    <w:rsid w:val="00B341DE"/>
    <w:rsid w:val="00B348AA"/>
    <w:rsid w:val="00B34AF4"/>
    <w:rsid w:val="00B3503D"/>
    <w:rsid w:val="00B35D0B"/>
    <w:rsid w:val="00B370E0"/>
    <w:rsid w:val="00B37357"/>
    <w:rsid w:val="00B373D0"/>
    <w:rsid w:val="00B37F84"/>
    <w:rsid w:val="00B40BB9"/>
    <w:rsid w:val="00B4142B"/>
    <w:rsid w:val="00B42C4B"/>
    <w:rsid w:val="00B42C99"/>
    <w:rsid w:val="00B43AAA"/>
    <w:rsid w:val="00B44A10"/>
    <w:rsid w:val="00B4507F"/>
    <w:rsid w:val="00B450F0"/>
    <w:rsid w:val="00B45F3C"/>
    <w:rsid w:val="00B45FDB"/>
    <w:rsid w:val="00B47206"/>
    <w:rsid w:val="00B4755F"/>
    <w:rsid w:val="00B47728"/>
    <w:rsid w:val="00B506E7"/>
    <w:rsid w:val="00B509BC"/>
    <w:rsid w:val="00B51270"/>
    <w:rsid w:val="00B51E59"/>
    <w:rsid w:val="00B52AA7"/>
    <w:rsid w:val="00B52C19"/>
    <w:rsid w:val="00B52F9A"/>
    <w:rsid w:val="00B53071"/>
    <w:rsid w:val="00B53139"/>
    <w:rsid w:val="00B53300"/>
    <w:rsid w:val="00B533A8"/>
    <w:rsid w:val="00B53E91"/>
    <w:rsid w:val="00B54425"/>
    <w:rsid w:val="00B544B4"/>
    <w:rsid w:val="00B547D7"/>
    <w:rsid w:val="00B55BF0"/>
    <w:rsid w:val="00B562CE"/>
    <w:rsid w:val="00B56568"/>
    <w:rsid w:val="00B5739F"/>
    <w:rsid w:val="00B60689"/>
    <w:rsid w:val="00B60B84"/>
    <w:rsid w:val="00B61D73"/>
    <w:rsid w:val="00B62A61"/>
    <w:rsid w:val="00B62DE2"/>
    <w:rsid w:val="00B62E1B"/>
    <w:rsid w:val="00B63EA4"/>
    <w:rsid w:val="00B6413B"/>
    <w:rsid w:val="00B64516"/>
    <w:rsid w:val="00B64AE8"/>
    <w:rsid w:val="00B650AB"/>
    <w:rsid w:val="00B65766"/>
    <w:rsid w:val="00B660BD"/>
    <w:rsid w:val="00B70412"/>
    <w:rsid w:val="00B70644"/>
    <w:rsid w:val="00B72D53"/>
    <w:rsid w:val="00B7322D"/>
    <w:rsid w:val="00B737D4"/>
    <w:rsid w:val="00B73949"/>
    <w:rsid w:val="00B7413F"/>
    <w:rsid w:val="00B74417"/>
    <w:rsid w:val="00B74D36"/>
    <w:rsid w:val="00B75275"/>
    <w:rsid w:val="00B7552C"/>
    <w:rsid w:val="00B756E7"/>
    <w:rsid w:val="00B757F4"/>
    <w:rsid w:val="00B77246"/>
    <w:rsid w:val="00B77532"/>
    <w:rsid w:val="00B811E8"/>
    <w:rsid w:val="00B81639"/>
    <w:rsid w:val="00B81C30"/>
    <w:rsid w:val="00B81CAB"/>
    <w:rsid w:val="00B81CD9"/>
    <w:rsid w:val="00B82982"/>
    <w:rsid w:val="00B82A90"/>
    <w:rsid w:val="00B82EC0"/>
    <w:rsid w:val="00B8491B"/>
    <w:rsid w:val="00B84B37"/>
    <w:rsid w:val="00B85042"/>
    <w:rsid w:val="00B8523B"/>
    <w:rsid w:val="00B85321"/>
    <w:rsid w:val="00B8534F"/>
    <w:rsid w:val="00B857CC"/>
    <w:rsid w:val="00B86350"/>
    <w:rsid w:val="00B866CD"/>
    <w:rsid w:val="00B87CD3"/>
    <w:rsid w:val="00B90E41"/>
    <w:rsid w:val="00B91A00"/>
    <w:rsid w:val="00B92A8F"/>
    <w:rsid w:val="00B93034"/>
    <w:rsid w:val="00B93424"/>
    <w:rsid w:val="00B934AE"/>
    <w:rsid w:val="00B9363E"/>
    <w:rsid w:val="00B93AB5"/>
    <w:rsid w:val="00B93AD3"/>
    <w:rsid w:val="00B943F3"/>
    <w:rsid w:val="00B95083"/>
    <w:rsid w:val="00B953DC"/>
    <w:rsid w:val="00B953F2"/>
    <w:rsid w:val="00B96114"/>
    <w:rsid w:val="00B962A2"/>
    <w:rsid w:val="00B96538"/>
    <w:rsid w:val="00B96F3F"/>
    <w:rsid w:val="00B9743B"/>
    <w:rsid w:val="00B976E0"/>
    <w:rsid w:val="00B97C5D"/>
    <w:rsid w:val="00BA098F"/>
    <w:rsid w:val="00BA0D49"/>
    <w:rsid w:val="00BA0DED"/>
    <w:rsid w:val="00BA105B"/>
    <w:rsid w:val="00BA1290"/>
    <w:rsid w:val="00BA215D"/>
    <w:rsid w:val="00BA2584"/>
    <w:rsid w:val="00BA2599"/>
    <w:rsid w:val="00BA259C"/>
    <w:rsid w:val="00BA27BD"/>
    <w:rsid w:val="00BA2DDB"/>
    <w:rsid w:val="00BA3101"/>
    <w:rsid w:val="00BA3297"/>
    <w:rsid w:val="00BA3C02"/>
    <w:rsid w:val="00BA4132"/>
    <w:rsid w:val="00BA4238"/>
    <w:rsid w:val="00BA4F23"/>
    <w:rsid w:val="00BA5391"/>
    <w:rsid w:val="00BA6256"/>
    <w:rsid w:val="00BA69FF"/>
    <w:rsid w:val="00BA7883"/>
    <w:rsid w:val="00BA7F1E"/>
    <w:rsid w:val="00BB0ACA"/>
    <w:rsid w:val="00BB1717"/>
    <w:rsid w:val="00BB1861"/>
    <w:rsid w:val="00BB18D2"/>
    <w:rsid w:val="00BB19F8"/>
    <w:rsid w:val="00BB24ED"/>
    <w:rsid w:val="00BB25E4"/>
    <w:rsid w:val="00BB2792"/>
    <w:rsid w:val="00BB382C"/>
    <w:rsid w:val="00BB39A5"/>
    <w:rsid w:val="00BB3AA7"/>
    <w:rsid w:val="00BB3F68"/>
    <w:rsid w:val="00BB4BC4"/>
    <w:rsid w:val="00BB51A8"/>
    <w:rsid w:val="00BB5625"/>
    <w:rsid w:val="00BB6509"/>
    <w:rsid w:val="00BB690E"/>
    <w:rsid w:val="00BB74AD"/>
    <w:rsid w:val="00BB76BF"/>
    <w:rsid w:val="00BC0634"/>
    <w:rsid w:val="00BC07EA"/>
    <w:rsid w:val="00BC0F25"/>
    <w:rsid w:val="00BC15F9"/>
    <w:rsid w:val="00BC1AD1"/>
    <w:rsid w:val="00BC4167"/>
    <w:rsid w:val="00BC4A58"/>
    <w:rsid w:val="00BC4FE6"/>
    <w:rsid w:val="00BC522C"/>
    <w:rsid w:val="00BC5878"/>
    <w:rsid w:val="00BC5AB9"/>
    <w:rsid w:val="00BC5E95"/>
    <w:rsid w:val="00BC613B"/>
    <w:rsid w:val="00BC6C7B"/>
    <w:rsid w:val="00BC7EA6"/>
    <w:rsid w:val="00BC7F90"/>
    <w:rsid w:val="00BD0343"/>
    <w:rsid w:val="00BD04DA"/>
    <w:rsid w:val="00BD1347"/>
    <w:rsid w:val="00BD1C38"/>
    <w:rsid w:val="00BD1E68"/>
    <w:rsid w:val="00BD23D3"/>
    <w:rsid w:val="00BD2A5D"/>
    <w:rsid w:val="00BD3048"/>
    <w:rsid w:val="00BD3400"/>
    <w:rsid w:val="00BD349B"/>
    <w:rsid w:val="00BD372E"/>
    <w:rsid w:val="00BD51D9"/>
    <w:rsid w:val="00BD5703"/>
    <w:rsid w:val="00BD5BA8"/>
    <w:rsid w:val="00BD5C76"/>
    <w:rsid w:val="00BD6169"/>
    <w:rsid w:val="00BD64E2"/>
    <w:rsid w:val="00BD7216"/>
    <w:rsid w:val="00BD728B"/>
    <w:rsid w:val="00BD78E9"/>
    <w:rsid w:val="00BD7980"/>
    <w:rsid w:val="00BE000C"/>
    <w:rsid w:val="00BE1071"/>
    <w:rsid w:val="00BE1818"/>
    <w:rsid w:val="00BE1A0D"/>
    <w:rsid w:val="00BE2661"/>
    <w:rsid w:val="00BE2BF9"/>
    <w:rsid w:val="00BE3320"/>
    <w:rsid w:val="00BE3797"/>
    <w:rsid w:val="00BE3E95"/>
    <w:rsid w:val="00BE462E"/>
    <w:rsid w:val="00BE4995"/>
    <w:rsid w:val="00BE5107"/>
    <w:rsid w:val="00BE55CA"/>
    <w:rsid w:val="00BE624F"/>
    <w:rsid w:val="00BE707C"/>
    <w:rsid w:val="00BE73E7"/>
    <w:rsid w:val="00BE7764"/>
    <w:rsid w:val="00BF26EF"/>
    <w:rsid w:val="00BF2A9D"/>
    <w:rsid w:val="00BF2E62"/>
    <w:rsid w:val="00BF32DB"/>
    <w:rsid w:val="00BF3573"/>
    <w:rsid w:val="00BF429A"/>
    <w:rsid w:val="00BF4B69"/>
    <w:rsid w:val="00BF4F64"/>
    <w:rsid w:val="00BF5895"/>
    <w:rsid w:val="00BF62BE"/>
    <w:rsid w:val="00BF6562"/>
    <w:rsid w:val="00BF6E19"/>
    <w:rsid w:val="00BF71DB"/>
    <w:rsid w:val="00C0023B"/>
    <w:rsid w:val="00C01D79"/>
    <w:rsid w:val="00C01F42"/>
    <w:rsid w:val="00C02067"/>
    <w:rsid w:val="00C036ED"/>
    <w:rsid w:val="00C051FD"/>
    <w:rsid w:val="00C05A51"/>
    <w:rsid w:val="00C06DBB"/>
    <w:rsid w:val="00C06E5D"/>
    <w:rsid w:val="00C06F1C"/>
    <w:rsid w:val="00C07126"/>
    <w:rsid w:val="00C073A6"/>
    <w:rsid w:val="00C11461"/>
    <w:rsid w:val="00C114D5"/>
    <w:rsid w:val="00C115E2"/>
    <w:rsid w:val="00C125B2"/>
    <w:rsid w:val="00C14759"/>
    <w:rsid w:val="00C155BD"/>
    <w:rsid w:val="00C15D78"/>
    <w:rsid w:val="00C166A9"/>
    <w:rsid w:val="00C16853"/>
    <w:rsid w:val="00C16BA6"/>
    <w:rsid w:val="00C17753"/>
    <w:rsid w:val="00C2013A"/>
    <w:rsid w:val="00C2042C"/>
    <w:rsid w:val="00C204F8"/>
    <w:rsid w:val="00C213D6"/>
    <w:rsid w:val="00C21827"/>
    <w:rsid w:val="00C21F19"/>
    <w:rsid w:val="00C2213F"/>
    <w:rsid w:val="00C231A0"/>
    <w:rsid w:val="00C232B7"/>
    <w:rsid w:val="00C234FF"/>
    <w:rsid w:val="00C23554"/>
    <w:rsid w:val="00C24C70"/>
    <w:rsid w:val="00C24E3B"/>
    <w:rsid w:val="00C2632F"/>
    <w:rsid w:val="00C263F0"/>
    <w:rsid w:val="00C275A8"/>
    <w:rsid w:val="00C30C43"/>
    <w:rsid w:val="00C30CC3"/>
    <w:rsid w:val="00C32CD5"/>
    <w:rsid w:val="00C33822"/>
    <w:rsid w:val="00C33D41"/>
    <w:rsid w:val="00C34A8A"/>
    <w:rsid w:val="00C35B43"/>
    <w:rsid w:val="00C36297"/>
    <w:rsid w:val="00C374B8"/>
    <w:rsid w:val="00C37BCC"/>
    <w:rsid w:val="00C40106"/>
    <w:rsid w:val="00C4081F"/>
    <w:rsid w:val="00C40AFD"/>
    <w:rsid w:val="00C41BB5"/>
    <w:rsid w:val="00C41E20"/>
    <w:rsid w:val="00C42573"/>
    <w:rsid w:val="00C42E3E"/>
    <w:rsid w:val="00C441D8"/>
    <w:rsid w:val="00C45333"/>
    <w:rsid w:val="00C45F67"/>
    <w:rsid w:val="00C46023"/>
    <w:rsid w:val="00C46142"/>
    <w:rsid w:val="00C4680C"/>
    <w:rsid w:val="00C47AD6"/>
    <w:rsid w:val="00C511D2"/>
    <w:rsid w:val="00C5166F"/>
    <w:rsid w:val="00C51C13"/>
    <w:rsid w:val="00C51D70"/>
    <w:rsid w:val="00C51ECB"/>
    <w:rsid w:val="00C52295"/>
    <w:rsid w:val="00C525A5"/>
    <w:rsid w:val="00C5300F"/>
    <w:rsid w:val="00C53069"/>
    <w:rsid w:val="00C531FA"/>
    <w:rsid w:val="00C53710"/>
    <w:rsid w:val="00C53718"/>
    <w:rsid w:val="00C54951"/>
    <w:rsid w:val="00C54FAC"/>
    <w:rsid w:val="00C55AC9"/>
    <w:rsid w:val="00C563A1"/>
    <w:rsid w:val="00C566DC"/>
    <w:rsid w:val="00C5678C"/>
    <w:rsid w:val="00C5678E"/>
    <w:rsid w:val="00C56D1A"/>
    <w:rsid w:val="00C578DF"/>
    <w:rsid w:val="00C57A3C"/>
    <w:rsid w:val="00C57BF3"/>
    <w:rsid w:val="00C6035D"/>
    <w:rsid w:val="00C60E12"/>
    <w:rsid w:val="00C61292"/>
    <w:rsid w:val="00C615CC"/>
    <w:rsid w:val="00C61739"/>
    <w:rsid w:val="00C61CCB"/>
    <w:rsid w:val="00C620B7"/>
    <w:rsid w:val="00C649EA"/>
    <w:rsid w:val="00C65824"/>
    <w:rsid w:val="00C65EFD"/>
    <w:rsid w:val="00C66CE0"/>
    <w:rsid w:val="00C6704B"/>
    <w:rsid w:val="00C67B44"/>
    <w:rsid w:val="00C70486"/>
    <w:rsid w:val="00C70978"/>
    <w:rsid w:val="00C70A68"/>
    <w:rsid w:val="00C717C5"/>
    <w:rsid w:val="00C71BED"/>
    <w:rsid w:val="00C71C61"/>
    <w:rsid w:val="00C72AA9"/>
    <w:rsid w:val="00C72B1E"/>
    <w:rsid w:val="00C73020"/>
    <w:rsid w:val="00C738C2"/>
    <w:rsid w:val="00C747C0"/>
    <w:rsid w:val="00C74CF7"/>
    <w:rsid w:val="00C756D3"/>
    <w:rsid w:val="00C75DCC"/>
    <w:rsid w:val="00C76B75"/>
    <w:rsid w:val="00C7759C"/>
    <w:rsid w:val="00C776F4"/>
    <w:rsid w:val="00C77D00"/>
    <w:rsid w:val="00C810A2"/>
    <w:rsid w:val="00C8115A"/>
    <w:rsid w:val="00C81A63"/>
    <w:rsid w:val="00C81B53"/>
    <w:rsid w:val="00C82AD2"/>
    <w:rsid w:val="00C82CD2"/>
    <w:rsid w:val="00C8322E"/>
    <w:rsid w:val="00C834E4"/>
    <w:rsid w:val="00C83734"/>
    <w:rsid w:val="00C8447A"/>
    <w:rsid w:val="00C8594A"/>
    <w:rsid w:val="00C85EEF"/>
    <w:rsid w:val="00C86772"/>
    <w:rsid w:val="00C86CDB"/>
    <w:rsid w:val="00C90005"/>
    <w:rsid w:val="00C90AF8"/>
    <w:rsid w:val="00C90EA9"/>
    <w:rsid w:val="00C90FB6"/>
    <w:rsid w:val="00C9149C"/>
    <w:rsid w:val="00C9220E"/>
    <w:rsid w:val="00C92628"/>
    <w:rsid w:val="00C932BD"/>
    <w:rsid w:val="00C93429"/>
    <w:rsid w:val="00C95968"/>
    <w:rsid w:val="00C9624A"/>
    <w:rsid w:val="00C968FB"/>
    <w:rsid w:val="00C9762E"/>
    <w:rsid w:val="00CA09D7"/>
    <w:rsid w:val="00CA0A1F"/>
    <w:rsid w:val="00CA0EF8"/>
    <w:rsid w:val="00CA1544"/>
    <w:rsid w:val="00CA16C5"/>
    <w:rsid w:val="00CA28CA"/>
    <w:rsid w:val="00CA2FD0"/>
    <w:rsid w:val="00CA415A"/>
    <w:rsid w:val="00CA4718"/>
    <w:rsid w:val="00CA56AF"/>
    <w:rsid w:val="00CA5D3D"/>
    <w:rsid w:val="00CA5F85"/>
    <w:rsid w:val="00CA5FF2"/>
    <w:rsid w:val="00CA60B2"/>
    <w:rsid w:val="00CA7830"/>
    <w:rsid w:val="00CA793B"/>
    <w:rsid w:val="00CA79C3"/>
    <w:rsid w:val="00CA7A35"/>
    <w:rsid w:val="00CB0722"/>
    <w:rsid w:val="00CB0BF4"/>
    <w:rsid w:val="00CB1536"/>
    <w:rsid w:val="00CB18D3"/>
    <w:rsid w:val="00CB1F5F"/>
    <w:rsid w:val="00CB2825"/>
    <w:rsid w:val="00CB2C50"/>
    <w:rsid w:val="00CB37D8"/>
    <w:rsid w:val="00CB5237"/>
    <w:rsid w:val="00CB5C02"/>
    <w:rsid w:val="00CB5D36"/>
    <w:rsid w:val="00CB5F3C"/>
    <w:rsid w:val="00CB5FA1"/>
    <w:rsid w:val="00CB62D9"/>
    <w:rsid w:val="00CB71C7"/>
    <w:rsid w:val="00CB72ED"/>
    <w:rsid w:val="00CB7582"/>
    <w:rsid w:val="00CB7A53"/>
    <w:rsid w:val="00CB7B9F"/>
    <w:rsid w:val="00CB7FB8"/>
    <w:rsid w:val="00CB7FE8"/>
    <w:rsid w:val="00CC045F"/>
    <w:rsid w:val="00CC07AA"/>
    <w:rsid w:val="00CC0D27"/>
    <w:rsid w:val="00CC0F50"/>
    <w:rsid w:val="00CC11E1"/>
    <w:rsid w:val="00CC16E7"/>
    <w:rsid w:val="00CC19DD"/>
    <w:rsid w:val="00CC19FB"/>
    <w:rsid w:val="00CC1F71"/>
    <w:rsid w:val="00CC255A"/>
    <w:rsid w:val="00CC27C4"/>
    <w:rsid w:val="00CC2DC7"/>
    <w:rsid w:val="00CC3146"/>
    <w:rsid w:val="00CC490C"/>
    <w:rsid w:val="00CC4F55"/>
    <w:rsid w:val="00CC5EB3"/>
    <w:rsid w:val="00CC5ED1"/>
    <w:rsid w:val="00CC6780"/>
    <w:rsid w:val="00CC6ADF"/>
    <w:rsid w:val="00CC7681"/>
    <w:rsid w:val="00CD09B8"/>
    <w:rsid w:val="00CD0E7B"/>
    <w:rsid w:val="00CD14ED"/>
    <w:rsid w:val="00CD1734"/>
    <w:rsid w:val="00CD198D"/>
    <w:rsid w:val="00CD1A46"/>
    <w:rsid w:val="00CD1D7A"/>
    <w:rsid w:val="00CD225B"/>
    <w:rsid w:val="00CD242F"/>
    <w:rsid w:val="00CD267B"/>
    <w:rsid w:val="00CD284A"/>
    <w:rsid w:val="00CD2A22"/>
    <w:rsid w:val="00CD2ABD"/>
    <w:rsid w:val="00CD2D4D"/>
    <w:rsid w:val="00CD3533"/>
    <w:rsid w:val="00CD3E82"/>
    <w:rsid w:val="00CD4024"/>
    <w:rsid w:val="00CD4617"/>
    <w:rsid w:val="00CD4855"/>
    <w:rsid w:val="00CD49E3"/>
    <w:rsid w:val="00CD4C3C"/>
    <w:rsid w:val="00CD702D"/>
    <w:rsid w:val="00CD7150"/>
    <w:rsid w:val="00CE0A4A"/>
    <w:rsid w:val="00CE16FD"/>
    <w:rsid w:val="00CE1908"/>
    <w:rsid w:val="00CE4184"/>
    <w:rsid w:val="00CE4C23"/>
    <w:rsid w:val="00CE4DC3"/>
    <w:rsid w:val="00CE54B7"/>
    <w:rsid w:val="00CE55DB"/>
    <w:rsid w:val="00CE6C32"/>
    <w:rsid w:val="00CE6D43"/>
    <w:rsid w:val="00CE7541"/>
    <w:rsid w:val="00CE7644"/>
    <w:rsid w:val="00CE7743"/>
    <w:rsid w:val="00CE7888"/>
    <w:rsid w:val="00CE7A5F"/>
    <w:rsid w:val="00CE7DCE"/>
    <w:rsid w:val="00CF0DD1"/>
    <w:rsid w:val="00CF13A7"/>
    <w:rsid w:val="00CF1775"/>
    <w:rsid w:val="00CF197D"/>
    <w:rsid w:val="00CF285F"/>
    <w:rsid w:val="00CF2FE4"/>
    <w:rsid w:val="00CF3BA9"/>
    <w:rsid w:val="00CF4ADF"/>
    <w:rsid w:val="00CF59BE"/>
    <w:rsid w:val="00CF5A78"/>
    <w:rsid w:val="00CF6688"/>
    <w:rsid w:val="00CF6F2E"/>
    <w:rsid w:val="00CF7A60"/>
    <w:rsid w:val="00CF7F66"/>
    <w:rsid w:val="00D00273"/>
    <w:rsid w:val="00D00ECC"/>
    <w:rsid w:val="00D02CB0"/>
    <w:rsid w:val="00D03F6E"/>
    <w:rsid w:val="00D04AB6"/>
    <w:rsid w:val="00D04D4F"/>
    <w:rsid w:val="00D0650B"/>
    <w:rsid w:val="00D065FB"/>
    <w:rsid w:val="00D06AA3"/>
    <w:rsid w:val="00D06B82"/>
    <w:rsid w:val="00D10E1C"/>
    <w:rsid w:val="00D11ADB"/>
    <w:rsid w:val="00D120BB"/>
    <w:rsid w:val="00D13CE2"/>
    <w:rsid w:val="00D13D0E"/>
    <w:rsid w:val="00D14774"/>
    <w:rsid w:val="00D158B2"/>
    <w:rsid w:val="00D161A3"/>
    <w:rsid w:val="00D173E4"/>
    <w:rsid w:val="00D17D83"/>
    <w:rsid w:val="00D2027F"/>
    <w:rsid w:val="00D216BC"/>
    <w:rsid w:val="00D21BBE"/>
    <w:rsid w:val="00D223A2"/>
    <w:rsid w:val="00D2275F"/>
    <w:rsid w:val="00D22E49"/>
    <w:rsid w:val="00D23716"/>
    <w:rsid w:val="00D24042"/>
    <w:rsid w:val="00D25C3E"/>
    <w:rsid w:val="00D25ED8"/>
    <w:rsid w:val="00D26EC6"/>
    <w:rsid w:val="00D27F8F"/>
    <w:rsid w:val="00D30895"/>
    <w:rsid w:val="00D3160C"/>
    <w:rsid w:val="00D316B8"/>
    <w:rsid w:val="00D31CFC"/>
    <w:rsid w:val="00D321CE"/>
    <w:rsid w:val="00D3255D"/>
    <w:rsid w:val="00D32C09"/>
    <w:rsid w:val="00D331A2"/>
    <w:rsid w:val="00D33DA2"/>
    <w:rsid w:val="00D340C3"/>
    <w:rsid w:val="00D34330"/>
    <w:rsid w:val="00D3459F"/>
    <w:rsid w:val="00D34BF0"/>
    <w:rsid w:val="00D34EEC"/>
    <w:rsid w:val="00D351EB"/>
    <w:rsid w:val="00D3536F"/>
    <w:rsid w:val="00D356F2"/>
    <w:rsid w:val="00D357A2"/>
    <w:rsid w:val="00D35A7A"/>
    <w:rsid w:val="00D36952"/>
    <w:rsid w:val="00D36A82"/>
    <w:rsid w:val="00D36BAF"/>
    <w:rsid w:val="00D36D9A"/>
    <w:rsid w:val="00D409CD"/>
    <w:rsid w:val="00D4195A"/>
    <w:rsid w:val="00D423D4"/>
    <w:rsid w:val="00D42A4D"/>
    <w:rsid w:val="00D42CAF"/>
    <w:rsid w:val="00D4405F"/>
    <w:rsid w:val="00D44721"/>
    <w:rsid w:val="00D44857"/>
    <w:rsid w:val="00D4546D"/>
    <w:rsid w:val="00D455DE"/>
    <w:rsid w:val="00D4657C"/>
    <w:rsid w:val="00D46A1D"/>
    <w:rsid w:val="00D4763B"/>
    <w:rsid w:val="00D47CE9"/>
    <w:rsid w:val="00D506C4"/>
    <w:rsid w:val="00D51515"/>
    <w:rsid w:val="00D51A15"/>
    <w:rsid w:val="00D52116"/>
    <w:rsid w:val="00D5234C"/>
    <w:rsid w:val="00D53136"/>
    <w:rsid w:val="00D54A1F"/>
    <w:rsid w:val="00D54BB2"/>
    <w:rsid w:val="00D54CD3"/>
    <w:rsid w:val="00D54E13"/>
    <w:rsid w:val="00D55EA1"/>
    <w:rsid w:val="00D568A2"/>
    <w:rsid w:val="00D57311"/>
    <w:rsid w:val="00D578CA"/>
    <w:rsid w:val="00D601EF"/>
    <w:rsid w:val="00D604F8"/>
    <w:rsid w:val="00D60729"/>
    <w:rsid w:val="00D6087A"/>
    <w:rsid w:val="00D60D74"/>
    <w:rsid w:val="00D613CF"/>
    <w:rsid w:val="00D61533"/>
    <w:rsid w:val="00D61DD4"/>
    <w:rsid w:val="00D62136"/>
    <w:rsid w:val="00D6277E"/>
    <w:rsid w:val="00D63B2F"/>
    <w:rsid w:val="00D64945"/>
    <w:rsid w:val="00D64DE2"/>
    <w:rsid w:val="00D65C47"/>
    <w:rsid w:val="00D66249"/>
    <w:rsid w:val="00D66912"/>
    <w:rsid w:val="00D66A84"/>
    <w:rsid w:val="00D66B0F"/>
    <w:rsid w:val="00D66BA7"/>
    <w:rsid w:val="00D67278"/>
    <w:rsid w:val="00D67636"/>
    <w:rsid w:val="00D700FF"/>
    <w:rsid w:val="00D7013B"/>
    <w:rsid w:val="00D70176"/>
    <w:rsid w:val="00D7045F"/>
    <w:rsid w:val="00D70747"/>
    <w:rsid w:val="00D70A4F"/>
    <w:rsid w:val="00D70BF4"/>
    <w:rsid w:val="00D7118A"/>
    <w:rsid w:val="00D71E1A"/>
    <w:rsid w:val="00D71E20"/>
    <w:rsid w:val="00D7261D"/>
    <w:rsid w:val="00D72D12"/>
    <w:rsid w:val="00D72EB1"/>
    <w:rsid w:val="00D73101"/>
    <w:rsid w:val="00D73913"/>
    <w:rsid w:val="00D747FD"/>
    <w:rsid w:val="00D74815"/>
    <w:rsid w:val="00D74CF8"/>
    <w:rsid w:val="00D755F2"/>
    <w:rsid w:val="00D755FC"/>
    <w:rsid w:val="00D76A92"/>
    <w:rsid w:val="00D76B6D"/>
    <w:rsid w:val="00D7716B"/>
    <w:rsid w:val="00D77863"/>
    <w:rsid w:val="00D80DBB"/>
    <w:rsid w:val="00D80E77"/>
    <w:rsid w:val="00D82B44"/>
    <w:rsid w:val="00D831EC"/>
    <w:rsid w:val="00D84191"/>
    <w:rsid w:val="00D84756"/>
    <w:rsid w:val="00D84D07"/>
    <w:rsid w:val="00D8526A"/>
    <w:rsid w:val="00D85797"/>
    <w:rsid w:val="00D858FC"/>
    <w:rsid w:val="00D86676"/>
    <w:rsid w:val="00D8750C"/>
    <w:rsid w:val="00D875BC"/>
    <w:rsid w:val="00D87BC1"/>
    <w:rsid w:val="00D907C6"/>
    <w:rsid w:val="00D90E17"/>
    <w:rsid w:val="00D90E91"/>
    <w:rsid w:val="00D91318"/>
    <w:rsid w:val="00D91DDC"/>
    <w:rsid w:val="00D91E1B"/>
    <w:rsid w:val="00D92AE2"/>
    <w:rsid w:val="00D92E72"/>
    <w:rsid w:val="00D934A2"/>
    <w:rsid w:val="00D939A9"/>
    <w:rsid w:val="00D93B3D"/>
    <w:rsid w:val="00D93CA9"/>
    <w:rsid w:val="00D94265"/>
    <w:rsid w:val="00D94634"/>
    <w:rsid w:val="00D9521D"/>
    <w:rsid w:val="00D95C9F"/>
    <w:rsid w:val="00D9654E"/>
    <w:rsid w:val="00D975FF"/>
    <w:rsid w:val="00DA008E"/>
    <w:rsid w:val="00DA378C"/>
    <w:rsid w:val="00DA3A4B"/>
    <w:rsid w:val="00DA41C9"/>
    <w:rsid w:val="00DA4208"/>
    <w:rsid w:val="00DA4806"/>
    <w:rsid w:val="00DA4C38"/>
    <w:rsid w:val="00DA5085"/>
    <w:rsid w:val="00DA54BF"/>
    <w:rsid w:val="00DA5A93"/>
    <w:rsid w:val="00DA62C6"/>
    <w:rsid w:val="00DA69C0"/>
    <w:rsid w:val="00DA6A89"/>
    <w:rsid w:val="00DA6B21"/>
    <w:rsid w:val="00DA6BA7"/>
    <w:rsid w:val="00DA717D"/>
    <w:rsid w:val="00DA789E"/>
    <w:rsid w:val="00DA79D6"/>
    <w:rsid w:val="00DA7D7A"/>
    <w:rsid w:val="00DB0011"/>
    <w:rsid w:val="00DB01E5"/>
    <w:rsid w:val="00DB09AE"/>
    <w:rsid w:val="00DB09BB"/>
    <w:rsid w:val="00DB1055"/>
    <w:rsid w:val="00DB1107"/>
    <w:rsid w:val="00DB1543"/>
    <w:rsid w:val="00DB28BC"/>
    <w:rsid w:val="00DB365F"/>
    <w:rsid w:val="00DB39EB"/>
    <w:rsid w:val="00DB39F4"/>
    <w:rsid w:val="00DB3C80"/>
    <w:rsid w:val="00DB42F3"/>
    <w:rsid w:val="00DB4BE9"/>
    <w:rsid w:val="00DB4D14"/>
    <w:rsid w:val="00DB53C1"/>
    <w:rsid w:val="00DB5BB4"/>
    <w:rsid w:val="00DB7190"/>
    <w:rsid w:val="00DB7AF7"/>
    <w:rsid w:val="00DB7D87"/>
    <w:rsid w:val="00DC085E"/>
    <w:rsid w:val="00DC0B44"/>
    <w:rsid w:val="00DC1347"/>
    <w:rsid w:val="00DC137A"/>
    <w:rsid w:val="00DC19F4"/>
    <w:rsid w:val="00DC1A0A"/>
    <w:rsid w:val="00DC205E"/>
    <w:rsid w:val="00DC2465"/>
    <w:rsid w:val="00DC25C3"/>
    <w:rsid w:val="00DC39F1"/>
    <w:rsid w:val="00DC42E4"/>
    <w:rsid w:val="00DC47AB"/>
    <w:rsid w:val="00DC4C7E"/>
    <w:rsid w:val="00DC528F"/>
    <w:rsid w:val="00DC5E37"/>
    <w:rsid w:val="00DC68FA"/>
    <w:rsid w:val="00DC7001"/>
    <w:rsid w:val="00DC7158"/>
    <w:rsid w:val="00DC73A3"/>
    <w:rsid w:val="00DC7E8E"/>
    <w:rsid w:val="00DD0162"/>
    <w:rsid w:val="00DD0560"/>
    <w:rsid w:val="00DD0DC2"/>
    <w:rsid w:val="00DD31A7"/>
    <w:rsid w:val="00DD32E1"/>
    <w:rsid w:val="00DD38F4"/>
    <w:rsid w:val="00DD3D06"/>
    <w:rsid w:val="00DD485B"/>
    <w:rsid w:val="00DD5D1D"/>
    <w:rsid w:val="00DD5F47"/>
    <w:rsid w:val="00DD6415"/>
    <w:rsid w:val="00DD6C4F"/>
    <w:rsid w:val="00DD74A6"/>
    <w:rsid w:val="00DD786D"/>
    <w:rsid w:val="00DE002A"/>
    <w:rsid w:val="00DE06FA"/>
    <w:rsid w:val="00DE20F2"/>
    <w:rsid w:val="00DE3766"/>
    <w:rsid w:val="00DE44C0"/>
    <w:rsid w:val="00DE47F0"/>
    <w:rsid w:val="00DE4B35"/>
    <w:rsid w:val="00DE4D9A"/>
    <w:rsid w:val="00DE4F9E"/>
    <w:rsid w:val="00DE5576"/>
    <w:rsid w:val="00DE56A1"/>
    <w:rsid w:val="00DE5CE6"/>
    <w:rsid w:val="00DE6C84"/>
    <w:rsid w:val="00DE6DAE"/>
    <w:rsid w:val="00DF0CBB"/>
    <w:rsid w:val="00DF1184"/>
    <w:rsid w:val="00DF1327"/>
    <w:rsid w:val="00DF18CC"/>
    <w:rsid w:val="00DF19C1"/>
    <w:rsid w:val="00DF1C2D"/>
    <w:rsid w:val="00DF2BDB"/>
    <w:rsid w:val="00DF31E7"/>
    <w:rsid w:val="00DF38F8"/>
    <w:rsid w:val="00DF3C65"/>
    <w:rsid w:val="00DF4685"/>
    <w:rsid w:val="00DF47CE"/>
    <w:rsid w:val="00DF4C1E"/>
    <w:rsid w:val="00DF5362"/>
    <w:rsid w:val="00DF54CA"/>
    <w:rsid w:val="00DF559E"/>
    <w:rsid w:val="00DF597D"/>
    <w:rsid w:val="00DF5B64"/>
    <w:rsid w:val="00DF649A"/>
    <w:rsid w:val="00DF6A6D"/>
    <w:rsid w:val="00DF6C4E"/>
    <w:rsid w:val="00DF7683"/>
    <w:rsid w:val="00DF77E8"/>
    <w:rsid w:val="00DF7F64"/>
    <w:rsid w:val="00E00AE5"/>
    <w:rsid w:val="00E021A4"/>
    <w:rsid w:val="00E0247F"/>
    <w:rsid w:val="00E024A2"/>
    <w:rsid w:val="00E0267D"/>
    <w:rsid w:val="00E02794"/>
    <w:rsid w:val="00E03410"/>
    <w:rsid w:val="00E03A2F"/>
    <w:rsid w:val="00E03AD7"/>
    <w:rsid w:val="00E03CED"/>
    <w:rsid w:val="00E03D93"/>
    <w:rsid w:val="00E042E2"/>
    <w:rsid w:val="00E043E3"/>
    <w:rsid w:val="00E046F0"/>
    <w:rsid w:val="00E0491C"/>
    <w:rsid w:val="00E0505B"/>
    <w:rsid w:val="00E06170"/>
    <w:rsid w:val="00E06EEA"/>
    <w:rsid w:val="00E10750"/>
    <w:rsid w:val="00E11280"/>
    <w:rsid w:val="00E11DEC"/>
    <w:rsid w:val="00E12359"/>
    <w:rsid w:val="00E12A2C"/>
    <w:rsid w:val="00E131E9"/>
    <w:rsid w:val="00E134C6"/>
    <w:rsid w:val="00E1408D"/>
    <w:rsid w:val="00E1423E"/>
    <w:rsid w:val="00E145E6"/>
    <w:rsid w:val="00E14682"/>
    <w:rsid w:val="00E15009"/>
    <w:rsid w:val="00E152FF"/>
    <w:rsid w:val="00E15AD8"/>
    <w:rsid w:val="00E17732"/>
    <w:rsid w:val="00E1791C"/>
    <w:rsid w:val="00E17AFE"/>
    <w:rsid w:val="00E20257"/>
    <w:rsid w:val="00E2081E"/>
    <w:rsid w:val="00E2088D"/>
    <w:rsid w:val="00E20E04"/>
    <w:rsid w:val="00E21351"/>
    <w:rsid w:val="00E2141C"/>
    <w:rsid w:val="00E22314"/>
    <w:rsid w:val="00E22BCD"/>
    <w:rsid w:val="00E23C60"/>
    <w:rsid w:val="00E240B0"/>
    <w:rsid w:val="00E24572"/>
    <w:rsid w:val="00E2461B"/>
    <w:rsid w:val="00E24886"/>
    <w:rsid w:val="00E248EB"/>
    <w:rsid w:val="00E2514E"/>
    <w:rsid w:val="00E263B4"/>
    <w:rsid w:val="00E271DE"/>
    <w:rsid w:val="00E276FB"/>
    <w:rsid w:val="00E305FD"/>
    <w:rsid w:val="00E320AF"/>
    <w:rsid w:val="00E32279"/>
    <w:rsid w:val="00E32595"/>
    <w:rsid w:val="00E32A88"/>
    <w:rsid w:val="00E33160"/>
    <w:rsid w:val="00E333AE"/>
    <w:rsid w:val="00E33853"/>
    <w:rsid w:val="00E33A74"/>
    <w:rsid w:val="00E33D8D"/>
    <w:rsid w:val="00E33E4F"/>
    <w:rsid w:val="00E33F30"/>
    <w:rsid w:val="00E35530"/>
    <w:rsid w:val="00E35C68"/>
    <w:rsid w:val="00E4030B"/>
    <w:rsid w:val="00E419FA"/>
    <w:rsid w:val="00E41D56"/>
    <w:rsid w:val="00E43776"/>
    <w:rsid w:val="00E44133"/>
    <w:rsid w:val="00E45131"/>
    <w:rsid w:val="00E457DF"/>
    <w:rsid w:val="00E46086"/>
    <w:rsid w:val="00E4653D"/>
    <w:rsid w:val="00E46642"/>
    <w:rsid w:val="00E475F4"/>
    <w:rsid w:val="00E47A87"/>
    <w:rsid w:val="00E5029D"/>
    <w:rsid w:val="00E50FA1"/>
    <w:rsid w:val="00E5139A"/>
    <w:rsid w:val="00E51AD4"/>
    <w:rsid w:val="00E51C18"/>
    <w:rsid w:val="00E5413D"/>
    <w:rsid w:val="00E55F6D"/>
    <w:rsid w:val="00E564B0"/>
    <w:rsid w:val="00E56911"/>
    <w:rsid w:val="00E575D3"/>
    <w:rsid w:val="00E57977"/>
    <w:rsid w:val="00E57AAD"/>
    <w:rsid w:val="00E60757"/>
    <w:rsid w:val="00E60C84"/>
    <w:rsid w:val="00E61E79"/>
    <w:rsid w:val="00E62278"/>
    <w:rsid w:val="00E624B8"/>
    <w:rsid w:val="00E635D7"/>
    <w:rsid w:val="00E66202"/>
    <w:rsid w:val="00E67592"/>
    <w:rsid w:val="00E676F1"/>
    <w:rsid w:val="00E67B8E"/>
    <w:rsid w:val="00E70576"/>
    <w:rsid w:val="00E71818"/>
    <w:rsid w:val="00E72212"/>
    <w:rsid w:val="00E72433"/>
    <w:rsid w:val="00E7251E"/>
    <w:rsid w:val="00E72527"/>
    <w:rsid w:val="00E7284C"/>
    <w:rsid w:val="00E72946"/>
    <w:rsid w:val="00E72AA7"/>
    <w:rsid w:val="00E72C71"/>
    <w:rsid w:val="00E730B7"/>
    <w:rsid w:val="00E73629"/>
    <w:rsid w:val="00E7397B"/>
    <w:rsid w:val="00E73D63"/>
    <w:rsid w:val="00E74596"/>
    <w:rsid w:val="00E7484D"/>
    <w:rsid w:val="00E74C92"/>
    <w:rsid w:val="00E74DCC"/>
    <w:rsid w:val="00E7579B"/>
    <w:rsid w:val="00E76175"/>
    <w:rsid w:val="00E76570"/>
    <w:rsid w:val="00E7727B"/>
    <w:rsid w:val="00E77886"/>
    <w:rsid w:val="00E77960"/>
    <w:rsid w:val="00E779E2"/>
    <w:rsid w:val="00E8035B"/>
    <w:rsid w:val="00E80425"/>
    <w:rsid w:val="00E80F40"/>
    <w:rsid w:val="00E8194C"/>
    <w:rsid w:val="00E81FB1"/>
    <w:rsid w:val="00E8271B"/>
    <w:rsid w:val="00E829BC"/>
    <w:rsid w:val="00E83041"/>
    <w:rsid w:val="00E83954"/>
    <w:rsid w:val="00E83BBB"/>
    <w:rsid w:val="00E84040"/>
    <w:rsid w:val="00E84751"/>
    <w:rsid w:val="00E86F35"/>
    <w:rsid w:val="00E8786E"/>
    <w:rsid w:val="00E87AC2"/>
    <w:rsid w:val="00E87BC7"/>
    <w:rsid w:val="00E87FDF"/>
    <w:rsid w:val="00E9096B"/>
    <w:rsid w:val="00E91043"/>
    <w:rsid w:val="00E911B5"/>
    <w:rsid w:val="00E914EF"/>
    <w:rsid w:val="00E91730"/>
    <w:rsid w:val="00E91DB4"/>
    <w:rsid w:val="00E936FF"/>
    <w:rsid w:val="00E93A2A"/>
    <w:rsid w:val="00E94468"/>
    <w:rsid w:val="00E946E2"/>
    <w:rsid w:val="00E95940"/>
    <w:rsid w:val="00E95AC9"/>
    <w:rsid w:val="00E95F6E"/>
    <w:rsid w:val="00E96203"/>
    <w:rsid w:val="00E96F04"/>
    <w:rsid w:val="00E97AEC"/>
    <w:rsid w:val="00EA0359"/>
    <w:rsid w:val="00EA1592"/>
    <w:rsid w:val="00EA20FE"/>
    <w:rsid w:val="00EA291E"/>
    <w:rsid w:val="00EA3433"/>
    <w:rsid w:val="00EA459B"/>
    <w:rsid w:val="00EA5C07"/>
    <w:rsid w:val="00EA6D67"/>
    <w:rsid w:val="00EA728B"/>
    <w:rsid w:val="00EA76C9"/>
    <w:rsid w:val="00EA7CA4"/>
    <w:rsid w:val="00EB08A4"/>
    <w:rsid w:val="00EB0F8F"/>
    <w:rsid w:val="00EB21C3"/>
    <w:rsid w:val="00EB235F"/>
    <w:rsid w:val="00EB261E"/>
    <w:rsid w:val="00EB2B5B"/>
    <w:rsid w:val="00EB2DBF"/>
    <w:rsid w:val="00EB398D"/>
    <w:rsid w:val="00EB491E"/>
    <w:rsid w:val="00EB4F07"/>
    <w:rsid w:val="00EB4FB2"/>
    <w:rsid w:val="00EB5031"/>
    <w:rsid w:val="00EB60D1"/>
    <w:rsid w:val="00EB681B"/>
    <w:rsid w:val="00EB6A6B"/>
    <w:rsid w:val="00EB7290"/>
    <w:rsid w:val="00EC011B"/>
    <w:rsid w:val="00EC0561"/>
    <w:rsid w:val="00EC0E76"/>
    <w:rsid w:val="00EC12D9"/>
    <w:rsid w:val="00EC1654"/>
    <w:rsid w:val="00EC1C84"/>
    <w:rsid w:val="00EC1E0D"/>
    <w:rsid w:val="00EC2491"/>
    <w:rsid w:val="00EC2830"/>
    <w:rsid w:val="00EC2C54"/>
    <w:rsid w:val="00EC33AC"/>
    <w:rsid w:val="00EC3883"/>
    <w:rsid w:val="00EC40E4"/>
    <w:rsid w:val="00EC4D95"/>
    <w:rsid w:val="00EC4FAD"/>
    <w:rsid w:val="00EC5D9A"/>
    <w:rsid w:val="00EC69AA"/>
    <w:rsid w:val="00EC6B19"/>
    <w:rsid w:val="00EC6B6D"/>
    <w:rsid w:val="00ED05ED"/>
    <w:rsid w:val="00ED0A8E"/>
    <w:rsid w:val="00ED0CCB"/>
    <w:rsid w:val="00ED112D"/>
    <w:rsid w:val="00ED1A52"/>
    <w:rsid w:val="00ED1A5D"/>
    <w:rsid w:val="00ED1BC4"/>
    <w:rsid w:val="00ED29CD"/>
    <w:rsid w:val="00ED2BE0"/>
    <w:rsid w:val="00ED2FAC"/>
    <w:rsid w:val="00ED329E"/>
    <w:rsid w:val="00ED3F11"/>
    <w:rsid w:val="00ED48B5"/>
    <w:rsid w:val="00ED4DBC"/>
    <w:rsid w:val="00ED5217"/>
    <w:rsid w:val="00ED71A0"/>
    <w:rsid w:val="00EE0EE9"/>
    <w:rsid w:val="00EE12A5"/>
    <w:rsid w:val="00EE190E"/>
    <w:rsid w:val="00EE1A4C"/>
    <w:rsid w:val="00EE1C7A"/>
    <w:rsid w:val="00EE2D54"/>
    <w:rsid w:val="00EE36CB"/>
    <w:rsid w:val="00EE3CFA"/>
    <w:rsid w:val="00EE5BDB"/>
    <w:rsid w:val="00EE66B8"/>
    <w:rsid w:val="00EE69E4"/>
    <w:rsid w:val="00EE7055"/>
    <w:rsid w:val="00EE7201"/>
    <w:rsid w:val="00EE7774"/>
    <w:rsid w:val="00EF02AE"/>
    <w:rsid w:val="00EF09ED"/>
    <w:rsid w:val="00EF1115"/>
    <w:rsid w:val="00EF1E4B"/>
    <w:rsid w:val="00EF2013"/>
    <w:rsid w:val="00EF236E"/>
    <w:rsid w:val="00EF2A7F"/>
    <w:rsid w:val="00EF3622"/>
    <w:rsid w:val="00EF3B49"/>
    <w:rsid w:val="00EF4718"/>
    <w:rsid w:val="00EF4EAB"/>
    <w:rsid w:val="00EF5FF6"/>
    <w:rsid w:val="00EF6400"/>
    <w:rsid w:val="00EF68E9"/>
    <w:rsid w:val="00EF6C44"/>
    <w:rsid w:val="00EF6DDD"/>
    <w:rsid w:val="00EF7A85"/>
    <w:rsid w:val="00EF7D3A"/>
    <w:rsid w:val="00EF7E90"/>
    <w:rsid w:val="00F000EC"/>
    <w:rsid w:val="00F002B6"/>
    <w:rsid w:val="00F00506"/>
    <w:rsid w:val="00F00C8E"/>
    <w:rsid w:val="00F02B52"/>
    <w:rsid w:val="00F02C03"/>
    <w:rsid w:val="00F02D34"/>
    <w:rsid w:val="00F02DA7"/>
    <w:rsid w:val="00F03826"/>
    <w:rsid w:val="00F05080"/>
    <w:rsid w:val="00F07441"/>
    <w:rsid w:val="00F10AFE"/>
    <w:rsid w:val="00F115E7"/>
    <w:rsid w:val="00F12905"/>
    <w:rsid w:val="00F129F1"/>
    <w:rsid w:val="00F13E23"/>
    <w:rsid w:val="00F13E4C"/>
    <w:rsid w:val="00F14E62"/>
    <w:rsid w:val="00F15C6C"/>
    <w:rsid w:val="00F15FD6"/>
    <w:rsid w:val="00F17173"/>
    <w:rsid w:val="00F173EF"/>
    <w:rsid w:val="00F17601"/>
    <w:rsid w:val="00F201CE"/>
    <w:rsid w:val="00F2026F"/>
    <w:rsid w:val="00F2058E"/>
    <w:rsid w:val="00F20A70"/>
    <w:rsid w:val="00F21AC8"/>
    <w:rsid w:val="00F224DC"/>
    <w:rsid w:val="00F22D52"/>
    <w:rsid w:val="00F235CB"/>
    <w:rsid w:val="00F23826"/>
    <w:rsid w:val="00F24638"/>
    <w:rsid w:val="00F2466B"/>
    <w:rsid w:val="00F25666"/>
    <w:rsid w:val="00F2574C"/>
    <w:rsid w:val="00F267A3"/>
    <w:rsid w:val="00F2687F"/>
    <w:rsid w:val="00F26ED4"/>
    <w:rsid w:val="00F273E9"/>
    <w:rsid w:val="00F27D35"/>
    <w:rsid w:val="00F27F29"/>
    <w:rsid w:val="00F3047F"/>
    <w:rsid w:val="00F30986"/>
    <w:rsid w:val="00F30DBD"/>
    <w:rsid w:val="00F313CF"/>
    <w:rsid w:val="00F31A76"/>
    <w:rsid w:val="00F3200C"/>
    <w:rsid w:val="00F325AA"/>
    <w:rsid w:val="00F327D1"/>
    <w:rsid w:val="00F32D54"/>
    <w:rsid w:val="00F3314A"/>
    <w:rsid w:val="00F33593"/>
    <w:rsid w:val="00F339A9"/>
    <w:rsid w:val="00F33DC1"/>
    <w:rsid w:val="00F33E87"/>
    <w:rsid w:val="00F33F91"/>
    <w:rsid w:val="00F34157"/>
    <w:rsid w:val="00F34936"/>
    <w:rsid w:val="00F349ED"/>
    <w:rsid w:val="00F34BA8"/>
    <w:rsid w:val="00F34BF9"/>
    <w:rsid w:val="00F35181"/>
    <w:rsid w:val="00F35D7D"/>
    <w:rsid w:val="00F36699"/>
    <w:rsid w:val="00F36822"/>
    <w:rsid w:val="00F36C54"/>
    <w:rsid w:val="00F378A7"/>
    <w:rsid w:val="00F40448"/>
    <w:rsid w:val="00F40BB8"/>
    <w:rsid w:val="00F418EA"/>
    <w:rsid w:val="00F41A29"/>
    <w:rsid w:val="00F41FEF"/>
    <w:rsid w:val="00F42685"/>
    <w:rsid w:val="00F4359D"/>
    <w:rsid w:val="00F43C22"/>
    <w:rsid w:val="00F44C1C"/>
    <w:rsid w:val="00F44C30"/>
    <w:rsid w:val="00F45214"/>
    <w:rsid w:val="00F4645F"/>
    <w:rsid w:val="00F477C5"/>
    <w:rsid w:val="00F504DB"/>
    <w:rsid w:val="00F50BEA"/>
    <w:rsid w:val="00F51025"/>
    <w:rsid w:val="00F514D8"/>
    <w:rsid w:val="00F518DF"/>
    <w:rsid w:val="00F52599"/>
    <w:rsid w:val="00F52A65"/>
    <w:rsid w:val="00F52B46"/>
    <w:rsid w:val="00F53380"/>
    <w:rsid w:val="00F54243"/>
    <w:rsid w:val="00F544DB"/>
    <w:rsid w:val="00F5641A"/>
    <w:rsid w:val="00F569D0"/>
    <w:rsid w:val="00F57C2D"/>
    <w:rsid w:val="00F57DF4"/>
    <w:rsid w:val="00F60030"/>
    <w:rsid w:val="00F603BB"/>
    <w:rsid w:val="00F604AC"/>
    <w:rsid w:val="00F60575"/>
    <w:rsid w:val="00F615D0"/>
    <w:rsid w:val="00F62929"/>
    <w:rsid w:val="00F64035"/>
    <w:rsid w:val="00F6475C"/>
    <w:rsid w:val="00F6494A"/>
    <w:rsid w:val="00F6502E"/>
    <w:rsid w:val="00F654D1"/>
    <w:rsid w:val="00F65663"/>
    <w:rsid w:val="00F660B2"/>
    <w:rsid w:val="00F67371"/>
    <w:rsid w:val="00F67D12"/>
    <w:rsid w:val="00F67EE3"/>
    <w:rsid w:val="00F70A29"/>
    <w:rsid w:val="00F70B65"/>
    <w:rsid w:val="00F70C8B"/>
    <w:rsid w:val="00F713CD"/>
    <w:rsid w:val="00F71939"/>
    <w:rsid w:val="00F71C33"/>
    <w:rsid w:val="00F71F68"/>
    <w:rsid w:val="00F72092"/>
    <w:rsid w:val="00F72A5E"/>
    <w:rsid w:val="00F738F6"/>
    <w:rsid w:val="00F741B2"/>
    <w:rsid w:val="00F74FE5"/>
    <w:rsid w:val="00F7506E"/>
    <w:rsid w:val="00F756C0"/>
    <w:rsid w:val="00F75A40"/>
    <w:rsid w:val="00F77637"/>
    <w:rsid w:val="00F77BFB"/>
    <w:rsid w:val="00F804C2"/>
    <w:rsid w:val="00F8088B"/>
    <w:rsid w:val="00F80A24"/>
    <w:rsid w:val="00F80E3F"/>
    <w:rsid w:val="00F81C81"/>
    <w:rsid w:val="00F81FFB"/>
    <w:rsid w:val="00F8211E"/>
    <w:rsid w:val="00F83080"/>
    <w:rsid w:val="00F83191"/>
    <w:rsid w:val="00F83ADC"/>
    <w:rsid w:val="00F83D04"/>
    <w:rsid w:val="00F8435D"/>
    <w:rsid w:val="00F84625"/>
    <w:rsid w:val="00F855E6"/>
    <w:rsid w:val="00F85BC0"/>
    <w:rsid w:val="00F86CEB"/>
    <w:rsid w:val="00F87D19"/>
    <w:rsid w:val="00F87DD0"/>
    <w:rsid w:val="00F87EFC"/>
    <w:rsid w:val="00F905A7"/>
    <w:rsid w:val="00F91C29"/>
    <w:rsid w:val="00F91CA8"/>
    <w:rsid w:val="00F93360"/>
    <w:rsid w:val="00F93C25"/>
    <w:rsid w:val="00F93FE4"/>
    <w:rsid w:val="00F94832"/>
    <w:rsid w:val="00F95B2C"/>
    <w:rsid w:val="00F95F86"/>
    <w:rsid w:val="00F963F8"/>
    <w:rsid w:val="00F969AD"/>
    <w:rsid w:val="00F97953"/>
    <w:rsid w:val="00F97B7F"/>
    <w:rsid w:val="00F97E4E"/>
    <w:rsid w:val="00F97FEE"/>
    <w:rsid w:val="00FA0562"/>
    <w:rsid w:val="00FA217B"/>
    <w:rsid w:val="00FA2A37"/>
    <w:rsid w:val="00FA440E"/>
    <w:rsid w:val="00FA4AE7"/>
    <w:rsid w:val="00FA4E35"/>
    <w:rsid w:val="00FA4F92"/>
    <w:rsid w:val="00FA5329"/>
    <w:rsid w:val="00FA60C8"/>
    <w:rsid w:val="00FA6BD3"/>
    <w:rsid w:val="00FB01B3"/>
    <w:rsid w:val="00FB047E"/>
    <w:rsid w:val="00FB0495"/>
    <w:rsid w:val="00FB0BC5"/>
    <w:rsid w:val="00FB0BCC"/>
    <w:rsid w:val="00FB0F1D"/>
    <w:rsid w:val="00FB1F32"/>
    <w:rsid w:val="00FB22EA"/>
    <w:rsid w:val="00FB2575"/>
    <w:rsid w:val="00FB5137"/>
    <w:rsid w:val="00FB5898"/>
    <w:rsid w:val="00FB65B7"/>
    <w:rsid w:val="00FB7B03"/>
    <w:rsid w:val="00FC0A70"/>
    <w:rsid w:val="00FC0FE5"/>
    <w:rsid w:val="00FC101D"/>
    <w:rsid w:val="00FC2213"/>
    <w:rsid w:val="00FC2636"/>
    <w:rsid w:val="00FC2CF1"/>
    <w:rsid w:val="00FC37F1"/>
    <w:rsid w:val="00FC3AA1"/>
    <w:rsid w:val="00FC4719"/>
    <w:rsid w:val="00FC4753"/>
    <w:rsid w:val="00FC5EBB"/>
    <w:rsid w:val="00FC6C81"/>
    <w:rsid w:val="00FD0044"/>
    <w:rsid w:val="00FD0191"/>
    <w:rsid w:val="00FD03B0"/>
    <w:rsid w:val="00FD07CB"/>
    <w:rsid w:val="00FD122D"/>
    <w:rsid w:val="00FD1A2E"/>
    <w:rsid w:val="00FD1ABC"/>
    <w:rsid w:val="00FD205F"/>
    <w:rsid w:val="00FD439E"/>
    <w:rsid w:val="00FD4DFE"/>
    <w:rsid w:val="00FD5AFC"/>
    <w:rsid w:val="00FD5F5D"/>
    <w:rsid w:val="00FD6910"/>
    <w:rsid w:val="00FD6E1B"/>
    <w:rsid w:val="00FD7DDF"/>
    <w:rsid w:val="00FE0696"/>
    <w:rsid w:val="00FE0D68"/>
    <w:rsid w:val="00FE1817"/>
    <w:rsid w:val="00FE1B54"/>
    <w:rsid w:val="00FE2C7A"/>
    <w:rsid w:val="00FE2DDB"/>
    <w:rsid w:val="00FE36FE"/>
    <w:rsid w:val="00FE45C4"/>
    <w:rsid w:val="00FE4C92"/>
    <w:rsid w:val="00FE4D63"/>
    <w:rsid w:val="00FE4D6F"/>
    <w:rsid w:val="00FE5126"/>
    <w:rsid w:val="00FE5395"/>
    <w:rsid w:val="00FE6197"/>
    <w:rsid w:val="00FE6E7C"/>
    <w:rsid w:val="00FE70AD"/>
    <w:rsid w:val="00FE7DCE"/>
    <w:rsid w:val="00FF015C"/>
    <w:rsid w:val="00FF0428"/>
    <w:rsid w:val="00FF05E2"/>
    <w:rsid w:val="00FF068B"/>
    <w:rsid w:val="00FF0DC6"/>
    <w:rsid w:val="00FF0FAA"/>
    <w:rsid w:val="00FF12D9"/>
    <w:rsid w:val="00FF1394"/>
    <w:rsid w:val="00FF1FDA"/>
    <w:rsid w:val="00FF23CC"/>
    <w:rsid w:val="00FF24D4"/>
    <w:rsid w:val="00FF2D63"/>
    <w:rsid w:val="00FF3E4E"/>
    <w:rsid w:val="00FF417C"/>
    <w:rsid w:val="00FF4396"/>
    <w:rsid w:val="00FF43BF"/>
    <w:rsid w:val="00FF5792"/>
    <w:rsid w:val="00FF5D5E"/>
    <w:rsid w:val="00FF643A"/>
    <w:rsid w:val="00FF666A"/>
    <w:rsid w:val="00FF6E63"/>
    <w:rsid w:val="00FF7261"/>
    <w:rsid w:val="00FF7A8E"/>
    <w:rsid w:val="00FF7AC0"/>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5537"/>
    <o:shapelayout v:ext="edit">
      <o:idmap v:ext="edit" data="1"/>
    </o:shapelayout>
  </w:shapeDefaults>
  <w:decimalSymbol w:val="."/>
  <w:listSeparator w:val=","/>
  <w14:docId w14:val="4DA07A9E"/>
  <w15:docId w15:val="{56932097-87C0-42E1-8174-C51810A22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GB" w:eastAsia="en-GB" w:bidi="en-GB"/>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636"/>
    <w:pPr>
      <w:spacing w:line="288" w:lineRule="auto"/>
      <w:jc w:val="both"/>
    </w:pPr>
    <w:rPr>
      <w:lang w:val="en-US" w:eastAsia="en-US" w:bidi="ar-SA"/>
    </w:rPr>
  </w:style>
  <w:style w:type="paragraph" w:styleId="Heading1">
    <w:name w:val="heading 1"/>
    <w:basedOn w:val="Normal"/>
    <w:next w:val="Normal"/>
    <w:link w:val="Heading1Char"/>
    <w:qFormat/>
    <w:rsid w:val="00FC2636"/>
    <w:pPr>
      <w:numPr>
        <w:numId w:val="2"/>
      </w:numPr>
      <w:ind w:left="567" w:hanging="567"/>
      <w:outlineLvl w:val="0"/>
    </w:pPr>
    <w:rPr>
      <w:kern w:val="28"/>
    </w:rPr>
  </w:style>
  <w:style w:type="paragraph" w:styleId="Heading2">
    <w:name w:val="heading 2"/>
    <w:basedOn w:val="Normal"/>
    <w:next w:val="Normal"/>
    <w:link w:val="Heading2Char"/>
    <w:qFormat/>
    <w:rsid w:val="00FC2636"/>
    <w:pPr>
      <w:numPr>
        <w:ilvl w:val="1"/>
        <w:numId w:val="2"/>
      </w:numPr>
      <w:ind w:left="567" w:hanging="567"/>
      <w:outlineLvl w:val="1"/>
    </w:pPr>
  </w:style>
  <w:style w:type="paragraph" w:styleId="Heading3">
    <w:name w:val="heading 3"/>
    <w:basedOn w:val="Normal"/>
    <w:next w:val="Normal"/>
    <w:link w:val="Heading3Char"/>
    <w:qFormat/>
    <w:rsid w:val="00FC2636"/>
    <w:pPr>
      <w:numPr>
        <w:ilvl w:val="2"/>
        <w:numId w:val="2"/>
      </w:numPr>
      <w:ind w:left="567" w:hanging="567"/>
      <w:outlineLvl w:val="2"/>
    </w:pPr>
  </w:style>
  <w:style w:type="paragraph" w:styleId="Heading4">
    <w:name w:val="heading 4"/>
    <w:basedOn w:val="Normal"/>
    <w:next w:val="Normal"/>
    <w:link w:val="Heading4Char"/>
    <w:qFormat/>
    <w:rsid w:val="00FC2636"/>
    <w:pPr>
      <w:numPr>
        <w:ilvl w:val="3"/>
        <w:numId w:val="2"/>
      </w:numPr>
      <w:ind w:left="567" w:hanging="567"/>
      <w:outlineLvl w:val="3"/>
    </w:pPr>
  </w:style>
  <w:style w:type="paragraph" w:styleId="Heading5">
    <w:name w:val="heading 5"/>
    <w:basedOn w:val="Normal"/>
    <w:next w:val="Normal"/>
    <w:link w:val="Heading5Char"/>
    <w:qFormat/>
    <w:rsid w:val="00FC2636"/>
    <w:pPr>
      <w:numPr>
        <w:ilvl w:val="4"/>
        <w:numId w:val="2"/>
      </w:numPr>
      <w:ind w:left="567" w:hanging="567"/>
      <w:outlineLvl w:val="4"/>
    </w:pPr>
  </w:style>
  <w:style w:type="paragraph" w:styleId="Heading6">
    <w:name w:val="heading 6"/>
    <w:basedOn w:val="Normal"/>
    <w:next w:val="Normal"/>
    <w:link w:val="Heading6Char"/>
    <w:qFormat/>
    <w:rsid w:val="00FC2636"/>
    <w:pPr>
      <w:numPr>
        <w:ilvl w:val="5"/>
        <w:numId w:val="2"/>
      </w:numPr>
      <w:ind w:left="567" w:hanging="567"/>
      <w:outlineLvl w:val="5"/>
    </w:pPr>
  </w:style>
  <w:style w:type="paragraph" w:styleId="Heading7">
    <w:name w:val="heading 7"/>
    <w:basedOn w:val="Normal"/>
    <w:next w:val="Normal"/>
    <w:link w:val="Heading7Char"/>
    <w:qFormat/>
    <w:rsid w:val="00FC2636"/>
    <w:pPr>
      <w:numPr>
        <w:ilvl w:val="6"/>
        <w:numId w:val="2"/>
      </w:numPr>
      <w:ind w:left="567" w:hanging="567"/>
      <w:outlineLvl w:val="6"/>
    </w:pPr>
  </w:style>
  <w:style w:type="paragraph" w:styleId="Heading8">
    <w:name w:val="heading 8"/>
    <w:basedOn w:val="Normal"/>
    <w:next w:val="Normal"/>
    <w:link w:val="Heading8Char"/>
    <w:qFormat/>
    <w:rsid w:val="00FC2636"/>
    <w:pPr>
      <w:numPr>
        <w:ilvl w:val="7"/>
        <w:numId w:val="2"/>
      </w:numPr>
      <w:ind w:left="567" w:hanging="567"/>
      <w:outlineLvl w:val="7"/>
    </w:pPr>
  </w:style>
  <w:style w:type="paragraph" w:styleId="Heading9">
    <w:name w:val="heading 9"/>
    <w:basedOn w:val="Normal"/>
    <w:next w:val="Normal"/>
    <w:link w:val="Heading9Char"/>
    <w:qFormat/>
    <w:rsid w:val="00FC2636"/>
    <w:pPr>
      <w:numPr>
        <w:ilvl w:val="8"/>
        <w:numId w:val="2"/>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en-US" w:eastAsia="en-US" w:bidi="ar-SA"/>
    </w:rPr>
  </w:style>
  <w:style w:type="character" w:customStyle="1" w:styleId="Heading2Char">
    <w:name w:val="Heading 2 Char"/>
    <w:basedOn w:val="DefaultParagraphFont"/>
    <w:link w:val="Heading2"/>
    <w:locked/>
    <w:rsid w:val="00CB1536"/>
    <w:rPr>
      <w:lang w:val="en-US" w:eastAsia="en-US" w:bidi="ar-SA"/>
    </w:rPr>
  </w:style>
  <w:style w:type="character" w:customStyle="1" w:styleId="Heading3Char">
    <w:name w:val="Heading 3 Char"/>
    <w:basedOn w:val="DefaultParagraphFont"/>
    <w:link w:val="Heading3"/>
    <w:locked/>
    <w:rsid w:val="00CB1536"/>
    <w:rPr>
      <w:lang w:val="en-US" w:eastAsia="en-US" w:bidi="ar-SA"/>
    </w:rPr>
  </w:style>
  <w:style w:type="character" w:customStyle="1" w:styleId="Heading4Char">
    <w:name w:val="Heading 4 Char"/>
    <w:basedOn w:val="DefaultParagraphFont"/>
    <w:link w:val="Heading4"/>
    <w:locked/>
    <w:rsid w:val="00CB1536"/>
    <w:rPr>
      <w:lang w:val="en-US" w:eastAsia="en-US" w:bidi="ar-SA"/>
    </w:rPr>
  </w:style>
  <w:style w:type="character" w:customStyle="1" w:styleId="Heading5Char">
    <w:name w:val="Heading 5 Char"/>
    <w:basedOn w:val="DefaultParagraphFont"/>
    <w:link w:val="Heading5"/>
    <w:locked/>
    <w:rsid w:val="00CB1536"/>
    <w:rPr>
      <w:lang w:val="en-US" w:eastAsia="en-US" w:bidi="ar-SA"/>
    </w:rPr>
  </w:style>
  <w:style w:type="character" w:customStyle="1" w:styleId="Heading6Char">
    <w:name w:val="Heading 6 Char"/>
    <w:basedOn w:val="DefaultParagraphFont"/>
    <w:link w:val="Heading6"/>
    <w:locked/>
    <w:rsid w:val="00CB1536"/>
    <w:rPr>
      <w:lang w:val="en-US" w:eastAsia="en-US" w:bidi="ar-SA"/>
    </w:rPr>
  </w:style>
  <w:style w:type="character" w:customStyle="1" w:styleId="Heading7Char">
    <w:name w:val="Heading 7 Char"/>
    <w:basedOn w:val="DefaultParagraphFont"/>
    <w:link w:val="Heading7"/>
    <w:locked/>
    <w:rsid w:val="00CB1536"/>
    <w:rPr>
      <w:lang w:val="en-US" w:eastAsia="en-US" w:bidi="ar-SA"/>
    </w:rPr>
  </w:style>
  <w:style w:type="character" w:customStyle="1" w:styleId="Heading8Char">
    <w:name w:val="Heading 8 Char"/>
    <w:basedOn w:val="DefaultParagraphFont"/>
    <w:link w:val="Heading8"/>
    <w:locked/>
    <w:rsid w:val="00CB1536"/>
    <w:rPr>
      <w:lang w:val="en-US" w:eastAsia="en-US" w:bidi="ar-SA"/>
    </w:rPr>
  </w:style>
  <w:style w:type="character" w:customStyle="1" w:styleId="Heading9Char">
    <w:name w:val="Heading 9 Char"/>
    <w:basedOn w:val="DefaultParagraphFont"/>
    <w:link w:val="Heading9"/>
    <w:locked/>
    <w:rsid w:val="00CB1536"/>
    <w:rPr>
      <w:lang w:val="en-US" w:eastAsia="en-US" w:bidi="ar-SA"/>
    </w:rPr>
  </w:style>
  <w:style w:type="paragraph" w:styleId="Footer">
    <w:name w:val="footer"/>
    <w:basedOn w:val="Normal"/>
    <w:link w:val="FooterChar"/>
    <w:qFormat/>
    <w:rsid w:val="00FC2636"/>
  </w:style>
  <w:style w:type="character" w:customStyle="1" w:styleId="FooterChar">
    <w:name w:val="Footer Char"/>
    <w:basedOn w:val="DefaultParagraphFont"/>
    <w:link w:val="Footer"/>
    <w:locked/>
    <w:rsid w:val="00CB1536"/>
    <w:rPr>
      <w:lang w:val="en-US" w:eastAsia="en-US" w:bidi="ar-SA"/>
    </w:rPr>
  </w:style>
  <w:style w:type="paragraph" w:styleId="FootnoteText">
    <w:name w:val="footnote text"/>
    <w:basedOn w:val="Normal"/>
    <w:link w:val="FootnoteTextChar"/>
    <w:qFormat/>
    <w:rsid w:val="00FC2636"/>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en-US" w:eastAsia="en-US" w:bidi="ar-SA"/>
    </w:rPr>
  </w:style>
  <w:style w:type="paragraph" w:styleId="Header">
    <w:name w:val="header"/>
    <w:basedOn w:val="Normal"/>
    <w:link w:val="HeaderChar"/>
    <w:qFormat/>
    <w:rsid w:val="00FC2636"/>
  </w:style>
  <w:style w:type="character" w:customStyle="1" w:styleId="HeaderChar">
    <w:name w:val="Header Char"/>
    <w:basedOn w:val="DefaultParagraphFont"/>
    <w:link w:val="Header"/>
    <w:locked/>
    <w:rsid w:val="00CB1536"/>
    <w:rPr>
      <w:lang w:val="en-US"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unhideWhenUsed/>
    <w:qFormat/>
    <w:rsid w:val="00FC2636"/>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FC2636"/>
    <w:pPr>
      <w:ind w:left="720"/>
    </w:pPr>
    <w:rPr>
      <w:i/>
    </w:rPr>
  </w:style>
  <w:style w:type="paragraph" w:styleId="ListParagraph">
    <w:name w:val="List Paragraph"/>
    <w:basedOn w:val="Normal"/>
    <w:uiPriority w:val="34"/>
    <w:qFormat/>
    <w:rsid w:val="000B68FA"/>
    <w:pPr>
      <w:ind w:left="720"/>
      <w:contextualSpacing/>
    </w:pPr>
  </w:style>
  <w:style w:type="table" w:styleId="TableGrid">
    <w:name w:val="Table Grid"/>
    <w:basedOn w:val="TableNormal"/>
    <w:locked/>
    <w:rsid w:val="000C70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tkaisematonmaininta1">
    <w:name w:val="Ratkaisematon maininta1"/>
    <w:basedOn w:val="DefaultParagraphFont"/>
    <w:uiPriority w:val="99"/>
    <w:semiHidden/>
    <w:unhideWhenUsed/>
    <w:rsid w:val="00A618BF"/>
    <w:rPr>
      <w:color w:val="605E5C"/>
      <w:shd w:val="clear" w:color="auto" w:fill="E1DFDD"/>
    </w:rPr>
  </w:style>
  <w:style w:type="paragraph" w:styleId="BalloonText">
    <w:name w:val="Balloon Text"/>
    <w:basedOn w:val="Normal"/>
    <w:link w:val="BalloonTextChar"/>
    <w:uiPriority w:val="99"/>
    <w:semiHidden/>
    <w:unhideWhenUsed/>
    <w:rsid w:val="00FC0A7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0A70"/>
    <w:rPr>
      <w:rFonts w:ascii="Segoe UI" w:hAnsi="Segoe UI" w:cs="Segoe UI"/>
      <w:sz w:val="18"/>
      <w:szCs w:val="18"/>
      <w:lang w:val="en-US" w:eastAsia="en-US" w:bidi="ar-SA"/>
    </w:rPr>
  </w:style>
  <w:style w:type="character" w:styleId="CommentReference">
    <w:name w:val="annotation reference"/>
    <w:basedOn w:val="DefaultParagraphFont"/>
    <w:semiHidden/>
    <w:unhideWhenUsed/>
    <w:rsid w:val="00943BB4"/>
    <w:rPr>
      <w:sz w:val="16"/>
      <w:szCs w:val="16"/>
    </w:rPr>
  </w:style>
  <w:style w:type="paragraph" w:styleId="CommentText">
    <w:name w:val="annotation text"/>
    <w:basedOn w:val="Normal"/>
    <w:link w:val="CommentTextChar"/>
    <w:semiHidden/>
    <w:unhideWhenUsed/>
    <w:rsid w:val="00943BB4"/>
    <w:pPr>
      <w:spacing w:line="240" w:lineRule="auto"/>
    </w:pPr>
    <w:rPr>
      <w:sz w:val="20"/>
      <w:szCs w:val="20"/>
    </w:rPr>
  </w:style>
  <w:style w:type="character" w:customStyle="1" w:styleId="CommentTextChar">
    <w:name w:val="Comment Text Char"/>
    <w:basedOn w:val="DefaultParagraphFont"/>
    <w:link w:val="CommentText"/>
    <w:semiHidden/>
    <w:rsid w:val="00943BB4"/>
    <w:rPr>
      <w:sz w:val="20"/>
      <w:szCs w:val="20"/>
      <w:lang w:val="en-US" w:eastAsia="en-US" w:bidi="ar-SA"/>
    </w:rPr>
  </w:style>
  <w:style w:type="paragraph" w:styleId="CommentSubject">
    <w:name w:val="annotation subject"/>
    <w:basedOn w:val="CommentText"/>
    <w:next w:val="CommentText"/>
    <w:link w:val="CommentSubjectChar"/>
    <w:uiPriority w:val="99"/>
    <w:semiHidden/>
    <w:unhideWhenUsed/>
    <w:rsid w:val="00943BB4"/>
    <w:rPr>
      <w:b/>
      <w:bCs/>
    </w:rPr>
  </w:style>
  <w:style w:type="character" w:customStyle="1" w:styleId="CommentSubjectChar">
    <w:name w:val="Comment Subject Char"/>
    <w:basedOn w:val="CommentTextChar"/>
    <w:link w:val="CommentSubject"/>
    <w:uiPriority w:val="99"/>
    <w:semiHidden/>
    <w:rsid w:val="00943BB4"/>
    <w:rPr>
      <w:b/>
      <w:bCs/>
      <w:sz w:val="20"/>
      <w:szCs w:val="20"/>
      <w:lang w:val="en-US" w:eastAsia="en-US" w:bidi="ar-SA"/>
    </w:rPr>
  </w:style>
  <w:style w:type="character" w:customStyle="1" w:styleId="UnresolvedMention1">
    <w:name w:val="Unresolved Mention1"/>
    <w:basedOn w:val="DefaultParagraphFont"/>
    <w:uiPriority w:val="99"/>
    <w:semiHidden/>
    <w:unhideWhenUsed/>
    <w:rsid w:val="009031F2"/>
    <w:rPr>
      <w:color w:val="605E5C"/>
      <w:shd w:val="clear" w:color="auto" w:fill="E1DFDD"/>
    </w:rPr>
  </w:style>
  <w:style w:type="character" w:customStyle="1" w:styleId="UnresolvedMention2">
    <w:name w:val="Unresolved Mention2"/>
    <w:basedOn w:val="DefaultParagraphFont"/>
    <w:uiPriority w:val="99"/>
    <w:semiHidden/>
    <w:unhideWhenUsed/>
    <w:rsid w:val="008B67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995196">
      <w:bodyDiv w:val="1"/>
      <w:marLeft w:val="0"/>
      <w:marRight w:val="0"/>
      <w:marTop w:val="0"/>
      <w:marBottom w:val="0"/>
      <w:divBdr>
        <w:top w:val="none" w:sz="0" w:space="0" w:color="auto"/>
        <w:left w:val="none" w:sz="0" w:space="0" w:color="auto"/>
        <w:bottom w:val="none" w:sz="0" w:space="0" w:color="auto"/>
        <w:right w:val="none" w:sz="0" w:space="0" w:color="auto"/>
      </w:divBdr>
    </w:div>
    <w:div w:id="121121979">
      <w:bodyDiv w:val="1"/>
      <w:marLeft w:val="0"/>
      <w:marRight w:val="0"/>
      <w:marTop w:val="0"/>
      <w:marBottom w:val="0"/>
      <w:divBdr>
        <w:top w:val="none" w:sz="0" w:space="0" w:color="auto"/>
        <w:left w:val="none" w:sz="0" w:space="0" w:color="auto"/>
        <w:bottom w:val="none" w:sz="0" w:space="0" w:color="auto"/>
        <w:right w:val="none" w:sz="0" w:space="0" w:color="auto"/>
      </w:divBdr>
    </w:div>
    <w:div w:id="134184824">
      <w:bodyDiv w:val="1"/>
      <w:marLeft w:val="0"/>
      <w:marRight w:val="0"/>
      <w:marTop w:val="0"/>
      <w:marBottom w:val="0"/>
      <w:divBdr>
        <w:top w:val="none" w:sz="0" w:space="0" w:color="auto"/>
        <w:left w:val="none" w:sz="0" w:space="0" w:color="auto"/>
        <w:bottom w:val="none" w:sz="0" w:space="0" w:color="auto"/>
        <w:right w:val="none" w:sz="0" w:space="0" w:color="auto"/>
      </w:divBdr>
    </w:div>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183982903">
      <w:bodyDiv w:val="1"/>
      <w:marLeft w:val="0"/>
      <w:marRight w:val="0"/>
      <w:marTop w:val="0"/>
      <w:marBottom w:val="0"/>
      <w:divBdr>
        <w:top w:val="none" w:sz="0" w:space="0" w:color="auto"/>
        <w:left w:val="none" w:sz="0" w:space="0" w:color="auto"/>
        <w:bottom w:val="none" w:sz="0" w:space="0" w:color="auto"/>
        <w:right w:val="none" w:sz="0" w:space="0" w:color="auto"/>
      </w:divBdr>
    </w:div>
    <w:div w:id="223638641">
      <w:bodyDiv w:val="1"/>
      <w:marLeft w:val="0"/>
      <w:marRight w:val="0"/>
      <w:marTop w:val="0"/>
      <w:marBottom w:val="0"/>
      <w:divBdr>
        <w:top w:val="none" w:sz="0" w:space="0" w:color="auto"/>
        <w:left w:val="none" w:sz="0" w:space="0" w:color="auto"/>
        <w:bottom w:val="none" w:sz="0" w:space="0" w:color="auto"/>
        <w:right w:val="none" w:sz="0" w:space="0" w:color="auto"/>
      </w:divBdr>
    </w:div>
    <w:div w:id="230194187">
      <w:bodyDiv w:val="1"/>
      <w:marLeft w:val="0"/>
      <w:marRight w:val="0"/>
      <w:marTop w:val="0"/>
      <w:marBottom w:val="0"/>
      <w:divBdr>
        <w:top w:val="none" w:sz="0" w:space="0" w:color="auto"/>
        <w:left w:val="none" w:sz="0" w:space="0" w:color="auto"/>
        <w:bottom w:val="none" w:sz="0" w:space="0" w:color="auto"/>
        <w:right w:val="none" w:sz="0" w:space="0" w:color="auto"/>
      </w:divBdr>
    </w:div>
    <w:div w:id="239339586">
      <w:bodyDiv w:val="1"/>
      <w:marLeft w:val="0"/>
      <w:marRight w:val="0"/>
      <w:marTop w:val="0"/>
      <w:marBottom w:val="0"/>
      <w:divBdr>
        <w:top w:val="none" w:sz="0" w:space="0" w:color="auto"/>
        <w:left w:val="none" w:sz="0" w:space="0" w:color="auto"/>
        <w:bottom w:val="none" w:sz="0" w:space="0" w:color="auto"/>
        <w:right w:val="none" w:sz="0" w:space="0" w:color="auto"/>
      </w:divBdr>
    </w:div>
    <w:div w:id="302927604">
      <w:bodyDiv w:val="1"/>
      <w:marLeft w:val="0"/>
      <w:marRight w:val="0"/>
      <w:marTop w:val="0"/>
      <w:marBottom w:val="0"/>
      <w:divBdr>
        <w:top w:val="none" w:sz="0" w:space="0" w:color="auto"/>
        <w:left w:val="none" w:sz="0" w:space="0" w:color="auto"/>
        <w:bottom w:val="none" w:sz="0" w:space="0" w:color="auto"/>
        <w:right w:val="none" w:sz="0" w:space="0" w:color="auto"/>
      </w:divBdr>
    </w:div>
    <w:div w:id="370761660">
      <w:bodyDiv w:val="1"/>
      <w:marLeft w:val="0"/>
      <w:marRight w:val="0"/>
      <w:marTop w:val="0"/>
      <w:marBottom w:val="0"/>
      <w:divBdr>
        <w:top w:val="none" w:sz="0" w:space="0" w:color="auto"/>
        <w:left w:val="none" w:sz="0" w:space="0" w:color="auto"/>
        <w:bottom w:val="none" w:sz="0" w:space="0" w:color="auto"/>
        <w:right w:val="none" w:sz="0" w:space="0" w:color="auto"/>
      </w:divBdr>
    </w:div>
    <w:div w:id="397172266">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62504900">
      <w:bodyDiv w:val="1"/>
      <w:marLeft w:val="0"/>
      <w:marRight w:val="0"/>
      <w:marTop w:val="0"/>
      <w:marBottom w:val="0"/>
      <w:divBdr>
        <w:top w:val="none" w:sz="0" w:space="0" w:color="auto"/>
        <w:left w:val="none" w:sz="0" w:space="0" w:color="auto"/>
        <w:bottom w:val="none" w:sz="0" w:space="0" w:color="auto"/>
        <w:right w:val="none" w:sz="0" w:space="0" w:color="auto"/>
      </w:divBdr>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478115149">
      <w:bodyDiv w:val="1"/>
      <w:marLeft w:val="0"/>
      <w:marRight w:val="0"/>
      <w:marTop w:val="0"/>
      <w:marBottom w:val="0"/>
      <w:divBdr>
        <w:top w:val="none" w:sz="0" w:space="0" w:color="auto"/>
        <w:left w:val="none" w:sz="0" w:space="0" w:color="auto"/>
        <w:bottom w:val="none" w:sz="0" w:space="0" w:color="auto"/>
        <w:right w:val="none" w:sz="0" w:space="0" w:color="auto"/>
      </w:divBdr>
    </w:div>
    <w:div w:id="498543433">
      <w:bodyDiv w:val="1"/>
      <w:marLeft w:val="0"/>
      <w:marRight w:val="0"/>
      <w:marTop w:val="0"/>
      <w:marBottom w:val="0"/>
      <w:divBdr>
        <w:top w:val="none" w:sz="0" w:space="0" w:color="auto"/>
        <w:left w:val="none" w:sz="0" w:space="0" w:color="auto"/>
        <w:bottom w:val="none" w:sz="0" w:space="0" w:color="auto"/>
        <w:right w:val="none" w:sz="0" w:space="0" w:color="auto"/>
      </w:divBdr>
    </w:div>
    <w:div w:id="634991978">
      <w:bodyDiv w:val="1"/>
      <w:marLeft w:val="0"/>
      <w:marRight w:val="0"/>
      <w:marTop w:val="0"/>
      <w:marBottom w:val="0"/>
      <w:divBdr>
        <w:top w:val="none" w:sz="0" w:space="0" w:color="auto"/>
        <w:left w:val="none" w:sz="0" w:space="0" w:color="auto"/>
        <w:bottom w:val="none" w:sz="0" w:space="0" w:color="auto"/>
        <w:right w:val="none" w:sz="0" w:space="0" w:color="auto"/>
      </w:divBdr>
    </w:div>
    <w:div w:id="657348643">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719675686">
      <w:bodyDiv w:val="1"/>
      <w:marLeft w:val="0"/>
      <w:marRight w:val="0"/>
      <w:marTop w:val="0"/>
      <w:marBottom w:val="0"/>
      <w:divBdr>
        <w:top w:val="none" w:sz="0" w:space="0" w:color="auto"/>
        <w:left w:val="none" w:sz="0" w:space="0" w:color="auto"/>
        <w:bottom w:val="none" w:sz="0" w:space="0" w:color="auto"/>
        <w:right w:val="none" w:sz="0" w:space="0" w:color="auto"/>
      </w:divBdr>
    </w:div>
    <w:div w:id="742411855">
      <w:bodyDiv w:val="1"/>
      <w:marLeft w:val="0"/>
      <w:marRight w:val="0"/>
      <w:marTop w:val="0"/>
      <w:marBottom w:val="0"/>
      <w:divBdr>
        <w:top w:val="none" w:sz="0" w:space="0" w:color="auto"/>
        <w:left w:val="none" w:sz="0" w:space="0" w:color="auto"/>
        <w:bottom w:val="none" w:sz="0" w:space="0" w:color="auto"/>
        <w:right w:val="none" w:sz="0" w:space="0" w:color="auto"/>
      </w:divBdr>
    </w:div>
    <w:div w:id="872576705">
      <w:bodyDiv w:val="1"/>
      <w:marLeft w:val="0"/>
      <w:marRight w:val="0"/>
      <w:marTop w:val="0"/>
      <w:marBottom w:val="0"/>
      <w:divBdr>
        <w:top w:val="none" w:sz="0" w:space="0" w:color="auto"/>
        <w:left w:val="none" w:sz="0" w:space="0" w:color="auto"/>
        <w:bottom w:val="none" w:sz="0" w:space="0" w:color="auto"/>
        <w:right w:val="none" w:sz="0" w:space="0" w:color="auto"/>
      </w:divBdr>
    </w:div>
    <w:div w:id="955719985">
      <w:bodyDiv w:val="1"/>
      <w:marLeft w:val="0"/>
      <w:marRight w:val="0"/>
      <w:marTop w:val="0"/>
      <w:marBottom w:val="0"/>
      <w:divBdr>
        <w:top w:val="none" w:sz="0" w:space="0" w:color="auto"/>
        <w:left w:val="none" w:sz="0" w:space="0" w:color="auto"/>
        <w:bottom w:val="none" w:sz="0" w:space="0" w:color="auto"/>
        <w:right w:val="none" w:sz="0" w:space="0" w:color="auto"/>
      </w:divBdr>
    </w:div>
    <w:div w:id="977301004">
      <w:bodyDiv w:val="1"/>
      <w:marLeft w:val="0"/>
      <w:marRight w:val="0"/>
      <w:marTop w:val="0"/>
      <w:marBottom w:val="0"/>
      <w:divBdr>
        <w:top w:val="none" w:sz="0" w:space="0" w:color="auto"/>
        <w:left w:val="none" w:sz="0" w:space="0" w:color="auto"/>
        <w:bottom w:val="none" w:sz="0" w:space="0" w:color="auto"/>
        <w:right w:val="none" w:sz="0" w:space="0" w:color="auto"/>
      </w:divBdr>
    </w:div>
    <w:div w:id="983853935">
      <w:bodyDiv w:val="1"/>
      <w:marLeft w:val="0"/>
      <w:marRight w:val="0"/>
      <w:marTop w:val="0"/>
      <w:marBottom w:val="0"/>
      <w:divBdr>
        <w:top w:val="none" w:sz="0" w:space="0" w:color="auto"/>
        <w:left w:val="none" w:sz="0" w:space="0" w:color="auto"/>
        <w:bottom w:val="none" w:sz="0" w:space="0" w:color="auto"/>
        <w:right w:val="none" w:sz="0" w:space="0" w:color="auto"/>
      </w:divBdr>
    </w:div>
    <w:div w:id="1008218334">
      <w:bodyDiv w:val="1"/>
      <w:marLeft w:val="0"/>
      <w:marRight w:val="0"/>
      <w:marTop w:val="0"/>
      <w:marBottom w:val="0"/>
      <w:divBdr>
        <w:top w:val="none" w:sz="0" w:space="0" w:color="auto"/>
        <w:left w:val="none" w:sz="0" w:space="0" w:color="auto"/>
        <w:bottom w:val="none" w:sz="0" w:space="0" w:color="auto"/>
        <w:right w:val="none" w:sz="0" w:space="0" w:color="auto"/>
      </w:divBdr>
    </w:div>
    <w:div w:id="1090200469">
      <w:bodyDiv w:val="1"/>
      <w:marLeft w:val="0"/>
      <w:marRight w:val="0"/>
      <w:marTop w:val="0"/>
      <w:marBottom w:val="0"/>
      <w:divBdr>
        <w:top w:val="none" w:sz="0" w:space="0" w:color="auto"/>
        <w:left w:val="none" w:sz="0" w:space="0" w:color="auto"/>
        <w:bottom w:val="none" w:sz="0" w:space="0" w:color="auto"/>
        <w:right w:val="none" w:sz="0" w:space="0" w:color="auto"/>
      </w:divBdr>
    </w:div>
    <w:div w:id="1131242432">
      <w:bodyDiv w:val="1"/>
      <w:marLeft w:val="0"/>
      <w:marRight w:val="0"/>
      <w:marTop w:val="0"/>
      <w:marBottom w:val="0"/>
      <w:divBdr>
        <w:top w:val="none" w:sz="0" w:space="0" w:color="auto"/>
        <w:left w:val="none" w:sz="0" w:space="0" w:color="auto"/>
        <w:bottom w:val="none" w:sz="0" w:space="0" w:color="auto"/>
        <w:right w:val="none" w:sz="0" w:space="0" w:color="auto"/>
      </w:divBdr>
    </w:div>
    <w:div w:id="1170869497">
      <w:bodyDiv w:val="1"/>
      <w:marLeft w:val="0"/>
      <w:marRight w:val="0"/>
      <w:marTop w:val="0"/>
      <w:marBottom w:val="0"/>
      <w:divBdr>
        <w:top w:val="none" w:sz="0" w:space="0" w:color="auto"/>
        <w:left w:val="none" w:sz="0" w:space="0" w:color="auto"/>
        <w:bottom w:val="none" w:sz="0" w:space="0" w:color="auto"/>
        <w:right w:val="none" w:sz="0" w:space="0" w:color="auto"/>
      </w:divBdr>
    </w:div>
    <w:div w:id="1180776432">
      <w:bodyDiv w:val="1"/>
      <w:marLeft w:val="0"/>
      <w:marRight w:val="0"/>
      <w:marTop w:val="0"/>
      <w:marBottom w:val="0"/>
      <w:divBdr>
        <w:top w:val="none" w:sz="0" w:space="0" w:color="auto"/>
        <w:left w:val="none" w:sz="0" w:space="0" w:color="auto"/>
        <w:bottom w:val="none" w:sz="0" w:space="0" w:color="auto"/>
        <w:right w:val="none" w:sz="0" w:space="0" w:color="auto"/>
      </w:divBdr>
    </w:div>
    <w:div w:id="1263803455">
      <w:bodyDiv w:val="1"/>
      <w:marLeft w:val="0"/>
      <w:marRight w:val="0"/>
      <w:marTop w:val="0"/>
      <w:marBottom w:val="0"/>
      <w:divBdr>
        <w:top w:val="none" w:sz="0" w:space="0" w:color="auto"/>
        <w:left w:val="none" w:sz="0" w:space="0" w:color="auto"/>
        <w:bottom w:val="none" w:sz="0" w:space="0" w:color="auto"/>
        <w:right w:val="none" w:sz="0" w:space="0" w:color="auto"/>
      </w:divBdr>
    </w:div>
    <w:div w:id="1284579568">
      <w:bodyDiv w:val="1"/>
      <w:marLeft w:val="0"/>
      <w:marRight w:val="0"/>
      <w:marTop w:val="0"/>
      <w:marBottom w:val="0"/>
      <w:divBdr>
        <w:top w:val="none" w:sz="0" w:space="0" w:color="auto"/>
        <w:left w:val="none" w:sz="0" w:space="0" w:color="auto"/>
        <w:bottom w:val="none" w:sz="0" w:space="0" w:color="auto"/>
        <w:right w:val="none" w:sz="0" w:space="0" w:color="auto"/>
      </w:divBdr>
    </w:div>
    <w:div w:id="1288394266">
      <w:bodyDiv w:val="1"/>
      <w:marLeft w:val="0"/>
      <w:marRight w:val="0"/>
      <w:marTop w:val="0"/>
      <w:marBottom w:val="0"/>
      <w:divBdr>
        <w:top w:val="none" w:sz="0" w:space="0" w:color="auto"/>
        <w:left w:val="none" w:sz="0" w:space="0" w:color="auto"/>
        <w:bottom w:val="none" w:sz="0" w:space="0" w:color="auto"/>
        <w:right w:val="none" w:sz="0" w:space="0" w:color="auto"/>
      </w:divBdr>
    </w:div>
    <w:div w:id="1322075909">
      <w:bodyDiv w:val="1"/>
      <w:marLeft w:val="0"/>
      <w:marRight w:val="0"/>
      <w:marTop w:val="0"/>
      <w:marBottom w:val="0"/>
      <w:divBdr>
        <w:top w:val="none" w:sz="0" w:space="0" w:color="auto"/>
        <w:left w:val="none" w:sz="0" w:space="0" w:color="auto"/>
        <w:bottom w:val="none" w:sz="0" w:space="0" w:color="auto"/>
        <w:right w:val="none" w:sz="0" w:space="0" w:color="auto"/>
      </w:divBdr>
    </w:div>
    <w:div w:id="1420902437">
      <w:bodyDiv w:val="1"/>
      <w:marLeft w:val="0"/>
      <w:marRight w:val="0"/>
      <w:marTop w:val="0"/>
      <w:marBottom w:val="0"/>
      <w:divBdr>
        <w:top w:val="none" w:sz="0" w:space="0" w:color="auto"/>
        <w:left w:val="none" w:sz="0" w:space="0" w:color="auto"/>
        <w:bottom w:val="none" w:sz="0" w:space="0" w:color="auto"/>
        <w:right w:val="none" w:sz="0" w:space="0" w:color="auto"/>
      </w:divBdr>
    </w:div>
    <w:div w:id="1422945561">
      <w:bodyDiv w:val="1"/>
      <w:marLeft w:val="0"/>
      <w:marRight w:val="0"/>
      <w:marTop w:val="0"/>
      <w:marBottom w:val="0"/>
      <w:divBdr>
        <w:top w:val="none" w:sz="0" w:space="0" w:color="auto"/>
        <w:left w:val="none" w:sz="0" w:space="0" w:color="auto"/>
        <w:bottom w:val="none" w:sz="0" w:space="0" w:color="auto"/>
        <w:right w:val="none" w:sz="0" w:space="0" w:color="auto"/>
      </w:divBdr>
    </w:div>
    <w:div w:id="1508861237">
      <w:bodyDiv w:val="1"/>
      <w:marLeft w:val="0"/>
      <w:marRight w:val="0"/>
      <w:marTop w:val="0"/>
      <w:marBottom w:val="0"/>
      <w:divBdr>
        <w:top w:val="none" w:sz="0" w:space="0" w:color="auto"/>
        <w:left w:val="none" w:sz="0" w:space="0" w:color="auto"/>
        <w:bottom w:val="none" w:sz="0" w:space="0" w:color="auto"/>
        <w:right w:val="none" w:sz="0" w:space="0" w:color="auto"/>
      </w:divBdr>
    </w:div>
    <w:div w:id="1660499785">
      <w:bodyDiv w:val="1"/>
      <w:marLeft w:val="0"/>
      <w:marRight w:val="0"/>
      <w:marTop w:val="0"/>
      <w:marBottom w:val="0"/>
      <w:divBdr>
        <w:top w:val="none" w:sz="0" w:space="0" w:color="auto"/>
        <w:left w:val="none" w:sz="0" w:space="0" w:color="auto"/>
        <w:bottom w:val="none" w:sz="0" w:space="0" w:color="auto"/>
        <w:right w:val="none" w:sz="0" w:space="0" w:color="auto"/>
      </w:divBdr>
    </w:div>
    <w:div w:id="1792089087">
      <w:bodyDiv w:val="1"/>
      <w:marLeft w:val="0"/>
      <w:marRight w:val="0"/>
      <w:marTop w:val="0"/>
      <w:marBottom w:val="0"/>
      <w:divBdr>
        <w:top w:val="none" w:sz="0" w:space="0" w:color="auto"/>
        <w:left w:val="none" w:sz="0" w:space="0" w:color="auto"/>
        <w:bottom w:val="none" w:sz="0" w:space="0" w:color="auto"/>
        <w:right w:val="none" w:sz="0" w:space="0" w:color="auto"/>
      </w:divBdr>
    </w:div>
    <w:div w:id="1821731224">
      <w:bodyDiv w:val="1"/>
      <w:marLeft w:val="0"/>
      <w:marRight w:val="0"/>
      <w:marTop w:val="0"/>
      <w:marBottom w:val="0"/>
      <w:divBdr>
        <w:top w:val="none" w:sz="0" w:space="0" w:color="auto"/>
        <w:left w:val="none" w:sz="0" w:space="0" w:color="auto"/>
        <w:bottom w:val="none" w:sz="0" w:space="0" w:color="auto"/>
        <w:right w:val="none" w:sz="0" w:space="0" w:color="auto"/>
      </w:divBdr>
    </w:div>
    <w:div w:id="1828133152">
      <w:bodyDiv w:val="1"/>
      <w:marLeft w:val="0"/>
      <w:marRight w:val="0"/>
      <w:marTop w:val="0"/>
      <w:marBottom w:val="0"/>
      <w:divBdr>
        <w:top w:val="none" w:sz="0" w:space="0" w:color="auto"/>
        <w:left w:val="none" w:sz="0" w:space="0" w:color="auto"/>
        <w:bottom w:val="none" w:sz="0" w:space="0" w:color="auto"/>
        <w:right w:val="none" w:sz="0" w:space="0" w:color="auto"/>
      </w:divBdr>
    </w:div>
    <w:div w:id="1830633421">
      <w:bodyDiv w:val="1"/>
      <w:marLeft w:val="0"/>
      <w:marRight w:val="0"/>
      <w:marTop w:val="0"/>
      <w:marBottom w:val="0"/>
      <w:divBdr>
        <w:top w:val="none" w:sz="0" w:space="0" w:color="auto"/>
        <w:left w:val="none" w:sz="0" w:space="0" w:color="auto"/>
        <w:bottom w:val="none" w:sz="0" w:space="0" w:color="auto"/>
        <w:right w:val="none" w:sz="0" w:space="0" w:color="auto"/>
      </w:divBdr>
    </w:div>
    <w:div w:id="1832717406">
      <w:bodyDiv w:val="1"/>
      <w:marLeft w:val="0"/>
      <w:marRight w:val="0"/>
      <w:marTop w:val="0"/>
      <w:marBottom w:val="0"/>
      <w:divBdr>
        <w:top w:val="none" w:sz="0" w:space="0" w:color="auto"/>
        <w:left w:val="none" w:sz="0" w:space="0" w:color="auto"/>
        <w:bottom w:val="none" w:sz="0" w:space="0" w:color="auto"/>
        <w:right w:val="none" w:sz="0" w:space="0" w:color="auto"/>
      </w:divBdr>
    </w:div>
    <w:div w:id="1956478059">
      <w:bodyDiv w:val="1"/>
      <w:marLeft w:val="0"/>
      <w:marRight w:val="0"/>
      <w:marTop w:val="0"/>
      <w:marBottom w:val="0"/>
      <w:divBdr>
        <w:top w:val="none" w:sz="0" w:space="0" w:color="auto"/>
        <w:left w:val="none" w:sz="0" w:space="0" w:color="auto"/>
        <w:bottom w:val="none" w:sz="0" w:space="0" w:color="auto"/>
        <w:right w:val="none" w:sz="0" w:space="0" w:color="auto"/>
      </w:divBdr>
    </w:div>
    <w:div w:id="1994332699">
      <w:bodyDiv w:val="1"/>
      <w:marLeft w:val="0"/>
      <w:marRight w:val="0"/>
      <w:marTop w:val="0"/>
      <w:marBottom w:val="0"/>
      <w:divBdr>
        <w:top w:val="none" w:sz="0" w:space="0" w:color="auto"/>
        <w:left w:val="none" w:sz="0" w:space="0" w:color="auto"/>
        <w:bottom w:val="none" w:sz="0" w:space="0" w:color="auto"/>
        <w:right w:val="none" w:sz="0" w:space="0" w:color="auto"/>
      </w:divBdr>
    </w:div>
    <w:div w:id="1996644794">
      <w:bodyDiv w:val="1"/>
      <w:marLeft w:val="0"/>
      <w:marRight w:val="0"/>
      <w:marTop w:val="0"/>
      <w:marBottom w:val="0"/>
      <w:divBdr>
        <w:top w:val="none" w:sz="0" w:space="0" w:color="auto"/>
        <w:left w:val="none" w:sz="0" w:space="0" w:color="auto"/>
        <w:bottom w:val="none" w:sz="0" w:space="0" w:color="auto"/>
        <w:right w:val="none" w:sz="0" w:space="0" w:color="auto"/>
      </w:divBdr>
    </w:div>
    <w:div w:id="2018388477">
      <w:bodyDiv w:val="1"/>
      <w:marLeft w:val="0"/>
      <w:marRight w:val="0"/>
      <w:marTop w:val="0"/>
      <w:marBottom w:val="0"/>
      <w:divBdr>
        <w:top w:val="none" w:sz="0" w:space="0" w:color="auto"/>
        <w:left w:val="none" w:sz="0" w:space="0" w:color="auto"/>
        <w:bottom w:val="none" w:sz="0" w:space="0" w:color="auto"/>
        <w:right w:val="none" w:sz="0" w:space="0" w:color="auto"/>
      </w:divBdr>
    </w:div>
    <w:div w:id="2026663810">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law-tracker.europa.eu/procedure/2025_555?lang=en" TargetMode="External"/><Relationship Id="rId26" Type="http://schemas.openxmlformats.org/officeDocument/2006/relationships/header" Target="header5.xml"/><Relationship Id="rId21" Type="http://schemas.openxmlformats.org/officeDocument/2006/relationships/hyperlink" Target="https://sdgs.un.org/goals/goal8" TargetMode="External"/><Relationship Id="rId34" Type="http://schemas.openxmlformats.org/officeDocument/2006/relationships/customXml" Target="../customXml/item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4.xml"/><Relationship Id="rId33" Type="http://schemas.openxmlformats.org/officeDocument/2006/relationships/customXml" Target="../customXml/item1.xml"/><Relationship Id="rId16" Type="http://schemas.openxmlformats.org/officeDocument/2006/relationships/header" Target="header3.xml"/><Relationship Id="rId20" Type="http://schemas.openxmlformats.org/officeDocument/2006/relationships/hyperlink" Target="https://commission.europa.eu/publications/european-competitiveness-fund_en" TargetMode="External"/><Relationship Id="rId29" Type="http://schemas.openxmlformats.org/officeDocument/2006/relationships/header" Target="header6.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sdgs.un.org/goals/goal13"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sdgs.un.org/goals/goal12" TargetMode="External"/><Relationship Id="rId28" Type="http://schemas.openxmlformats.org/officeDocument/2006/relationships/footer" Target="footer5.xml"/><Relationship Id="rId36" Type="http://schemas.openxmlformats.org/officeDocument/2006/relationships/customXml" Target="../customXml/item4.xml"/><Relationship Id="rId10" Type="http://schemas.openxmlformats.org/officeDocument/2006/relationships/endnotes" Target="endnotes.xml"/><Relationship Id="rId19" Type="http://schemas.openxmlformats.org/officeDocument/2006/relationships/hyperlink" Target="https://eur-lex.europa.eu/legal-content/EN/TXT/PDF/?uri=CELEX:52025PC0555" TargetMode="External"/><Relationship Id="rId31" Type="http://schemas.openxmlformats.org/officeDocument/2006/relationships/fontTable" Target="fontTable.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sdgs.un.org/goals/goal9" TargetMode="External"/><Relationship Id="rId27" Type="http://schemas.openxmlformats.org/officeDocument/2006/relationships/footer" Target="footer4.xml"/><Relationship Id="rId30" Type="http://schemas.openxmlformats.org/officeDocument/2006/relationships/footer" Target="footer6.xml"/><Relationship Id="rId35"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8" Type="http://schemas.openxmlformats.org/officeDocument/2006/relationships/hyperlink" Target="http://data.europa.eu/eli/C/2025/2004/oj" TargetMode="External"/><Relationship Id="rId13" Type="http://schemas.openxmlformats.org/officeDocument/2006/relationships/hyperlink" Target="https://eur-lex.europa.eu/legal-content/EN/ALL/?uri=CELEX%3A52016AE3274" TargetMode="External"/><Relationship Id="rId18" Type="http://schemas.openxmlformats.org/officeDocument/2006/relationships/hyperlink" Target="https://eur-lex.europa.eu/legal-content/EN/TXT/?uri=CELEX%3A52021IE3668" TargetMode="External"/><Relationship Id="rId3" Type="http://schemas.openxmlformats.org/officeDocument/2006/relationships/hyperlink" Target="https://eur-lex.europa.eu/legal-content/EN/TXT/?uri=CELEX%3A52020AE1450" TargetMode="External"/><Relationship Id="rId21" Type="http://schemas.openxmlformats.org/officeDocument/2006/relationships/hyperlink" Target="https://eur-lex.europa.eu/legal-content/EN/TXT/PDF/?uri=CELEX:52025PC0555" TargetMode="External"/><Relationship Id="rId7" Type="http://schemas.openxmlformats.org/officeDocument/2006/relationships/hyperlink" Target="https://www.eesc.europa.eu/en/our-work/opinions-information-reports/opinions/strengthening-enforcement-single-market-rules-revision-current-tools-and-framework" TargetMode="External"/><Relationship Id="rId12" Type="http://schemas.openxmlformats.org/officeDocument/2006/relationships/hyperlink" Target="https://eur-lex.europa.eu/legal-content/EN/ALL/?uri=CELEX%3A52018AE3007" TargetMode="External"/><Relationship Id="rId17" Type="http://schemas.openxmlformats.org/officeDocument/2006/relationships/hyperlink" Target="https://eur-lex.europa.eu/legal-content/EN/TXT/?uri=CELEX%3A52022IE1049" TargetMode="External"/><Relationship Id="rId2" Type="http://schemas.openxmlformats.org/officeDocument/2006/relationships/hyperlink" Target="https://eur-lex.europa.eu/legal-content/EN/TXT/?uri=CELEX%3A52021IE3668" TargetMode="External"/><Relationship Id="rId16" Type="http://schemas.openxmlformats.org/officeDocument/2006/relationships/hyperlink" Target="https://eur-lex.europa.eu/legal-content/EN/TXT/PDF/?uri=CELEX:52025PC0555" TargetMode="External"/><Relationship Id="rId20" Type="http://schemas.openxmlformats.org/officeDocument/2006/relationships/hyperlink" Target="http://data.europa.eu/eli/C/2025/4212/oj" TargetMode="External"/><Relationship Id="rId1" Type="http://schemas.openxmlformats.org/officeDocument/2006/relationships/hyperlink" Target="https://eur-lex.europa.eu/legal-content/EN/TXT/?uri=CELEX%3A52022IE1049" TargetMode="External"/><Relationship Id="rId6" Type="http://schemas.openxmlformats.org/officeDocument/2006/relationships/hyperlink" Target="https://www.eesc.europa.eu/en/our-work/opinions-information-reports/opinions/single-market-strategy" TargetMode="External"/><Relationship Id="rId11" Type="http://schemas.openxmlformats.org/officeDocument/2006/relationships/hyperlink" Target="http://data.europa.eu/eli/C/2024/6874/oj" TargetMode="External"/><Relationship Id="rId24" Type="http://schemas.openxmlformats.org/officeDocument/2006/relationships/hyperlink" Target="https://eur-lex.europa.eu/legal-content/EN/TXT/PDF/?uri=CELEX:52025PC0555" TargetMode="External"/><Relationship Id="rId5" Type="http://schemas.openxmlformats.org/officeDocument/2006/relationships/hyperlink" Target="http://data.europa.eu/eli/C/2025/4212/oj" TargetMode="External"/><Relationship Id="rId15" Type="http://schemas.openxmlformats.org/officeDocument/2006/relationships/hyperlink" Target="https://eur-lex.europa.eu/legal-content/EN/TXT/PDF/?uri=CELEX:52025PC0555" TargetMode="External"/><Relationship Id="rId23" Type="http://schemas.openxmlformats.org/officeDocument/2006/relationships/hyperlink" Target="https://eur-lex.europa.eu/legal-content/EN/TXT/PDF/?uri=CELEX:52025PC0555" TargetMode="External"/><Relationship Id="rId10" Type="http://schemas.openxmlformats.org/officeDocument/2006/relationships/hyperlink" Target="https://commission.europa.eu/publications/multiannual-financial-framework_en" TargetMode="External"/><Relationship Id="rId19" Type="http://schemas.openxmlformats.org/officeDocument/2006/relationships/hyperlink" Target="https://eur-lex.europa.eu/legal-content/EN/TXT/?uri=CELEX%3A52020AE1450" TargetMode="External"/><Relationship Id="rId4" Type="http://schemas.openxmlformats.org/officeDocument/2006/relationships/hyperlink" Target="http://data.europa.eu/eli/C/2025/3189/oj" TargetMode="External"/><Relationship Id="rId9" Type="http://schemas.openxmlformats.org/officeDocument/2006/relationships/hyperlink" Target="https://commission.europa.eu/topics/budget/eu-budget-2028-2034-explained_en" TargetMode="External"/><Relationship Id="rId14" Type="http://schemas.openxmlformats.org/officeDocument/2006/relationships/hyperlink" Target="https://eur-lex.europa.eu/legal-content/EN/TXT/PDF/?uri=CELEX:52025PC0555" TargetMode="External"/><Relationship Id="rId22" Type="http://schemas.openxmlformats.org/officeDocument/2006/relationships/hyperlink" Target="https://eur-lex.europa.eu/legal-content/EN/TXT/PDF/?uri=CELEX:52025PC05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A6WAAD5KZT2Q-235352946-8596</_dlc_DocId>
    <_dlc_DocIdUrl xmlns="1a33af13-4045-4f88-9d7b-618e30f79918">
      <Url>http://dm/eesc/2025/_layouts/15/DocIdRedir.aspx?ID=A6WAAD5KZT2Q-235352946-8596</Url>
      <Description>A6WAAD5KZT2Q-235352946-8596</Description>
    </_dlc_DocIdUrl>
    <Procedure xmlns="1a33af13-4045-4f88-9d7b-618e30f79918">2025/0555(COD)</Procedure>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2025-11-19T12:00:00+00:00</ProductionDate>
    <FicheYear xmlns="1a33af13-4045-4f88-9d7b-618e30f79918" xsi:nil="true"/>
    <DocumentNumber xmlns="a3e83899-37aa-47c6-ba54-4ea80e9c17cf">2576</DocumentNumber>
    <DossierNumber xmlns="1a33af13-4045-4f88-9d7b-618e30f79918">1101</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67</Value>
      <Value>51</Value>
      <Value>50</Value>
      <Value>47</Value>
      <Value>46</Value>
      <Value>43</Value>
      <Value>42</Value>
      <Value>41</Value>
      <Value>40</Value>
      <Value>39</Value>
      <Value>37</Value>
      <Value>36</Value>
      <Value>35</Value>
      <Value>34</Value>
      <Value>33</Value>
      <Value>32</Value>
      <Value>31</Value>
      <Value>30</Value>
      <Value>29</Value>
      <Value>28</Value>
      <Value>27</Value>
      <Value>24</Value>
      <Value>23</Value>
      <Value>16</Value>
      <Value>15</Value>
      <Value>13</Value>
      <Value>12</Value>
      <Value>8</Value>
      <Value>5</Value>
      <Value>126</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DocumentLanguage_0>
    <Rapporteur xmlns="1a33af13-4045-4f88-9d7b-618e30f79918">ANGELOVA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296703</FicheNumber>
    <OriginalSender xmlns="1a33af13-4045-4f88-9d7b-618e30f79918">
      <UserInfo>
        <DisplayName>TDriveSVCUserProd</DisplayName>
        <AccountId>1358</AccountId>
        <AccountType/>
      </UserInfo>
    </OriginalSender>
    <DocumentPart xmlns="1a33af13-4045-4f88-9d7b-618e30f79918">0</DocumentPart>
    <AdoptionDate xmlns="1a33af13-4045-4f88-9d7b-618e30f79918" xsi:nil="true"/>
    <RequestingService xmlns="1a33af13-4045-4f88-9d7b-618e30f79918">Marché unique, production, consommation</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INT</TermName>
          <TermId xmlns="http://schemas.microsoft.com/office/infopath/2007/PartnerControls">e1edfecb-ed43-427b-bb02-d45fe6645386</TermId>
        </TermInfo>
      </Terms>
    </DossierName_0>
    <DocumentVersion xmlns="1a33af13-4045-4f88-9d7b-618e30f79918">1</DocumentVersion>
  </documentManagement>
</p:properties>
</file>

<file path=customXml/itemProps1.xml><?xml version="1.0" encoding="utf-8"?>
<ds:datastoreItem xmlns:ds="http://schemas.openxmlformats.org/officeDocument/2006/customXml" ds:itemID="{3A3E3C0D-0D2D-4874-BA70-A1FB1BF7F8E2}"/>
</file>

<file path=customXml/itemProps2.xml><?xml version="1.0" encoding="utf-8"?>
<ds:datastoreItem xmlns:ds="http://schemas.openxmlformats.org/officeDocument/2006/customXml" ds:itemID="{C9F1BB35-F8C7-4F33-82E1-5FE852616A89}"/>
</file>

<file path=customXml/itemProps3.xml><?xml version="1.0" encoding="utf-8"?>
<ds:datastoreItem xmlns:ds="http://schemas.openxmlformats.org/officeDocument/2006/customXml" ds:itemID="{E3CD7C2B-155D-43C0-8573-F02AE44B3A19}"/>
</file>

<file path=customXml/itemProps4.xml><?xml version="1.0" encoding="utf-8"?>
<ds:datastoreItem xmlns:ds="http://schemas.openxmlformats.org/officeDocument/2006/customXml" ds:itemID="{28417C63-4AF0-4CF8-AFDA-1978C1CBDA37}"/>
</file>

<file path=docProps/app.xml><?xml version="1.0" encoding="utf-8"?>
<Properties xmlns="http://schemas.openxmlformats.org/officeDocument/2006/extended-properties" xmlns:vt="http://schemas.openxmlformats.org/officeDocument/2006/docPropsVTypes">
  <Template>Normal</Template>
  <TotalTime>0</TotalTime>
  <Pages>2</Pages>
  <Words>4118</Words>
  <Characters>23473</Characters>
  <Application>Microsoft Office Word</Application>
  <DocSecurity>0</DocSecurity>
  <Lines>195</Lines>
  <Paragraphs>55</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Competitiveness fund</vt:lpstr>
      <vt:lpstr>Competitiveness fund</vt:lpstr>
    </vt:vector>
  </TitlesOfParts>
  <Company>CESE-CdR</Company>
  <LinksUpToDate>false</LinksUpToDate>
  <CharactersWithSpaces>27536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Competitiveness fund</dc:title>
  <dc:subject>Section opinion</dc:subject>
  <dc:creator>Tomas Vocasek</dc:creator>
  <cp:keywords>EESC-2025-02576-00-01-AS-TRA-EN</cp:keywords>
  <dc:description>Rapporteur: - ANGELOVA Original language: - EN Date of document: - 19/11/2025 Date of meeting: - 03/12/2025 External documents: - COM(2025)555- final Administrator responsible: - Mme STAFFA Silvia</dc:description>
  <cp:lastModifiedBy>TDriveSVCUserProd</cp:lastModifiedBy>
  <cp:revision>6</cp:revision>
  <cp:lastPrinted>2025-08-04T07:25:00Z</cp:lastPrinted>
  <dcterms:created xsi:type="dcterms:W3CDTF">2025-11-19T12:58:00Z</dcterms:created>
  <dcterms:modified xsi:type="dcterms:W3CDTF">2025-11-19T13:00:00Z</dcterms:modified>
  <cp:category>INT/1101</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19/11/2025, 18/11/2025, 03/11/2025, 08/10/2025, 07/10/2025, 22/08/2025, 03-07-2025, 12/04/2024, 03/04/2024, 11/03/2024, 04/03/2024, 04/03/2024, 04/03/2024, 20/12/2023, 17/05/2022, 04/11/2015, 27/10/2015, 19/10/2015, 09/10/2015, 05/10/2015, 05/10/2015, 26/</vt:lpwstr>
  </property>
  <property fmtid="{D5CDD505-2E9C-101B-9397-08002B2CF9AE}" pid="4" name="Pref_Time">
    <vt:lpwstr>13:58:09, 17:35:46, 17:02:00, 16:38:51, 09:40:47, 15:01:46, 08:56:40, 11:59:36, 08:10:26, 12:03:24, 12:56:55, 12:41:08, 11:08:50, 07:02:01, 13:02:32, 12/10/07, 14:44:02, 16/04/16, 14:09:30, 16:24:55, 16:04:02, 08:56:14, 07:27:56, 17:31:53</vt:lpwstr>
  </property>
  <property fmtid="{D5CDD505-2E9C-101B-9397-08002B2CF9AE}" pid="5" name="Pref_User">
    <vt:lpwstr>pacup, jhvi, pacup, amett, amett, pacup, pacup, enied, enied, enied, enied, enied, enied, enied, enied, ssex, enied, amett, tvoc, mreg, mreg, amett, enied, ssex</vt:lpwstr>
  </property>
  <property fmtid="{D5CDD505-2E9C-101B-9397-08002B2CF9AE}" pid="6" name="Pref_FileName">
    <vt:lpwstr>EESC-2025-02576-00-01-AS-ORI.docx, EESC-2025-02576-00-00-AS-TRA-EN-CRR.docx, EESC-2025-02576-00-00-PA-ORI.docx, EESC-2025-02576-00-01-APA-ORI.docx, EESC-2025-02576-00-00-APA-ORI.docx, EESC-2025-02576-00-00-DT-ORI.docx, EESC-2025-01910-00-00-DT-ORI.docx, C</vt:lpwstr>
  </property>
  <property fmtid="{D5CDD505-2E9C-101B-9397-08002B2CF9AE}" pid="7" name="ContentTypeId">
    <vt:lpwstr>0x010100EA97B91038054C99906057A708A1480A004B94E0CD93B68F4F96D67EEBEC8A7176</vt:lpwstr>
  </property>
  <property fmtid="{D5CDD505-2E9C-101B-9397-08002B2CF9AE}" pid="8" name="_dlc_DocIdItemGuid">
    <vt:lpwstr>78f0d3e6-571c-46be-be9a-88602b576ae4</vt:lpwstr>
  </property>
  <property fmtid="{D5CDD505-2E9C-101B-9397-08002B2CF9AE}" pid="9" name="Procedure">
    <vt:lpwstr>2025/0555(COD)</vt:lpwstr>
  </property>
  <property fmtid="{D5CDD505-2E9C-101B-9397-08002B2CF9AE}" pid="10" name="AvailableTranslations">
    <vt:lpwstr>40;#DA|5d49c027-8956-412b-aa16-e85a0f96ad0e;#42;#EL|6d4f4d51-af9b-4650-94b4-4276bee85c91;#30;#LT|a7ff5ce7-6123-4f68-865a-a57c31810414;#23;#DE|f6b31e5a-26fa-4935-b661-318e46daf27e;#43;#GA|762d2456-c427-4ecb-b312-af3dad8e258c;#34;#IT|0774613c-01ed-4e5d-a25d-11d2388de825;#46;#SK|46d9fce0-ef79-4f71-b89b-cd6aa82426b8;#28;#SV|c2ed69e7-a339-43d7-8f22-d93680a92aa0;#36;#RO|feb747a2-64cd-4299-af12-4833ddc30497;#41;#ET|ff6c3f4c-b02c-4c3c-ab07-2c37995a7a0a;#16;#ES|e7a6b05b-ae16-40c8-add9-68b64b03aeba;#5;#EN|f2175f21-25d7-44a3-96da-d6a61b075e1b;#27;#NL|55c6556c-b4f4-441d-9acf-c498d4f838bd;#12;#FR|d2afafd3-4c81-4f60-8f52-ee33f2f54ff3;#33;#PT|50ccc04a-eadd-42ae-a0cb-acaf45f812ba;#37;#HU|6b229040-c589-4408-b4c1-4285663d20a8;#50;#HR|2f555653-ed1a-4fe6-8362-9082d95989e5;#35;#FI|87606a43-d45f-42d6-b8c9-e1a3457db5b7;#24;#PL|1e03da61-4678-4e07-b136-b5024ca9197b;#47;#BG|1a1b3951-7821-4e6a-85f5-5673fc08bd2c;#29;#CS|72f9705b-0217-4fd3-bea2-cbc7ed80e26e;#32;#MT|7df99101-6854-4a26-b53a-b88c0da02c26;#39;#LV|46f7e311-5d9f-4663-b433-18aeccb7ace7;#31;#SL|98a412ae-eb01-49e9-ae3d-585a81724cfc</vt:lpwstr>
  </property>
  <property fmtid="{D5CDD505-2E9C-101B-9397-08002B2CF9AE}" pid="11" name="DocumentType_0">
    <vt:lpwstr>AS|c7a748eb-f6f2-4d9d-8b5a-af0cafebc224</vt:lpwstr>
  </property>
  <property fmtid="{D5CDD505-2E9C-101B-9397-08002B2CF9AE}" pid="12" name="MeetingNumber">
    <vt:i4>601</vt:i4>
  </property>
  <property fmtid="{D5CDD505-2E9C-101B-9397-08002B2CF9AE}" pid="13" name="DossierName_0">
    <vt:lpwstr>INT|e1edfecb-ed43-427b-bb02-d45fe6645386</vt:lpwstr>
  </property>
  <property fmtid="{D5CDD505-2E9C-101B-9397-08002B2CF9AE}" pid="14" name="DocumentSource_0">
    <vt:lpwstr>EESC|422833ec-8d7e-4e65-8e4e-8bed07ffb729</vt:lpwstr>
  </property>
  <property fmtid="{D5CDD505-2E9C-101B-9397-08002B2CF9AE}" pid="15" name="DocumentNumber">
    <vt:i4>2576</vt:i4>
  </property>
  <property fmtid="{D5CDD505-2E9C-101B-9397-08002B2CF9AE}" pid="16" name="FicheYear">
    <vt:i4>2025</vt:i4>
  </property>
  <property fmtid="{D5CDD505-2E9C-101B-9397-08002B2CF9AE}" pid="17" name="DocumentVersion">
    <vt:i4>1</vt:i4>
  </property>
  <property fmtid="{D5CDD505-2E9C-101B-9397-08002B2CF9AE}" pid="18" name="DossierNumber">
    <vt:i4>1101</vt:i4>
  </property>
  <property fmtid="{D5CDD505-2E9C-101B-9397-08002B2CF9AE}" pid="19" name="DocumentStatus">
    <vt:lpwstr>13;#TRA|150d2a88-1431-44e6-a8ca-0bb753ab8672</vt:lpwstr>
  </property>
  <property fmtid="{D5CDD505-2E9C-101B-9397-08002B2CF9AE}" pid="20" name="DossierName">
    <vt:lpwstr>51;#INT|e1edfecb-ed43-427b-bb02-d45fe6645386</vt:lpwstr>
  </property>
  <property fmtid="{D5CDD505-2E9C-101B-9397-08002B2CF9AE}" pid="21" name="RequestingService">
    <vt:lpwstr>Marché unique, production, consommation</vt:lpwstr>
  </property>
  <property fmtid="{D5CDD505-2E9C-101B-9397-08002B2CF9AE}" pid="22" name="Confidentiality">
    <vt:lpwstr>15;#Unrestricted|826e22d7-d029-4ec0-a450-0c28ff673572</vt:lpwstr>
  </property>
  <property fmtid="{D5CDD505-2E9C-101B-9397-08002B2CF9AE}" pid="23" name="MeetingName_0">
    <vt:lpwstr>SPL-CES|32d8cb1f-c9ec-4365-95c7-8385a18618ac</vt:lpwstr>
  </property>
  <property fmtid="{D5CDD505-2E9C-101B-9397-08002B2CF9AE}" pid="24" name="Confidentiality_0">
    <vt:lpwstr>Unrestricted|826e22d7-d029-4ec0-a450-0c28ff673572</vt:lpwstr>
  </property>
  <property fmtid="{D5CDD505-2E9C-101B-9397-08002B2CF9AE}" pid="25" name="OriginalLanguage">
    <vt:lpwstr>5;#EN|f2175f21-25d7-44a3-96da-d6a61b075e1b</vt:lpwstr>
  </property>
  <property fmtid="{D5CDD505-2E9C-101B-9397-08002B2CF9AE}" pid="26" name="MeetingName">
    <vt:lpwstr>67;#SPL-CES|32d8cb1f-c9ec-4365-95c7-8385a18618ac</vt:lpwstr>
  </property>
  <property fmtid="{D5CDD505-2E9C-101B-9397-08002B2CF9AE}" pid="27" name="MeetingDate">
    <vt:filetime>2025-12-03T12:00:00Z</vt:filetime>
  </property>
  <property fmtid="{D5CDD505-2E9C-101B-9397-08002B2CF9AE}" pid="28" name="AvailableTranslations_0">
    <vt:lpwstr/>
  </property>
  <property fmtid="{D5CDD505-2E9C-101B-9397-08002B2CF9AE}" pid="29" name="DocumentStatus_0">
    <vt:lpwstr>TRA|150d2a88-1431-44e6-a8ca-0bb753ab8672</vt:lpwstr>
  </property>
  <property fmtid="{D5CDD505-2E9C-101B-9397-08002B2CF9AE}" pid="30" name="OriginalLanguage_0">
    <vt:lpwstr>EN|f2175f21-25d7-44a3-96da-d6a61b075e1b</vt:lpwstr>
  </property>
  <property fmtid="{D5CDD505-2E9C-101B-9397-08002B2CF9AE}" pid="31" name="TaxCatchAll">
    <vt:lpwstr>67;#SPL-CES|32d8cb1f-c9ec-4365-95c7-8385a18618ac;#15;#Unrestricted|826e22d7-d029-4ec0-a450-0c28ff673572;#13;#TRA|150d2a88-1431-44e6-a8ca-0bb753ab8672;#8;#Final|ea5e6674-7b27-4bac-b091-73adbb394efe;#126;#AS|c7a748eb-f6f2-4d9d-8b5a-af0cafebc224;#5;#EN|f2175f21-25d7-44a3-96da-d6a61b075e1b;#1;#EESC|422833ec-8d7e-4e65-8e4e-8bed07ffb729;#51;#INT|e1edfecb-ed43-427b-bb02-d45fe6645386</vt:lpwstr>
  </property>
  <property fmtid="{D5CDD505-2E9C-101B-9397-08002B2CF9AE}" pid="32" name="Rapporteur">
    <vt:lpwstr>ANGELOVA</vt:lpwstr>
  </property>
  <property fmtid="{D5CDD505-2E9C-101B-9397-08002B2CF9AE}" pid="33" name="VersionStatus_0">
    <vt:lpwstr>Final|ea5e6674-7b27-4bac-b091-73adbb394efe</vt:lpwstr>
  </property>
  <property fmtid="{D5CDD505-2E9C-101B-9397-08002B2CF9AE}" pid="34" name="VersionStatus">
    <vt:lpwstr>8;#Final|ea5e6674-7b27-4bac-b091-73adbb394efe</vt:lpwstr>
  </property>
  <property fmtid="{D5CDD505-2E9C-101B-9397-08002B2CF9AE}" pid="35" name="DocumentYear">
    <vt:i4>2025</vt:i4>
  </property>
  <property fmtid="{D5CDD505-2E9C-101B-9397-08002B2CF9AE}" pid="36" name="FicheNumber">
    <vt:i4>11057</vt:i4>
  </property>
  <property fmtid="{D5CDD505-2E9C-101B-9397-08002B2CF9AE}" pid="37" name="DocumentPart">
    <vt:i4>0</vt:i4>
  </property>
  <property fmtid="{D5CDD505-2E9C-101B-9397-08002B2CF9AE}" pid="38" name="DocumentSource">
    <vt:lpwstr>1;#EESC|422833ec-8d7e-4e65-8e4e-8bed07ffb729</vt:lpwstr>
  </property>
  <property fmtid="{D5CDD505-2E9C-101B-9397-08002B2CF9AE}" pid="40" name="DocumentType">
    <vt:lpwstr>126;#AS|c7a748eb-f6f2-4d9d-8b5a-af0cafebc224</vt:lpwstr>
  </property>
  <property fmtid="{D5CDD505-2E9C-101B-9397-08002B2CF9AE}" pid="41" name="DocumentLanguage">
    <vt:lpwstr>5;#EN|f2175f21-25d7-44a3-96da-d6a61b075e1b</vt:lpwstr>
  </property>
  <property fmtid="{D5CDD505-2E9C-101B-9397-08002B2CF9AE}" pid="42" name="_docset_NoMedatataSyncRequired">
    <vt:lpwstr>False</vt:lpwstr>
  </property>
</Properties>
</file>