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BE56A" w14:textId="45C2815B" w:rsidR="00646AC2" w:rsidRPr="004764EE" w:rsidRDefault="00980301" w:rsidP="009A4C3C">
      <w:pPr>
        <w:jc w:val="center"/>
      </w:pPr>
      <w:r>
        <w:rPr>
          <w:noProof/>
        </w:rPr>
        <w:drawing>
          <wp:inline distT="0" distB="0" distL="0" distR="0" wp14:anchorId="45F1F153" wp14:editId="4F13CD94">
            <wp:extent cx="1792605" cy="1241425"/>
            <wp:effectExtent l="0" t="0" r="0" b="0"/>
            <wp:docPr id="2" name="Picture 2" title="EESCLogo_RO"/>
            <wp:cNvGraphicFramePr/>
            <a:graphic xmlns:a="http://schemas.openxmlformats.org/drawingml/2006/main">
              <a:graphicData uri="http://schemas.openxmlformats.org/drawingml/2006/picture">
                <pic:pic xmlns:pic="http://schemas.openxmlformats.org/drawingml/2006/picture">
                  <pic:nvPicPr>
                    <pic:cNvPr id="2" name="Picture 2" title="EESCLogo_RO"/>
                    <pic:cNvPicPr/>
                  </pic:nvPicPr>
                  <pic:blipFill>
                    <a:blip r:embed="rId12"/>
                    <a:stretch>
                      <a:fillRect/>
                    </a:stretch>
                  </pic:blipFill>
                  <pic:spPr>
                    <a:xfrm>
                      <a:off x="0" y="0"/>
                      <a:ext cx="1792605" cy="1241425"/>
                    </a:xfrm>
                    <a:prstGeom prst="rect">
                      <a:avLst/>
                    </a:prstGeom>
                  </pic:spPr>
                </pic:pic>
              </a:graphicData>
            </a:graphic>
          </wp:inline>
        </w:drawing>
      </w:r>
      <w:r w:rsidR="00E6736F">
        <w:rPr>
          <w:noProof/>
          <w:sz w:val="20"/>
        </w:rPr>
        <mc:AlternateContent>
          <mc:Choice Requires="wps">
            <w:drawing>
              <wp:anchor distT="0" distB="0" distL="114300" distR="114300" simplePos="0" relativeHeight="251659776" behindDoc="1" locked="0" layoutInCell="0" allowOverlap="1" wp14:anchorId="131133D6" wp14:editId="51E94AB0">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060660" w14:textId="77777777" w:rsidR="002C1DB1" w:rsidRPr="00260E65" w:rsidRDefault="002C1DB1">
                            <w:pPr>
                              <w:jc w:val="center"/>
                              <w:rPr>
                                <w:rFonts w:ascii="Arial" w:hAnsi="Arial" w:cs="Arial"/>
                                <w:b/>
                                <w:bCs/>
                                <w:sz w:val="48"/>
                              </w:rPr>
                            </w:pPr>
                            <w:r>
                              <w:rPr>
                                <w:rFonts w:ascii="Arial" w:hAnsi="Arial"/>
                                <w:b/>
                                <w:sz w:val="48"/>
                              </w:rPr>
                              <w:t>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133D6"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45060660" w14:textId="77777777" w:rsidR="002C1DB1" w:rsidRPr="00260E65" w:rsidRDefault="002C1DB1">
                      <w:pPr>
                        <w:jc w:val="center"/>
                        <w:rPr>
                          <w:rFonts w:ascii="Arial" w:hAnsi="Arial" w:cs="Arial"/>
                          <w:b/>
                          <w:bCs/>
                          <w:sz w:val="48"/>
                        </w:rPr>
                      </w:pPr>
                      <w:r>
                        <w:rPr>
                          <w:rFonts w:ascii="Arial" w:hAnsi="Arial"/>
                          <w:b/>
                          <w:sz w:val="48"/>
                        </w:rPr>
                        <w:t>RO</w:t>
                      </w:r>
                    </w:p>
                  </w:txbxContent>
                </v:textbox>
                <w10:wrap anchorx="page" anchory="page"/>
              </v:shape>
            </w:pict>
          </mc:Fallback>
        </mc:AlternateContent>
      </w:r>
    </w:p>
    <w:p w14:paraId="3C828267" w14:textId="77777777" w:rsidR="00E11C4F" w:rsidRPr="004764EE" w:rsidRDefault="00E11C4F" w:rsidP="009A4C3C"/>
    <w:p w14:paraId="75D16E93" w14:textId="77777777" w:rsidR="00E11C4F" w:rsidRPr="004764EE" w:rsidRDefault="00E11C4F" w:rsidP="009A4C3C">
      <w:pPr>
        <w:jc w:val="right"/>
      </w:pPr>
      <w:r>
        <w:rPr>
          <w:b/>
        </w:rPr>
        <w:t>ECO/675</w:t>
      </w:r>
    </w:p>
    <w:p w14:paraId="7E8BF057" w14:textId="27515F5D" w:rsidR="00E11C4F" w:rsidRPr="004764EE" w:rsidRDefault="00E11C4F" w:rsidP="009A4C3C">
      <w:pPr>
        <w:jc w:val="right"/>
      </w:pPr>
      <w:r>
        <w:rPr>
          <w:b/>
        </w:rPr>
        <w:t xml:space="preserve">Punerea în aplicare a strategiilor </w:t>
      </w:r>
      <w:proofErr w:type="spellStart"/>
      <w:r>
        <w:rPr>
          <w:b/>
        </w:rPr>
        <w:t>macroregionale</w:t>
      </w:r>
      <w:proofErr w:type="spellEnd"/>
      <w:r>
        <w:rPr>
          <w:b/>
        </w:rPr>
        <w:t xml:space="preserve"> ale UE – al 5-lea raport</w:t>
      </w:r>
    </w:p>
    <w:p w14:paraId="59902C05" w14:textId="77777777" w:rsidR="00E11C4F" w:rsidRPr="004764EE" w:rsidRDefault="00E11C4F" w:rsidP="009A4C3C"/>
    <w:p w14:paraId="0AF5A3BF" w14:textId="77777777" w:rsidR="00E11C4F" w:rsidRPr="004764EE" w:rsidRDefault="00E11C4F" w:rsidP="009A4C3C"/>
    <w:p w14:paraId="0C978765" w14:textId="328C7DEE" w:rsidR="00E11C4F" w:rsidRPr="004764EE" w:rsidRDefault="0041706F" w:rsidP="009A4C3C">
      <w:pPr>
        <w:jc w:val="center"/>
        <w:rPr>
          <w:b/>
          <w:bCs/>
          <w:sz w:val="28"/>
          <w:szCs w:val="28"/>
        </w:rPr>
      </w:pPr>
      <w:r>
        <w:rPr>
          <w:b/>
          <w:sz w:val="28"/>
        </w:rPr>
        <w:t>AVIZ</w:t>
      </w:r>
    </w:p>
    <w:p w14:paraId="2C31D93A" w14:textId="77777777" w:rsidR="00E11C4F" w:rsidRPr="004764EE" w:rsidRDefault="00E11C4F">
      <w:pPr>
        <w:jc w:val="center"/>
      </w:pPr>
    </w:p>
    <w:p w14:paraId="0F674E01" w14:textId="77777777" w:rsidR="00E11C4F" w:rsidRPr="004764EE" w:rsidRDefault="00E11C4F">
      <w:pPr>
        <w:jc w:val="center"/>
      </w:pPr>
      <w:r>
        <w:t>Secțiunea pentru uniunea economică și monetară și coeziune economică și socială</w:t>
      </w:r>
    </w:p>
    <w:p w14:paraId="09283E3B" w14:textId="77777777" w:rsidR="00E11C4F" w:rsidRPr="004764EE" w:rsidRDefault="00E11C4F">
      <w:pPr>
        <w:jc w:val="center"/>
      </w:pPr>
    </w:p>
    <w:p w14:paraId="67E803F2" w14:textId="74550C7A" w:rsidR="00E11C4F" w:rsidRPr="004764EE" w:rsidRDefault="00E11C4F">
      <w:pPr>
        <w:jc w:val="center"/>
        <w:rPr>
          <w:b/>
          <w:bCs/>
        </w:rPr>
      </w:pPr>
      <w:r>
        <w:rPr>
          <w:b/>
        </w:rPr>
        <w:t xml:space="preserve">Comunicarea Comisiei către Parlamentul European, Consiliu, </w:t>
      </w:r>
      <w:r w:rsidR="002F3D9F">
        <w:rPr>
          <w:b/>
        </w:rPr>
        <w:br/>
      </w:r>
      <w:r>
        <w:rPr>
          <w:b/>
        </w:rPr>
        <w:t xml:space="preserve">Comitetul Economic și Social European și Comitetul Regiunilor </w:t>
      </w:r>
      <w:r w:rsidR="002F3D9F">
        <w:rPr>
          <w:b/>
        </w:rPr>
        <w:br/>
      </w:r>
      <w:r>
        <w:rPr>
          <w:b/>
        </w:rPr>
        <w:t xml:space="preserve">privind planul de acțiune revizuit al Strategiei </w:t>
      </w:r>
      <w:proofErr w:type="spellStart"/>
      <w:r>
        <w:rPr>
          <w:b/>
        </w:rPr>
        <w:t>macroregionale</w:t>
      </w:r>
      <w:proofErr w:type="spellEnd"/>
      <w:r>
        <w:rPr>
          <w:b/>
        </w:rPr>
        <w:t xml:space="preserve"> a UE </w:t>
      </w:r>
      <w:r w:rsidR="002F3D9F">
        <w:rPr>
          <w:b/>
        </w:rPr>
        <w:br/>
      </w:r>
      <w:r>
        <w:rPr>
          <w:b/>
        </w:rPr>
        <w:t>pentru regiunea Mării Adriatice și a Mării Ionice</w:t>
      </w:r>
    </w:p>
    <w:p w14:paraId="4AEC42B0" w14:textId="5A3AFC67" w:rsidR="00E11C4F" w:rsidRPr="004764EE" w:rsidRDefault="00361B36">
      <w:pPr>
        <w:jc w:val="center"/>
      </w:pPr>
      <w:r>
        <w:t>[COM(2025) 191 final]</w:t>
      </w:r>
    </w:p>
    <w:p w14:paraId="64C749BB" w14:textId="77777777" w:rsidR="00E11C4F" w:rsidRPr="004764EE" w:rsidRDefault="00E11C4F">
      <w:pPr>
        <w:jc w:val="center"/>
      </w:pPr>
      <w:r>
        <w:t>și</w:t>
      </w:r>
    </w:p>
    <w:p w14:paraId="4C646512" w14:textId="7D83D141" w:rsidR="00E11C4F" w:rsidRPr="004764EE" w:rsidRDefault="00E11C4F">
      <w:pPr>
        <w:jc w:val="center"/>
        <w:rPr>
          <w:b/>
          <w:bCs/>
        </w:rPr>
      </w:pPr>
      <w:r>
        <w:rPr>
          <w:b/>
        </w:rPr>
        <w:t xml:space="preserve">Raportul Comisiei către Parlamentul European, Consiliu, </w:t>
      </w:r>
      <w:r w:rsidR="002F3D9F">
        <w:rPr>
          <w:b/>
        </w:rPr>
        <w:br/>
      </w:r>
      <w:r>
        <w:rPr>
          <w:b/>
        </w:rPr>
        <w:t xml:space="preserve">Comitetul Economic și Social European și Comitetul Regiunilor </w:t>
      </w:r>
      <w:r w:rsidR="002F3D9F">
        <w:rPr>
          <w:b/>
        </w:rPr>
        <w:br/>
      </w:r>
      <w:r>
        <w:rPr>
          <w:b/>
        </w:rPr>
        <w:t xml:space="preserve">privind punerea în aplicare a strategiilor </w:t>
      </w:r>
      <w:proofErr w:type="spellStart"/>
      <w:r>
        <w:rPr>
          <w:b/>
        </w:rPr>
        <w:t>macroregionale</w:t>
      </w:r>
      <w:proofErr w:type="spellEnd"/>
      <w:r>
        <w:rPr>
          <w:b/>
        </w:rPr>
        <w:t xml:space="preserve"> ale UE</w:t>
      </w:r>
    </w:p>
    <w:p w14:paraId="42865116" w14:textId="120D39F1" w:rsidR="00E11C4F" w:rsidRPr="004764EE" w:rsidRDefault="00361B36">
      <w:pPr>
        <w:jc w:val="center"/>
      </w:pPr>
      <w:r>
        <w:t>[COM(2025) 196 final]</w:t>
      </w:r>
    </w:p>
    <w:p w14:paraId="35E181E6" w14:textId="77777777" w:rsidR="00E11C4F" w:rsidRPr="004764EE" w:rsidRDefault="00E11C4F">
      <w:pPr>
        <w:jc w:val="center"/>
      </w:pPr>
    </w:p>
    <w:tbl>
      <w:tblPr>
        <w:tblpPr w:leftFromText="181" w:rightFromText="181" w:tblpYSpec="bottom"/>
        <w:tblOverlap w:val="never"/>
        <w:tblW w:w="0" w:type="auto"/>
        <w:tblLayout w:type="fixed"/>
        <w:tblLook w:val="04A0" w:firstRow="1" w:lastRow="0" w:firstColumn="1" w:lastColumn="0" w:noHBand="0" w:noVBand="1"/>
      </w:tblPr>
      <w:tblGrid>
        <w:gridCol w:w="3227"/>
        <w:gridCol w:w="6062"/>
      </w:tblGrid>
      <w:tr w:rsidR="00E11C4F" w:rsidRPr="004764EE" w14:paraId="6AAC1FCF" w14:textId="77777777" w:rsidTr="000B21D9">
        <w:tc>
          <w:tcPr>
            <w:tcW w:w="3227" w:type="dxa"/>
          </w:tcPr>
          <w:p w14:paraId="79D5F612" w14:textId="1BF4D502" w:rsidR="00E11C4F" w:rsidRPr="004764EE" w:rsidRDefault="00E11C4F" w:rsidP="002372E3">
            <w:pPr>
              <w:jc w:val="left"/>
            </w:pPr>
            <w:r>
              <w:t>Date de contact</w:t>
            </w:r>
          </w:p>
        </w:tc>
        <w:tc>
          <w:tcPr>
            <w:tcW w:w="6062" w:type="dxa"/>
          </w:tcPr>
          <w:p w14:paraId="204DFB3D" w14:textId="07F9285F" w:rsidR="00CE131B" w:rsidRPr="004764EE" w:rsidRDefault="00E964FD" w:rsidP="002372E3">
            <w:pPr>
              <w:jc w:val="left"/>
            </w:pPr>
            <w:hyperlink r:id="rId13" w:history="1">
              <w:r w:rsidR="009A4C3C">
                <w:rPr>
                  <w:rStyle w:val="Hyperlink"/>
                </w:rPr>
                <w:t>eco@eesc.europa.eu</w:t>
              </w:r>
            </w:hyperlink>
          </w:p>
        </w:tc>
      </w:tr>
      <w:tr w:rsidR="00E11C4F" w:rsidRPr="004764EE" w14:paraId="413AF8EA" w14:textId="77777777" w:rsidTr="000B21D9">
        <w:tc>
          <w:tcPr>
            <w:tcW w:w="3227" w:type="dxa"/>
          </w:tcPr>
          <w:p w14:paraId="684D416E" w14:textId="03CA69DD" w:rsidR="00E11C4F" w:rsidRPr="004764EE" w:rsidRDefault="00E11C4F" w:rsidP="002372E3">
            <w:pPr>
              <w:jc w:val="left"/>
            </w:pPr>
            <w:r>
              <w:t>Administrator</w:t>
            </w:r>
          </w:p>
        </w:tc>
        <w:tc>
          <w:tcPr>
            <w:tcW w:w="6062" w:type="dxa"/>
          </w:tcPr>
          <w:p w14:paraId="76D4151D" w14:textId="77777777" w:rsidR="00E11C4F" w:rsidRPr="004764EE" w:rsidRDefault="00E11C4F" w:rsidP="002372E3">
            <w:pPr>
              <w:jc w:val="left"/>
            </w:pPr>
            <w:r>
              <w:t>Georgios MELEAS</w:t>
            </w:r>
          </w:p>
        </w:tc>
      </w:tr>
      <w:tr w:rsidR="00E11C4F" w:rsidRPr="004764EE" w14:paraId="3DEF5210" w14:textId="77777777" w:rsidTr="000B21D9">
        <w:tc>
          <w:tcPr>
            <w:tcW w:w="3227" w:type="dxa"/>
          </w:tcPr>
          <w:p w14:paraId="0E6BFAC2" w14:textId="77777777" w:rsidR="00E11C4F" w:rsidRPr="004764EE" w:rsidRDefault="00E11C4F" w:rsidP="002372E3">
            <w:pPr>
              <w:jc w:val="left"/>
            </w:pPr>
            <w:r>
              <w:t>Data documentului</w:t>
            </w:r>
          </w:p>
        </w:tc>
        <w:tc>
          <w:tcPr>
            <w:tcW w:w="6062" w:type="dxa"/>
          </w:tcPr>
          <w:p w14:paraId="5F7F9E78" w14:textId="7B525E39" w:rsidR="00E11C4F" w:rsidRPr="004764EE" w:rsidRDefault="002A309D" w:rsidP="002372E3">
            <w:pPr>
              <w:jc w:val="left"/>
            </w:pPr>
            <w:r>
              <w:t>2</w:t>
            </w:r>
            <w:r w:rsidR="001B048A">
              <w:t>5</w:t>
            </w:r>
            <w:r>
              <w:t>/11/2025</w:t>
            </w:r>
          </w:p>
        </w:tc>
      </w:tr>
    </w:tbl>
    <w:p w14:paraId="212BFBF1" w14:textId="77777777" w:rsidR="00E11C4F" w:rsidRPr="004764EE" w:rsidRDefault="00E11C4F">
      <w:pPr>
        <w:jc w:val="center"/>
        <w:rPr>
          <w:bCs/>
        </w:rPr>
      </w:pPr>
      <w:r>
        <w:t xml:space="preserve">Raportor: </w:t>
      </w:r>
      <w:proofErr w:type="spellStart"/>
      <w:r>
        <w:rPr>
          <w:b/>
        </w:rPr>
        <w:t>Stefano</w:t>
      </w:r>
      <w:proofErr w:type="spellEnd"/>
      <w:r>
        <w:rPr>
          <w:b/>
        </w:rPr>
        <w:t xml:space="preserve"> PALMIERI</w:t>
      </w:r>
    </w:p>
    <w:p w14:paraId="2F6D1502" w14:textId="77777777" w:rsidR="00E11C4F" w:rsidRPr="004764EE" w:rsidRDefault="00E11C4F">
      <w:pPr>
        <w:jc w:val="center"/>
        <w:rPr>
          <w:bCs/>
        </w:rPr>
      </w:pPr>
    </w:p>
    <w:p w14:paraId="06CBBA02" w14:textId="77777777" w:rsidR="00E11C4F" w:rsidRPr="004764EE" w:rsidRDefault="00E11C4F"/>
    <w:p w14:paraId="50AB8EC1" w14:textId="77777777" w:rsidR="00E11C4F" w:rsidRPr="004764EE" w:rsidRDefault="00E11C4F"/>
    <w:p w14:paraId="60906C83" w14:textId="77777777" w:rsidR="00E11C4F" w:rsidRPr="004764EE" w:rsidRDefault="00E11C4F">
      <w:pPr>
        <w:sectPr w:rsidR="00E11C4F" w:rsidRPr="004764EE" w:rsidSect="002F0369">
          <w:footerReference w:type="default" r:id="rId14"/>
          <w:pgSz w:w="11907" w:h="16839" w:code="9"/>
          <w:pgMar w:top="1417" w:right="1417" w:bottom="1417" w:left="1417" w:header="709" w:footer="709" w:gutter="0"/>
          <w:pgNumType w:start="1"/>
          <w:cols w:space="720"/>
          <w:docGrid w:linePitch="299"/>
        </w:sectPr>
      </w:pPr>
    </w:p>
    <w:p w14:paraId="668BECF1" w14:textId="77777777" w:rsidR="00E11C4F" w:rsidRPr="002372E3" w:rsidRDefault="00E11C4F">
      <w:pPr>
        <w:rPr>
          <w:lang w:val="sv-SE"/>
        </w:rPr>
      </w:pPr>
    </w:p>
    <w:tbl>
      <w:tblPr>
        <w:tblW w:w="0" w:type="auto"/>
        <w:tblLook w:val="04A0" w:firstRow="1" w:lastRow="0" w:firstColumn="1" w:lastColumn="0" w:noHBand="0" w:noVBand="1"/>
      </w:tblPr>
      <w:tblGrid>
        <w:gridCol w:w="3227"/>
        <w:gridCol w:w="5846"/>
      </w:tblGrid>
      <w:tr w:rsidR="00E11C4F" w:rsidRPr="00D54B28" w14:paraId="66F630F8" w14:textId="77777777" w:rsidTr="000B21D9">
        <w:trPr>
          <w:trHeight w:val="251"/>
        </w:trPr>
        <w:tc>
          <w:tcPr>
            <w:tcW w:w="3227" w:type="dxa"/>
          </w:tcPr>
          <w:p w14:paraId="210DD542" w14:textId="77777777" w:rsidR="00E11C4F" w:rsidRPr="004764EE" w:rsidRDefault="00E11C4F">
            <w:pPr>
              <w:jc w:val="left"/>
            </w:pPr>
            <w:r>
              <w:t>Consilier</w:t>
            </w:r>
          </w:p>
        </w:tc>
        <w:tc>
          <w:tcPr>
            <w:tcW w:w="5846" w:type="dxa"/>
          </w:tcPr>
          <w:p w14:paraId="2ABB1A8C" w14:textId="77777777" w:rsidR="00E11C4F" w:rsidRPr="00D54B28" w:rsidRDefault="00E11C4F">
            <w:r>
              <w:t>Marco CELI (pentru raportor)</w:t>
            </w:r>
          </w:p>
        </w:tc>
      </w:tr>
      <w:tr w:rsidR="00E11C4F" w:rsidRPr="00D54B28" w14:paraId="2D4E9A4C" w14:textId="77777777" w:rsidTr="000B21D9">
        <w:trPr>
          <w:trHeight w:val="251"/>
        </w:trPr>
        <w:tc>
          <w:tcPr>
            <w:tcW w:w="3227" w:type="dxa"/>
          </w:tcPr>
          <w:p w14:paraId="0DC17835" w14:textId="77777777" w:rsidR="00E11C4F" w:rsidRPr="00D54B28" w:rsidRDefault="00E11C4F">
            <w:pPr>
              <w:jc w:val="left"/>
              <w:rPr>
                <w:lang w:val="it-IT"/>
              </w:rPr>
            </w:pPr>
          </w:p>
        </w:tc>
        <w:tc>
          <w:tcPr>
            <w:tcW w:w="5846" w:type="dxa"/>
          </w:tcPr>
          <w:p w14:paraId="522D4220" w14:textId="77777777" w:rsidR="00E11C4F" w:rsidRPr="00D54B28" w:rsidRDefault="00E11C4F">
            <w:pPr>
              <w:rPr>
                <w:lang w:val="it-IT"/>
              </w:rPr>
            </w:pPr>
          </w:p>
        </w:tc>
      </w:tr>
      <w:tr w:rsidR="00E11C4F" w:rsidRPr="004764EE" w14:paraId="44CEB2EF" w14:textId="77777777" w:rsidTr="000B21D9">
        <w:tc>
          <w:tcPr>
            <w:tcW w:w="3227" w:type="dxa"/>
          </w:tcPr>
          <w:p w14:paraId="3B8212D4" w14:textId="77777777" w:rsidR="00E11C4F" w:rsidRPr="004764EE" w:rsidRDefault="00E11C4F">
            <w:pPr>
              <w:jc w:val="left"/>
            </w:pPr>
            <w:r>
              <w:t>Sesizare</w:t>
            </w:r>
          </w:p>
        </w:tc>
        <w:tc>
          <w:tcPr>
            <w:tcW w:w="5846" w:type="dxa"/>
          </w:tcPr>
          <w:p w14:paraId="081911DB" w14:textId="2C9556FC" w:rsidR="00E11C4F" w:rsidRPr="004764EE" w:rsidRDefault="00E11C4F">
            <w:r>
              <w:t xml:space="preserve">Comisia Europeană, </w:t>
            </w:r>
            <w:r w:rsidR="001B048A" w:rsidRPr="00A90028">
              <w:t xml:space="preserve">6/6/2025 </w:t>
            </w:r>
            <w:r>
              <w:t xml:space="preserve"> și </w:t>
            </w:r>
            <w:r w:rsidR="001B048A" w:rsidRPr="00A90028">
              <w:t>29/8/2025</w:t>
            </w:r>
          </w:p>
        </w:tc>
      </w:tr>
      <w:tr w:rsidR="00E11C4F" w:rsidRPr="004764EE" w14:paraId="7A4C8035" w14:textId="77777777" w:rsidTr="000B21D9">
        <w:tc>
          <w:tcPr>
            <w:tcW w:w="3227" w:type="dxa"/>
          </w:tcPr>
          <w:p w14:paraId="48B35364" w14:textId="77777777" w:rsidR="00E11C4F" w:rsidRPr="004764EE" w:rsidRDefault="00E11C4F">
            <w:pPr>
              <w:jc w:val="left"/>
            </w:pPr>
            <w:r>
              <w:t>Temei juridic</w:t>
            </w:r>
          </w:p>
        </w:tc>
        <w:tc>
          <w:tcPr>
            <w:tcW w:w="5846" w:type="dxa"/>
          </w:tcPr>
          <w:p w14:paraId="2292F1A1" w14:textId="77777777" w:rsidR="00E11C4F" w:rsidRPr="004764EE" w:rsidRDefault="00E11C4F">
            <w:r>
              <w:t>articolul 304 din Tratatul privind funcționarea Uniunii Europene</w:t>
            </w:r>
          </w:p>
        </w:tc>
      </w:tr>
      <w:tr w:rsidR="00E11C4F" w:rsidRPr="004764EE" w14:paraId="44529CD9" w14:textId="77777777" w:rsidTr="000B21D9">
        <w:tc>
          <w:tcPr>
            <w:tcW w:w="3227" w:type="dxa"/>
          </w:tcPr>
          <w:p w14:paraId="63DF5F79" w14:textId="77777777" w:rsidR="00E11C4F" w:rsidRPr="004764EE" w:rsidRDefault="00E11C4F">
            <w:pPr>
              <w:jc w:val="left"/>
            </w:pPr>
            <w:r>
              <w:t>Secțiunea competentă</w:t>
            </w:r>
          </w:p>
        </w:tc>
        <w:tc>
          <w:tcPr>
            <w:tcW w:w="5846" w:type="dxa"/>
          </w:tcPr>
          <w:p w14:paraId="0B5E864B" w14:textId="318823C4" w:rsidR="00E11C4F" w:rsidRPr="004764EE" w:rsidRDefault="00E11C4F">
            <w:r>
              <w:t xml:space="preserve">Secțiunea pentru uniunea economică și monetară și coeziune economică și socială </w:t>
            </w:r>
          </w:p>
        </w:tc>
      </w:tr>
      <w:tr w:rsidR="00E11C4F" w:rsidRPr="004764EE" w14:paraId="63D20824" w14:textId="77777777" w:rsidTr="000B21D9">
        <w:tc>
          <w:tcPr>
            <w:tcW w:w="3227" w:type="dxa"/>
          </w:tcPr>
          <w:p w14:paraId="3058141D" w14:textId="77777777" w:rsidR="00E11C4F" w:rsidRPr="004764EE" w:rsidRDefault="00E11C4F">
            <w:pPr>
              <w:jc w:val="left"/>
            </w:pPr>
            <w:r>
              <w:t>Data adoptării în secțiune</w:t>
            </w:r>
          </w:p>
        </w:tc>
        <w:tc>
          <w:tcPr>
            <w:tcW w:w="5846" w:type="dxa"/>
          </w:tcPr>
          <w:p w14:paraId="3E0869DD" w14:textId="37C3F772" w:rsidR="00E11C4F" w:rsidRPr="004764EE" w:rsidRDefault="008C79E9">
            <w:r>
              <w:t>20/11/2025</w:t>
            </w:r>
          </w:p>
        </w:tc>
      </w:tr>
      <w:tr w:rsidR="00E11C4F" w:rsidRPr="004764EE" w14:paraId="55F11473" w14:textId="77777777" w:rsidTr="000B21D9">
        <w:tc>
          <w:tcPr>
            <w:tcW w:w="3227" w:type="dxa"/>
          </w:tcPr>
          <w:p w14:paraId="0B8F4A83" w14:textId="40A09DFC" w:rsidR="00E11C4F" w:rsidRPr="004764EE" w:rsidRDefault="00E11C4F">
            <w:pPr>
              <w:jc w:val="left"/>
            </w:pPr>
            <w:r>
              <w:t>Rezultatul votului</w:t>
            </w:r>
            <w:r w:rsidR="002F3D9F">
              <w:t xml:space="preserve"> </w:t>
            </w:r>
            <w:r>
              <w:br/>
              <w:t>(pentru/împotrivă/abțineri)</w:t>
            </w:r>
          </w:p>
        </w:tc>
        <w:tc>
          <w:tcPr>
            <w:tcW w:w="5846" w:type="dxa"/>
            <w:vAlign w:val="bottom"/>
          </w:tcPr>
          <w:p w14:paraId="132A399E" w14:textId="633FF14C" w:rsidR="00E11C4F" w:rsidRPr="00A90028" w:rsidRDefault="00A90028">
            <w:r>
              <w:t>49/0/0</w:t>
            </w:r>
          </w:p>
        </w:tc>
      </w:tr>
      <w:tr w:rsidR="00E11C4F" w:rsidRPr="004764EE" w14:paraId="25EFB520" w14:textId="77777777" w:rsidTr="000B21D9">
        <w:tc>
          <w:tcPr>
            <w:tcW w:w="3227" w:type="dxa"/>
          </w:tcPr>
          <w:p w14:paraId="1CAA6682" w14:textId="77777777" w:rsidR="00E11C4F" w:rsidRPr="004764EE" w:rsidRDefault="00E11C4F">
            <w:pPr>
              <w:jc w:val="left"/>
            </w:pPr>
            <w:r>
              <w:t>Data adoptării în sesiunea plenară</w:t>
            </w:r>
          </w:p>
        </w:tc>
        <w:tc>
          <w:tcPr>
            <w:tcW w:w="5846" w:type="dxa"/>
          </w:tcPr>
          <w:p w14:paraId="502B3DD3" w14:textId="77777777" w:rsidR="00E11C4F" w:rsidRPr="004764EE" w:rsidRDefault="00E11C4F">
            <w:r>
              <w:t>D/M/YYYY</w:t>
            </w:r>
          </w:p>
        </w:tc>
      </w:tr>
      <w:tr w:rsidR="00E11C4F" w:rsidRPr="004764EE" w14:paraId="2CF9E843" w14:textId="77777777" w:rsidTr="000B21D9">
        <w:tc>
          <w:tcPr>
            <w:tcW w:w="3227" w:type="dxa"/>
          </w:tcPr>
          <w:p w14:paraId="78044E8F" w14:textId="77777777" w:rsidR="00E11C4F" w:rsidRPr="004764EE" w:rsidRDefault="00E11C4F">
            <w:pPr>
              <w:jc w:val="left"/>
            </w:pPr>
            <w:r>
              <w:t>Sesiunea plenară nr.</w:t>
            </w:r>
          </w:p>
        </w:tc>
        <w:tc>
          <w:tcPr>
            <w:tcW w:w="5846" w:type="dxa"/>
          </w:tcPr>
          <w:p w14:paraId="5846BE28" w14:textId="77777777" w:rsidR="00E11C4F" w:rsidRPr="004764EE" w:rsidRDefault="00E11C4F">
            <w:r>
              <w:t>...</w:t>
            </w:r>
          </w:p>
        </w:tc>
      </w:tr>
      <w:tr w:rsidR="00E11C4F" w:rsidRPr="004764EE" w14:paraId="5C6F2638" w14:textId="77777777" w:rsidTr="000B21D9">
        <w:tc>
          <w:tcPr>
            <w:tcW w:w="3227" w:type="dxa"/>
          </w:tcPr>
          <w:p w14:paraId="0A50231E" w14:textId="236A1940" w:rsidR="00E11C4F" w:rsidRPr="004764EE" w:rsidRDefault="002F3D9F">
            <w:pPr>
              <w:jc w:val="left"/>
            </w:pPr>
            <w:r>
              <w:t xml:space="preserve">Rezultatul votului </w:t>
            </w:r>
            <w:r>
              <w:br/>
              <w:t>(pentru/împotrivă/abțineri)</w:t>
            </w:r>
          </w:p>
        </w:tc>
        <w:tc>
          <w:tcPr>
            <w:tcW w:w="5846" w:type="dxa"/>
            <w:vAlign w:val="bottom"/>
          </w:tcPr>
          <w:p w14:paraId="3F5FE208" w14:textId="77777777" w:rsidR="00E11C4F" w:rsidRPr="004764EE" w:rsidRDefault="00E11C4F">
            <w:r>
              <w:t>…/…/…</w:t>
            </w:r>
          </w:p>
        </w:tc>
      </w:tr>
    </w:tbl>
    <w:p w14:paraId="2F1A1FF7" w14:textId="77777777" w:rsidR="00E11C4F" w:rsidRPr="004764EE" w:rsidRDefault="00E11C4F">
      <w:r>
        <w:br w:type="page"/>
      </w:r>
    </w:p>
    <w:p w14:paraId="5B3BE5D3" w14:textId="77777777" w:rsidR="00011D33" w:rsidRPr="004764EE" w:rsidRDefault="03385EDC">
      <w:pPr>
        <w:pStyle w:val="Heading1"/>
        <w:rPr>
          <w:b/>
          <w:bCs/>
        </w:rPr>
      </w:pPr>
      <w:r>
        <w:rPr>
          <w:b/>
        </w:rPr>
        <w:lastRenderedPageBreak/>
        <w:t>Concluzii și recomandări</w:t>
      </w:r>
    </w:p>
    <w:p w14:paraId="5B3BE5D4" w14:textId="77777777" w:rsidR="00011D33" w:rsidRPr="004764EE" w:rsidRDefault="00011D33"/>
    <w:p w14:paraId="78E217C4" w14:textId="2718E5F3" w:rsidR="000F0C6C" w:rsidRPr="004764EE" w:rsidRDefault="005D79DD">
      <w:pPr>
        <w:pStyle w:val="Heading2"/>
      </w:pPr>
      <w:r>
        <w:t xml:space="preserve">CESE recunoaște rolul strategiilor </w:t>
      </w:r>
      <w:proofErr w:type="spellStart"/>
      <w:r>
        <w:t>macroregionale</w:t>
      </w:r>
      <w:proofErr w:type="spellEnd"/>
      <w:r>
        <w:t xml:space="preserve"> (SMR) în generarea unor sinergii pe mai multe niveluri între politici, programe și actori. Aceste strategii au sprijinit tranziția verde și digitală și au dezvoltat o capacitate importantă de reziliență și solidaritate în timpul pandemiei și al crizelor geopolitice în curs.</w:t>
      </w:r>
    </w:p>
    <w:p w14:paraId="3A3D6778" w14:textId="77777777" w:rsidR="000F0C6C" w:rsidRPr="004764EE" w:rsidRDefault="000F0C6C">
      <w:pPr>
        <w:pStyle w:val="Heading2"/>
        <w:numPr>
          <w:ilvl w:val="0"/>
          <w:numId w:val="0"/>
        </w:numPr>
      </w:pPr>
    </w:p>
    <w:p w14:paraId="02A7B54E" w14:textId="274A2460" w:rsidR="005D79DD" w:rsidRPr="004764EE" w:rsidRDefault="000F0C6C">
      <w:pPr>
        <w:pStyle w:val="Heading2"/>
      </w:pPr>
      <w:r>
        <w:t>Persistența disparităților regionale în materie de capacitate administrativă și resurse disponibile oferă ocazia consolidării guvernanței verticale și orizontale pe mai multe niveluri, prin asigurarea implicării structurilor locale.</w:t>
      </w:r>
    </w:p>
    <w:p w14:paraId="637FAA91" w14:textId="77777777" w:rsidR="005D79DD" w:rsidRPr="004764EE" w:rsidRDefault="005D79DD">
      <w:pPr>
        <w:pStyle w:val="Heading2"/>
        <w:numPr>
          <w:ilvl w:val="0"/>
          <w:numId w:val="0"/>
        </w:numPr>
      </w:pPr>
    </w:p>
    <w:p w14:paraId="76A5E305" w14:textId="4C263558" w:rsidR="005D79DD" w:rsidRPr="004764EE" w:rsidRDefault="005D79DD">
      <w:pPr>
        <w:pStyle w:val="Heading2"/>
      </w:pPr>
      <w:r>
        <w:t xml:space="preserve">CESE salută procesele de revizuire a strategiilor și solicită consolidarea dimensiunii sociale, a participării civice și a cooperării interregionale. Strategiile </w:t>
      </w:r>
      <w:proofErr w:type="spellStart"/>
      <w:r>
        <w:t>macroregionale</w:t>
      </w:r>
      <w:proofErr w:type="spellEnd"/>
      <w:r>
        <w:t xml:space="preserve"> trebuie să acționeze ca laboratoare de incluziune și inovare socială și să sprijine impozitarea ecologică și capitalul uman, cu accent pe participarea tinerilor și pe dialogul </w:t>
      </w:r>
      <w:proofErr w:type="spellStart"/>
      <w:r>
        <w:t>intergenerațional</w:t>
      </w:r>
      <w:proofErr w:type="spellEnd"/>
      <w:r>
        <w:t>.</w:t>
      </w:r>
    </w:p>
    <w:p w14:paraId="292B38F1" w14:textId="77777777" w:rsidR="005D79DD" w:rsidRPr="004764EE" w:rsidRDefault="005D79DD">
      <w:pPr>
        <w:pStyle w:val="Heading2"/>
        <w:numPr>
          <w:ilvl w:val="0"/>
          <w:numId w:val="0"/>
        </w:numPr>
      </w:pPr>
    </w:p>
    <w:p w14:paraId="20F335FD" w14:textId="29828C2B" w:rsidR="005D79DD" w:rsidRPr="004764EE" w:rsidRDefault="005D79DD">
      <w:pPr>
        <w:pStyle w:val="Heading2"/>
      </w:pPr>
      <w:r>
        <w:t xml:space="preserve">CESE ia notă de rezultatele Strategiei </w:t>
      </w:r>
      <w:proofErr w:type="spellStart"/>
      <w:r>
        <w:t>macroregionale</w:t>
      </w:r>
      <w:proofErr w:type="spellEnd"/>
      <w:r>
        <w:t xml:space="preserve"> pentru regiunea Mării Baltice (EUSBSR), care a promovat sustenabilitatea și conexiunile în Marea Baltică. Prin instituirea unui punct strategic pentru Marea Baltică, revizuirea din 2021 a acestei strategii a consolidat cooperarea și gestionarea. Deși relațiile cu Rusia și Belarus au fost suspendate, strategia rămâne valabilă.</w:t>
      </w:r>
    </w:p>
    <w:p w14:paraId="33BA063F" w14:textId="77777777" w:rsidR="005D79DD" w:rsidRPr="004764EE" w:rsidRDefault="005D79DD">
      <w:pPr>
        <w:pStyle w:val="Heading2"/>
        <w:numPr>
          <w:ilvl w:val="0"/>
          <w:numId w:val="0"/>
        </w:numPr>
      </w:pPr>
    </w:p>
    <w:p w14:paraId="1D6D9258" w14:textId="10482690" w:rsidR="005D79DD" w:rsidRPr="004764EE" w:rsidRDefault="005D79DD">
      <w:pPr>
        <w:pStyle w:val="Heading2"/>
      </w:pPr>
      <w:r>
        <w:t xml:space="preserve">CESE subliniază progresele înregistrate cu Strategia </w:t>
      </w:r>
      <w:proofErr w:type="spellStart"/>
      <w:r>
        <w:t>macroregională</w:t>
      </w:r>
      <w:proofErr w:type="spellEnd"/>
      <w:r>
        <w:t xml:space="preserve"> pentru regiunea Dunării (EUSDR). Revizuirea din 2020 a acestei strategii a consolidat coerența cu prioritățile UE și participarea tinerilor, deși cu performanțe inegale și cu un angajament politic eterogen. Președințiile au relansat inovarea și guvernanța.</w:t>
      </w:r>
    </w:p>
    <w:p w14:paraId="07A4C9CA" w14:textId="77777777" w:rsidR="005D79DD" w:rsidRPr="004764EE" w:rsidRDefault="005D79DD">
      <w:pPr>
        <w:pStyle w:val="Heading2"/>
        <w:numPr>
          <w:ilvl w:val="0"/>
          <w:numId w:val="0"/>
        </w:numPr>
      </w:pPr>
    </w:p>
    <w:p w14:paraId="585F2518" w14:textId="7E9322E5" w:rsidR="005D79DD" w:rsidRPr="004764EE" w:rsidRDefault="005D79DD">
      <w:pPr>
        <w:pStyle w:val="Heading2"/>
      </w:pPr>
      <w:r>
        <w:t xml:space="preserve">CESE subliniază rezultatele Strategiei </w:t>
      </w:r>
      <w:proofErr w:type="spellStart"/>
      <w:r>
        <w:t>macroregionale</w:t>
      </w:r>
      <w:proofErr w:type="spellEnd"/>
      <w:r>
        <w:t xml:space="preserve"> pentru regiunea Mării Adriatice și a Mării Ionice (EUSAIR), care a actualizat recent planul de acțiune prin introducerea unui al cincilea pilon social. Strategia integrează extinderea, economia circulară și digitalizarea, consolidând parteneriatele și reziliența într-un domeniu afectat de crize de natură energetică, climatică și demografică.</w:t>
      </w:r>
    </w:p>
    <w:p w14:paraId="0DD7B6E8" w14:textId="77777777" w:rsidR="005D79DD" w:rsidRPr="004764EE" w:rsidRDefault="005D79DD">
      <w:pPr>
        <w:pStyle w:val="Heading2"/>
        <w:numPr>
          <w:ilvl w:val="0"/>
          <w:numId w:val="0"/>
        </w:numPr>
      </w:pPr>
    </w:p>
    <w:p w14:paraId="01C2C30F" w14:textId="25505E86" w:rsidR="005D79DD" w:rsidRPr="004764EE" w:rsidRDefault="005D79DD">
      <w:pPr>
        <w:pStyle w:val="Heading2"/>
      </w:pPr>
      <w:r>
        <w:t xml:space="preserve">CESE salută Strategia </w:t>
      </w:r>
      <w:proofErr w:type="spellStart"/>
      <w:r>
        <w:t>macroregională</w:t>
      </w:r>
      <w:proofErr w:type="spellEnd"/>
      <w:r>
        <w:t xml:space="preserve"> pentru regiunea alpină (EUSALP), care a consolidat cooperarea și guvernanța stabilă și a deschis oportunități cu țările terțe. Revizuirea integrează prioritățile legate de digitalizare, energie, apă și economia circulară.</w:t>
      </w:r>
    </w:p>
    <w:p w14:paraId="2CAEB1E2" w14:textId="77777777" w:rsidR="005D79DD" w:rsidRPr="004764EE" w:rsidRDefault="005D79DD">
      <w:pPr>
        <w:pStyle w:val="Heading2"/>
        <w:numPr>
          <w:ilvl w:val="0"/>
          <w:numId w:val="0"/>
        </w:numPr>
      </w:pPr>
    </w:p>
    <w:p w14:paraId="453745A9" w14:textId="36D81AA1" w:rsidR="005D79DD" w:rsidRPr="004764EE" w:rsidRDefault="005D79DD">
      <w:pPr>
        <w:pStyle w:val="Heading2"/>
      </w:pPr>
      <w:r>
        <w:t xml:space="preserve">CESE observă că extinderea către țările din Balcanii de Vest, Ucraina și Moldova este o prioritate strategică și că strategiile </w:t>
      </w:r>
      <w:proofErr w:type="spellStart"/>
      <w:r>
        <w:t>macroregionale</w:t>
      </w:r>
      <w:proofErr w:type="spellEnd"/>
      <w:r>
        <w:t xml:space="preserve"> pot consolida cooperarea, capacitățile instituționale și alinierea la acquis-</w:t>
      </w:r>
      <w:proofErr w:type="spellStart"/>
      <w:r>
        <w:t>ul</w:t>
      </w:r>
      <w:proofErr w:type="spellEnd"/>
      <w:r>
        <w:t xml:space="preserve"> comunitar.</w:t>
      </w:r>
    </w:p>
    <w:p w14:paraId="777F1E34" w14:textId="77777777" w:rsidR="005D79DD" w:rsidRPr="004764EE" w:rsidRDefault="005D79DD">
      <w:pPr>
        <w:pStyle w:val="Heading2"/>
        <w:numPr>
          <w:ilvl w:val="0"/>
          <w:numId w:val="0"/>
        </w:numPr>
      </w:pPr>
    </w:p>
    <w:p w14:paraId="3B2414B6" w14:textId="6005B15B" w:rsidR="005D79DD" w:rsidRPr="004764EE" w:rsidRDefault="001A7B70">
      <w:pPr>
        <w:pStyle w:val="Heading2"/>
      </w:pPr>
      <w:r>
        <w:t>CESE observă că agresiunea militară a Rusiei împotriva Ucrainei a confirmat rolul SMR de instrumente de solidaritate și reziliență. EUSDR a sprijinit incluziunea, formarea și ocuparea forței de muncă; EUSBSR a lansat inițiative umanitare și de mediu; EUSAIR a promovat Agenda verde în Balcani; EUSALP a abordat criza energetică și primirea refugiaților.</w:t>
      </w:r>
    </w:p>
    <w:p w14:paraId="075317A8" w14:textId="77777777" w:rsidR="005D79DD" w:rsidRPr="004764EE" w:rsidRDefault="005D79DD">
      <w:pPr>
        <w:pStyle w:val="Heading2"/>
        <w:numPr>
          <w:ilvl w:val="0"/>
          <w:numId w:val="0"/>
        </w:numPr>
      </w:pPr>
    </w:p>
    <w:p w14:paraId="79A8F58E" w14:textId="560650FB" w:rsidR="005D79DD" w:rsidRPr="004764EE" w:rsidRDefault="005D79DD">
      <w:pPr>
        <w:pStyle w:val="Heading2"/>
      </w:pPr>
      <w:r>
        <w:lastRenderedPageBreak/>
        <w:t>CESE consideră că abordarea bazată pe realitatea zonei a SMR este esențială, dat fiind că adaptează prioritățile europene la trăsăturile specifice teritoriale și promovează coeziunea prin instrumente precum DLRC și inițiative inovatoare de promovare a participării civice, a ocupării forței de muncă în rândul tinerilor, a mobilității durabile și a sprijinului pentru IMM-uri și universități.</w:t>
      </w:r>
    </w:p>
    <w:p w14:paraId="237206DD" w14:textId="77777777" w:rsidR="005D79DD" w:rsidRPr="004764EE" w:rsidRDefault="005D79DD">
      <w:pPr>
        <w:pStyle w:val="Heading2"/>
        <w:numPr>
          <w:ilvl w:val="0"/>
          <w:numId w:val="0"/>
        </w:numPr>
      </w:pPr>
    </w:p>
    <w:p w14:paraId="64A4BE90" w14:textId="2E511D26" w:rsidR="00343A4B" w:rsidRPr="004764EE" w:rsidRDefault="005D79DD">
      <w:pPr>
        <w:pStyle w:val="Heading2"/>
      </w:pPr>
      <w:r>
        <w:t xml:space="preserve">CESE solicită o guvernanță și o finanțare mai puternice, care să integreze prioritățile SMR în principalele programe ale UE. Sunt necesare consolidarea competențelor locale și a parteneriatelor și implicarea activă a societății civile și a tinerilor. Astfel va fi posibilă transformarea SMR în instrumente mai incluzive, mai </w:t>
      </w:r>
      <w:proofErr w:type="spellStart"/>
      <w:r>
        <w:t>reziliente</w:t>
      </w:r>
      <w:proofErr w:type="spellEnd"/>
      <w:r>
        <w:t xml:space="preserve"> și cu un impact structural mai mare asupra politicilor publice.</w:t>
      </w:r>
    </w:p>
    <w:p w14:paraId="1D3E676A" w14:textId="77777777" w:rsidR="00343A4B" w:rsidRPr="004764EE" w:rsidRDefault="00343A4B">
      <w:pPr>
        <w:pStyle w:val="Heading2"/>
        <w:numPr>
          <w:ilvl w:val="0"/>
          <w:numId w:val="0"/>
        </w:numPr>
      </w:pPr>
    </w:p>
    <w:p w14:paraId="01E50C81" w14:textId="742DBF39" w:rsidR="00B517A1" w:rsidRPr="004764EE" w:rsidRDefault="00220FBB">
      <w:pPr>
        <w:pStyle w:val="Heading2"/>
      </w:pPr>
      <w:r>
        <w:t xml:space="preserve">Pentru CESE, noul cadru financiar multianual (2028-2034) prezintă riscuri pentru buna funcționare a strategiilor </w:t>
      </w:r>
      <w:proofErr w:type="spellStart"/>
      <w:r>
        <w:t>macroregionale</w:t>
      </w:r>
      <w:proofErr w:type="spellEnd"/>
      <w:r>
        <w:t>. Prin urmare, este esențial ca actorii strategici să asigure includerea priorităților în planurile de parteneriat, să stabilească obiective clare și cuantificabile, să promoveze și să monitorizeze cooperarea transfrontalieră și să evite implicarea doar la nivel formal a părților interesate de la nivel regional și local.</w:t>
      </w:r>
    </w:p>
    <w:p w14:paraId="59BFE8A0" w14:textId="77777777" w:rsidR="00B517A1" w:rsidRPr="004764EE" w:rsidRDefault="00B517A1">
      <w:pPr>
        <w:pStyle w:val="Heading2"/>
        <w:numPr>
          <w:ilvl w:val="0"/>
          <w:numId w:val="0"/>
        </w:numPr>
      </w:pPr>
    </w:p>
    <w:p w14:paraId="038F1DD2" w14:textId="256023F7" w:rsidR="005D79DD" w:rsidRPr="004764EE" w:rsidRDefault="00B517A1">
      <w:pPr>
        <w:pStyle w:val="Heading2"/>
      </w:pPr>
      <w:r>
        <w:t xml:space="preserve">CESE subliniază necesitatea unei guvernanțe transparente, responsabile și lipsite de corupție în instituțiile implicate în strategiile </w:t>
      </w:r>
      <w:proofErr w:type="spellStart"/>
      <w:r>
        <w:t>macroregionale</w:t>
      </w:r>
      <w:proofErr w:type="spellEnd"/>
      <w:r>
        <w:t>. Integritatea, buna administrare și statul de drept sunt esențiale pentru credibilitate, pentru eficiență și încredere reciprocă.</w:t>
      </w:r>
    </w:p>
    <w:p w14:paraId="6EA23C46" w14:textId="77777777" w:rsidR="005D79DD" w:rsidRPr="004764EE" w:rsidRDefault="005D79DD">
      <w:pPr>
        <w:pStyle w:val="Heading2"/>
        <w:numPr>
          <w:ilvl w:val="0"/>
          <w:numId w:val="0"/>
        </w:numPr>
      </w:pPr>
    </w:p>
    <w:p w14:paraId="5B3BE5D5" w14:textId="2370D345" w:rsidR="00011D33" w:rsidRPr="004764EE" w:rsidRDefault="005D79DD">
      <w:pPr>
        <w:pStyle w:val="Heading2"/>
      </w:pPr>
      <w:r>
        <w:t>CESE solicită crearea unei noi macroregiuni în Mediterana, pentru a aborda provocări comune, cum ar fi schimbările climatice, fluxurile de migrație, tranziția energetică și durabilitatea albastră. Această inițiativă – care se înscrie în siajul recentului Pact pentru Mediterana</w:t>
      </w:r>
      <w:r w:rsidR="00B517A1" w:rsidRPr="004764EE">
        <w:rPr>
          <w:rStyle w:val="FootnoteReference"/>
          <w:iCs/>
          <w:szCs w:val="24"/>
        </w:rPr>
        <w:footnoteReference w:id="1"/>
      </w:r>
      <w:r>
        <w:t xml:space="preserve"> – ar consolida stabilitatea, cooperarea, incluziunea și legăturile dintre Europa, Africa de Nord și Orientul Mijlociu, contribuind la întărirea rolului strategic al UE în zona mediteraneeană. De asemenea, CESE subliniază importanța continuării lucrărilor privind alte strategii </w:t>
      </w:r>
      <w:proofErr w:type="spellStart"/>
      <w:r>
        <w:t>macroregionale</w:t>
      </w:r>
      <w:proofErr w:type="spellEnd"/>
      <w:r>
        <w:t>, cum ar fi strategiile pentru Atlantic și pentru Carpați.</w:t>
      </w:r>
    </w:p>
    <w:p w14:paraId="5B3BE5D6" w14:textId="0113D662" w:rsidR="00011D33" w:rsidRPr="004764EE" w:rsidRDefault="00011D33"/>
    <w:p w14:paraId="7CBE182D" w14:textId="77777777" w:rsidR="00E11C4F" w:rsidRPr="004764EE" w:rsidRDefault="00E11C4F">
      <w:pPr>
        <w:pStyle w:val="Heading1"/>
        <w:rPr>
          <w:b/>
        </w:rPr>
      </w:pPr>
      <w:r>
        <w:rPr>
          <w:b/>
        </w:rPr>
        <w:t>Observații generale</w:t>
      </w:r>
    </w:p>
    <w:p w14:paraId="23B26AA3" w14:textId="77777777" w:rsidR="00E11C4F" w:rsidRPr="004764EE" w:rsidRDefault="00E11C4F">
      <w:pPr>
        <w:keepNext/>
        <w:outlineLvl w:val="0"/>
        <w:rPr>
          <w:kern w:val="28"/>
        </w:rPr>
      </w:pPr>
    </w:p>
    <w:p w14:paraId="0EB1C576" w14:textId="77777777" w:rsidR="00E11C4F" w:rsidRPr="004764EE" w:rsidRDefault="00E11C4F">
      <w:pPr>
        <w:pStyle w:val="Heading2"/>
      </w:pPr>
      <w:r>
        <w:t xml:space="preserve">Începând din 2009, Uniunea Europeană promovează strategiile </w:t>
      </w:r>
      <w:proofErr w:type="spellStart"/>
      <w:r>
        <w:t>macroregionale</w:t>
      </w:r>
      <w:proofErr w:type="spellEnd"/>
      <w:r>
        <w:t xml:space="preserve"> ca instrumente inovatoare pentru a aborda provocările comune în zonele supranaționale conectate din punct de vedere geografic și funcțional. La impulsul comun al statelor în cauză și cu sprijinul Comisiei Europene, aceste strategii implică atât statele membre, cât și țările terțe în parteneriate egale, oferind un cadru dinamic pentru a aborda problemele de mediu, economice și sociale comune.</w:t>
      </w:r>
    </w:p>
    <w:p w14:paraId="54F0F5F7" w14:textId="77777777" w:rsidR="00E11C4F" w:rsidRPr="004764EE" w:rsidRDefault="00E11C4F"/>
    <w:p w14:paraId="3B18E41D" w14:textId="0D75C2B2" w:rsidR="00E11C4F" w:rsidRPr="004764EE" w:rsidRDefault="00E11C4F">
      <w:pPr>
        <w:pStyle w:val="Heading2"/>
      </w:pPr>
      <w:r>
        <w:t xml:space="preserve">SMR sunt elaborate pe baza unor criterii teritoriale (bazine fluviale, maritime sau montane) și pe legături istorice, culturale și economice. Fiecare dintre strategiile </w:t>
      </w:r>
      <w:proofErr w:type="spellStart"/>
      <w:r>
        <w:t>macroregionale</w:t>
      </w:r>
      <w:proofErr w:type="spellEnd"/>
      <w:r>
        <w:t xml:space="preserve"> este ghidată de un plan de acțiune flexibil, adaptabil la schimbări geopolitice, climatice și demografice.</w:t>
      </w:r>
    </w:p>
    <w:p w14:paraId="44F40F24" w14:textId="77777777" w:rsidR="00E11C4F" w:rsidRPr="004764EE" w:rsidRDefault="00E11C4F"/>
    <w:p w14:paraId="61F5B36A" w14:textId="116F597E" w:rsidR="00E11C4F" w:rsidRPr="004764EE" w:rsidRDefault="0024175F">
      <w:pPr>
        <w:pStyle w:val="Heading2"/>
      </w:pPr>
      <w:r>
        <w:lastRenderedPageBreak/>
        <w:t xml:space="preserve">CESE subliniază că SMR au consolidat </w:t>
      </w:r>
      <w:proofErr w:type="spellStart"/>
      <w:r>
        <w:t>sinergiile</w:t>
      </w:r>
      <w:proofErr w:type="spellEnd"/>
      <w:r>
        <w:t xml:space="preserve"> pe mai multe niveluri între politici și actori, devenind instrumente eficace pentru dubla tranziție verde și digitală, pentru coeziunea teritorială și reziliență. În timpul pandemiei și al agresiunii militare a Rusiei împotriva Ucrainei, aceste strategii au evoluat de la platforme de cooperare la instrumente practice de solidaritate.</w:t>
      </w:r>
    </w:p>
    <w:p w14:paraId="29F0D375" w14:textId="77777777" w:rsidR="00E11C4F" w:rsidRPr="004764EE" w:rsidRDefault="00E11C4F"/>
    <w:p w14:paraId="1DA0913F" w14:textId="10525420" w:rsidR="00E11C4F" w:rsidRPr="004764EE" w:rsidRDefault="00E11C4F">
      <w:pPr>
        <w:pStyle w:val="Heading2"/>
      </w:pPr>
      <w:r>
        <w:t>În perioada 2023-2024, strategiile au lansat procese de actualizare structurală ca răspuns la provocări complexe, cum ar fi schimbările climatice, extinderea UE, tranziția energetică, declinul demografic și presiunile exercitate de migrație.</w:t>
      </w:r>
    </w:p>
    <w:p w14:paraId="51DF27F2" w14:textId="77777777" w:rsidR="00220FBB" w:rsidRPr="004764EE" w:rsidRDefault="00220FBB">
      <w:pPr>
        <w:pStyle w:val="Heading2"/>
        <w:numPr>
          <w:ilvl w:val="0"/>
          <w:numId w:val="0"/>
        </w:numPr>
      </w:pPr>
    </w:p>
    <w:p w14:paraId="3D3179B1" w14:textId="4C716F6B" w:rsidR="00E11C4F" w:rsidRPr="004764EE" w:rsidRDefault="00E11C4F">
      <w:pPr>
        <w:pStyle w:val="Heading2"/>
      </w:pPr>
      <w:r>
        <w:t xml:space="preserve">CESE salută aceste procese de revizuire și încurajează o integrare mai ambițioasă a dimensiunii sociale, a participării civice și a cooperării la nivel interregional. </w:t>
      </w:r>
    </w:p>
    <w:p w14:paraId="780235FE" w14:textId="77777777" w:rsidR="00220FBB" w:rsidRPr="004764EE" w:rsidRDefault="00220FBB">
      <w:pPr>
        <w:pStyle w:val="Heading1"/>
        <w:numPr>
          <w:ilvl w:val="0"/>
          <w:numId w:val="0"/>
        </w:numPr>
        <w:rPr>
          <w:bCs/>
        </w:rPr>
      </w:pPr>
    </w:p>
    <w:p w14:paraId="2E165B49" w14:textId="2224C765" w:rsidR="00E11C4F" w:rsidRPr="004764EE" w:rsidRDefault="00E11C4F">
      <w:pPr>
        <w:pStyle w:val="Heading1"/>
        <w:keepNext/>
        <w:keepLines/>
        <w:rPr>
          <w:b/>
        </w:rPr>
      </w:pPr>
      <w:r>
        <w:rPr>
          <w:b/>
        </w:rPr>
        <w:t xml:space="preserve">Evaluarea generală a punerii în aplicare a strategiilor </w:t>
      </w:r>
      <w:proofErr w:type="spellStart"/>
      <w:r>
        <w:rPr>
          <w:b/>
        </w:rPr>
        <w:t>macroregionale</w:t>
      </w:r>
      <w:proofErr w:type="spellEnd"/>
    </w:p>
    <w:p w14:paraId="2AB8CD26" w14:textId="77777777" w:rsidR="00E11C4F" w:rsidRPr="004764EE" w:rsidRDefault="00E11C4F">
      <w:pPr>
        <w:keepNext/>
        <w:keepLines/>
        <w:outlineLvl w:val="0"/>
      </w:pPr>
    </w:p>
    <w:p w14:paraId="0EA2E52D" w14:textId="77777777" w:rsidR="00E11C4F" w:rsidRPr="004764EE" w:rsidRDefault="00E11C4F">
      <w:pPr>
        <w:pStyle w:val="Heading2"/>
        <w:keepNext/>
        <w:keepLines/>
        <w:rPr>
          <w:b/>
          <w:i/>
        </w:rPr>
      </w:pPr>
      <w:r>
        <w:rPr>
          <w:b/>
          <w:i/>
        </w:rPr>
        <w:t>Strategia UE pentru regiunea Mării Baltice (EUSBSR)</w:t>
      </w:r>
    </w:p>
    <w:p w14:paraId="1A3EB5EF" w14:textId="77777777" w:rsidR="00E11C4F" w:rsidRPr="004764EE" w:rsidRDefault="00E11C4F">
      <w:pPr>
        <w:keepNext/>
        <w:keepLines/>
      </w:pPr>
    </w:p>
    <w:p w14:paraId="72D64958" w14:textId="36CC36AF" w:rsidR="00E11C4F" w:rsidRPr="004764EE" w:rsidRDefault="00E11C4F">
      <w:pPr>
        <w:pStyle w:val="Heading3"/>
      </w:pPr>
      <w:r>
        <w:t>Strategia UE pentru regiunea Mării Baltice, lansată în 2009, implică opt state membre ale UE și patru țări terțe învecinate. Strategia are trei obiective-cheie – salvarea mării, conectarea regiunii și creșterea prosperității – și este împărțită în 14 domenii de politică interconectate, incluzând riscurile, bioeconomia, sănătatea și educația. Pentru perioada 2021</w:t>
      </w:r>
      <w:r>
        <w:noBreakHyphen/>
        <w:t xml:space="preserve">2027, Programul </w:t>
      </w:r>
      <w:proofErr w:type="spellStart"/>
      <w:r>
        <w:t>Interreg</w:t>
      </w:r>
      <w:proofErr w:type="spellEnd"/>
      <w:r>
        <w:t xml:space="preserve"> pentru regiunea Mării Baltice va avea un buget de 259 de milioane EUR.</w:t>
      </w:r>
    </w:p>
    <w:p w14:paraId="21C8A5AA" w14:textId="77777777" w:rsidR="00E11C4F" w:rsidRPr="004764EE" w:rsidRDefault="00E11C4F">
      <w:pPr>
        <w:rPr>
          <w:bCs/>
        </w:rPr>
      </w:pPr>
    </w:p>
    <w:p w14:paraId="2988256E" w14:textId="77777777" w:rsidR="00E11C4F" w:rsidRPr="004764EE" w:rsidRDefault="00E11C4F">
      <w:pPr>
        <w:pStyle w:val="Heading3"/>
      </w:pPr>
      <w:r>
        <w:t>În 2021, planul de acțiune al EUSBSR a fost revizuit, numărul de acțiuni fiind redus, și a fost introdus un sistem de facilitare a unei cooperări mai strânse între părțile interesate (inclusiv partenerii economici și sociali), fiind instituit un nou instrument care să ofere sprijin administrativ și tehnic pentru gestionarea, dezvoltarea și comunicarea strategiei: punctul strategic pentru Marea Baltică (BSP).</w:t>
      </w:r>
    </w:p>
    <w:p w14:paraId="6710A90D" w14:textId="77777777" w:rsidR="00E11C4F" w:rsidRPr="004764EE" w:rsidRDefault="00E11C4F">
      <w:pPr>
        <w:rPr>
          <w:bCs/>
          <w:iCs/>
        </w:rPr>
      </w:pPr>
    </w:p>
    <w:p w14:paraId="05324B7E" w14:textId="472C1118" w:rsidR="00E11C4F" w:rsidRPr="004764EE" w:rsidRDefault="00E11C4F">
      <w:pPr>
        <w:pStyle w:val="Heading3"/>
      </w:pPr>
      <w:r>
        <w:t>EUSBSR a sprijinit regiunile implicate în realizarea obiectivelor de creștere durabilă și inteligentă stabilite. Deși suspendarea cooperării cu Rusia și Belarus în urma agresiunii militare nejustificate și neprovocate a Rusiei împotriva Ucrainei a creat un obstacol în calea soluționării principalelor probleme din regiune, strategia are în continuare un potențial semnificativ de a aborda provocările emergente.</w:t>
      </w:r>
    </w:p>
    <w:p w14:paraId="7586C63C" w14:textId="77777777" w:rsidR="00E11C4F" w:rsidRPr="004764EE" w:rsidRDefault="00E11C4F"/>
    <w:p w14:paraId="4E6FE51B" w14:textId="77777777" w:rsidR="00E11C4F" w:rsidRPr="004764EE" w:rsidRDefault="00E11C4F">
      <w:pPr>
        <w:pStyle w:val="Heading2"/>
        <w:keepNext/>
        <w:rPr>
          <w:b/>
          <w:i/>
        </w:rPr>
      </w:pPr>
      <w:r>
        <w:rPr>
          <w:b/>
          <w:i/>
        </w:rPr>
        <w:t>Strategia UE pentru regiunea Dunării (EUSDR)</w:t>
      </w:r>
    </w:p>
    <w:p w14:paraId="35B519A5" w14:textId="77777777" w:rsidR="00E11C4F" w:rsidRPr="004764EE" w:rsidRDefault="00E11C4F">
      <w:pPr>
        <w:keepNext/>
        <w:keepLines/>
      </w:pPr>
    </w:p>
    <w:p w14:paraId="7FA5AACD" w14:textId="38B8A372" w:rsidR="00E11C4F" w:rsidRPr="004764EE" w:rsidRDefault="00E11C4F">
      <w:pPr>
        <w:pStyle w:val="Heading3"/>
      </w:pPr>
      <w:r>
        <w:t>Strategia UE pentru regiunea Dunării, lansată în decembrie 2010 și actualizată în 2020, implică 14 țări (nouă state membre ale UE și cinci țări terțe) și este structurată în jurul a patru piloni: 1)</w:t>
      </w:r>
      <w:r w:rsidR="000911F0">
        <w:t> </w:t>
      </w:r>
      <w:r>
        <w:t>conectarea regiunii; 2) protecția mediului; 3) edificarea prosperității; 4) consolidarea regiunii. Aceste obiective sunt împărțite în 12 domenii prioritare. Pentru perioada 2021</w:t>
      </w:r>
      <w:r>
        <w:noBreakHyphen/>
        <w:t>2027, Programul</w:t>
      </w:r>
      <w:r w:rsidR="000911F0">
        <w:t> </w:t>
      </w:r>
      <w:proofErr w:type="spellStart"/>
      <w:r>
        <w:t>Interreg</w:t>
      </w:r>
      <w:proofErr w:type="spellEnd"/>
      <w:r>
        <w:t xml:space="preserve"> dispune de un buget total de 213,1 milioane EUR.</w:t>
      </w:r>
    </w:p>
    <w:p w14:paraId="11966ED7" w14:textId="77777777" w:rsidR="00E11C4F" w:rsidRPr="004764EE" w:rsidRDefault="00E11C4F"/>
    <w:p w14:paraId="5326E507" w14:textId="0DE01323" w:rsidR="00E11C4F" w:rsidRPr="004764EE" w:rsidRDefault="001A7B70">
      <w:pPr>
        <w:pStyle w:val="Heading3"/>
      </w:pPr>
      <w:r>
        <w:t xml:space="preserve">Revizuirea Planului de acțiune al EUSDR a îmbunătățit alinierea cu prioritățile UE (inclusiv Pactul verde) și a consolidat implicarea tinerilor și cooperarea cu fondurile europene. Cu toate acestea, persistă inegalități socioeconomice, resursele sunt limitate și angajamentul politic este </w:t>
      </w:r>
      <w:r>
        <w:lastRenderedPageBreak/>
        <w:t>inegal, dar strategia a consolidat cooperarea transnațională și a sprijinit procesul de preaderare la</w:t>
      </w:r>
      <w:r w:rsidR="002F3D9F">
        <w:t> </w:t>
      </w:r>
      <w:r>
        <w:t>UE.</w:t>
      </w:r>
    </w:p>
    <w:p w14:paraId="162D1CDB" w14:textId="77777777" w:rsidR="00E11C4F" w:rsidRPr="004764EE" w:rsidRDefault="00E11C4F">
      <w:pPr>
        <w:pStyle w:val="ListParagraph"/>
        <w:ind w:left="0"/>
      </w:pPr>
    </w:p>
    <w:p w14:paraId="5BB8B2D5" w14:textId="36AA113B" w:rsidR="00E11C4F" w:rsidRPr="004764EE" w:rsidRDefault="001A7B70">
      <w:pPr>
        <w:pStyle w:val="Heading3"/>
      </w:pPr>
      <w:r>
        <w:t xml:space="preserve">Recentele președinții au redefinit prioritățile EUSDR: Austria (2024) a promovat inovarea, competitivitatea și cooperarea cu Comisia Europeană, sprijinind perspectiva europeană a țărilor candidate; Slovenia (2023) a lansat reforme în materie de guvernanță și a formulat 13 recomandări pentru a consolida implicarea părților interesate. Inițiative precum rezoluția germană din 2023 și coordonarea </w:t>
      </w:r>
      <w:proofErr w:type="spellStart"/>
      <w:r>
        <w:t>interstrategică</w:t>
      </w:r>
      <w:proofErr w:type="spellEnd"/>
      <w:r>
        <w:t xml:space="preserve"> privind mobilitatea au confirmat reziliența strategiei, susținută de un sistem de guvernanță solid și de rolul punctului strategic pentru regiunea Dunării (</w:t>
      </w:r>
      <w:proofErr w:type="spellStart"/>
      <w:r>
        <w:t>Danube</w:t>
      </w:r>
      <w:proofErr w:type="spellEnd"/>
      <w:r>
        <w:t xml:space="preserve"> </w:t>
      </w:r>
      <w:proofErr w:type="spellStart"/>
      <w:r>
        <w:t>Strategy</w:t>
      </w:r>
      <w:proofErr w:type="spellEnd"/>
      <w:r>
        <w:t xml:space="preserve"> Point – DSP).</w:t>
      </w:r>
    </w:p>
    <w:p w14:paraId="57B174D6" w14:textId="77777777" w:rsidR="00E11C4F" w:rsidRPr="004764EE" w:rsidRDefault="00E11C4F"/>
    <w:p w14:paraId="4DDC1F51" w14:textId="77777777" w:rsidR="00E11C4F" w:rsidRPr="004764EE" w:rsidRDefault="00E11C4F">
      <w:pPr>
        <w:pStyle w:val="Heading2"/>
        <w:keepNext/>
        <w:rPr>
          <w:b/>
          <w:i/>
        </w:rPr>
      </w:pPr>
      <w:r>
        <w:rPr>
          <w:b/>
          <w:i/>
        </w:rPr>
        <w:t>Strategia UE pentru regiunea Mării Adriatice și a Mării Ionice (EUSAIR)</w:t>
      </w:r>
    </w:p>
    <w:p w14:paraId="10AA3DA5" w14:textId="77777777" w:rsidR="00E11C4F" w:rsidRPr="004764EE" w:rsidRDefault="00E11C4F">
      <w:pPr>
        <w:keepNext/>
        <w:keepLines/>
      </w:pPr>
    </w:p>
    <w:p w14:paraId="6E0BA6E6" w14:textId="74C0BC47" w:rsidR="00E11C4F" w:rsidRPr="004764EE" w:rsidRDefault="00E11C4F">
      <w:pPr>
        <w:pStyle w:val="Heading3"/>
      </w:pPr>
      <w:r>
        <w:t xml:space="preserve">Lansată în 2014, Strategia UE pentru regiunea Mării Adriatice și a Mării Ionice reunește 10 țări (patru state membre ale UE și șase țări terțe) și este structurată în jurul a patru piloni principali: creșterea albastră, conectarea regiunii, calitatea mediului, turismul sustenabil. Punctul instrumentului de facilitare a punerii în aplicare a EUSAIR oferă sprijin operațional pentru coordonare și punere în aplicare. În ceea ce privește finanțarea, 136,7 milioane EUR vor fi disponibilizate din programul </w:t>
      </w:r>
      <w:proofErr w:type="spellStart"/>
      <w:r>
        <w:t>Interreg</w:t>
      </w:r>
      <w:proofErr w:type="spellEnd"/>
      <w:r>
        <w:t xml:space="preserve"> </w:t>
      </w:r>
      <w:proofErr w:type="spellStart"/>
      <w:r>
        <w:t>adriatico</w:t>
      </w:r>
      <w:proofErr w:type="spellEnd"/>
      <w:r>
        <w:t>-ionic pentru perioada 2021-2027.</w:t>
      </w:r>
    </w:p>
    <w:p w14:paraId="500EBC17" w14:textId="77777777" w:rsidR="00E11C4F" w:rsidRPr="004764EE" w:rsidRDefault="00E11C4F"/>
    <w:p w14:paraId="6052A5FB" w14:textId="12A3A3F2" w:rsidR="00E11C4F" w:rsidRPr="004764EE" w:rsidRDefault="0024175F">
      <w:pPr>
        <w:pStyle w:val="Heading3"/>
      </w:pPr>
      <w:r>
        <w:t>CESE observă că EUSAIR a consolidat parteneriatele și încrederea între părțile interesate, contribuind la procesul de extindere a UE. Cu toate acestea, regiunea se confruntă cu crize post</w:t>
      </w:r>
      <w:r>
        <w:noBreakHyphen/>
        <w:t>pandemie, cu efectele războiului, cu inflația și cu tranziția energetică complexă, exacerbată de dependența de combustibili fosili. Deosebit de vulnerabilă din punct de vedere climatic, această regiune este expusă unor evenimente extreme, deșertificării și pierderii biodiversității, în timp ce declinul semnificativ al populației, de până la 11 % între 2012 și 2022 în unele țări, slăbește coeziunea socială și disponibilitatea forței de muncă.</w:t>
      </w:r>
    </w:p>
    <w:p w14:paraId="5DB6700A" w14:textId="77777777" w:rsidR="00E11C4F" w:rsidRPr="004764EE" w:rsidRDefault="00E11C4F"/>
    <w:p w14:paraId="3AF51204" w14:textId="7055EE98" w:rsidR="00E11C4F" w:rsidRPr="004764EE" w:rsidRDefault="00E11C4F">
      <w:pPr>
        <w:pStyle w:val="Heading3"/>
      </w:pPr>
      <w:r>
        <w:t xml:space="preserve">Noul plan de acțiune introduce un al cincilea pilon social, care se referă la tineret, ocuparea forței de muncă, egalitatea de gen și la inovare. Sunt consolidate angajamentele privind digitalizarea, neutralitatea climatică și dezvoltarea rurală și este inclusă extinderea ca temă transversală. Guvernanța a fost consolidată prin trei proiecte </w:t>
      </w:r>
      <w:proofErr w:type="spellStart"/>
      <w:r>
        <w:t>Interreg</w:t>
      </w:r>
      <w:proofErr w:type="spellEnd"/>
      <w:r>
        <w:t xml:space="preserve"> </w:t>
      </w:r>
      <w:proofErr w:type="spellStart"/>
      <w:r>
        <w:t>Adrion</w:t>
      </w:r>
      <w:proofErr w:type="spellEnd"/>
      <w:r>
        <w:t>. CESE salută abordarea integrată și pe mai multe niveluri a EUSAIR în combaterea provocărilor de mediu, economice și demografice.</w:t>
      </w:r>
    </w:p>
    <w:p w14:paraId="66C0E9E2" w14:textId="77777777" w:rsidR="00E11C4F" w:rsidRPr="004764EE" w:rsidRDefault="00E11C4F"/>
    <w:p w14:paraId="11D9796B" w14:textId="77777777" w:rsidR="00E11C4F" w:rsidRPr="004764EE" w:rsidRDefault="00E11C4F">
      <w:pPr>
        <w:pStyle w:val="Heading2"/>
        <w:keepNext/>
        <w:rPr>
          <w:b/>
          <w:i/>
        </w:rPr>
      </w:pPr>
      <w:r>
        <w:rPr>
          <w:b/>
          <w:i/>
        </w:rPr>
        <w:t>Strategia UE pentru regiunea alpină (EUSALP)</w:t>
      </w:r>
    </w:p>
    <w:p w14:paraId="5F13AA14" w14:textId="77777777" w:rsidR="00E11C4F" w:rsidRPr="004764EE" w:rsidRDefault="00E11C4F">
      <w:pPr>
        <w:keepNext/>
        <w:keepLines/>
      </w:pPr>
    </w:p>
    <w:p w14:paraId="1070A18D" w14:textId="44FFB66E" w:rsidR="00E11C4F" w:rsidRPr="004764EE" w:rsidRDefault="00DF48E1">
      <w:pPr>
        <w:pStyle w:val="Heading3"/>
      </w:pPr>
      <w:r>
        <w:t xml:space="preserve">Strategia </w:t>
      </w:r>
      <w:proofErr w:type="spellStart"/>
      <w:r>
        <w:t>macroregională</w:t>
      </w:r>
      <w:proofErr w:type="spellEnd"/>
      <w:r>
        <w:t xml:space="preserve"> pentru regiunea alpină, lansată în 2015, este cea mai recentă strategie aprobată de UE. Aceasta implică șapte state (cinci state membre ale UE și două țări terțe) și acoperă trei domenii tematice: creștere economică și inovare; mobilitate și conectivitate și mediu și energie. Un buget total de 107 milioane EUR este disponibil în perioada 2021-2027 pentru programul </w:t>
      </w:r>
      <w:proofErr w:type="spellStart"/>
      <w:r>
        <w:t>Interreg</w:t>
      </w:r>
      <w:proofErr w:type="spellEnd"/>
      <w:r>
        <w:t xml:space="preserve">, axându-se pe patru priorități capabile să garanteze că regiunea este </w:t>
      </w:r>
      <w:proofErr w:type="spellStart"/>
      <w:r>
        <w:t>rezilientă</w:t>
      </w:r>
      <w:proofErr w:type="spellEnd"/>
      <w:r>
        <w:t xml:space="preserve"> la schimbările climatice și să asigure o tranziție verde, cu emisii zero de dioxid de carbon.</w:t>
      </w:r>
    </w:p>
    <w:p w14:paraId="4BF2615C" w14:textId="77777777" w:rsidR="00E11C4F" w:rsidRPr="004764EE" w:rsidRDefault="00E11C4F"/>
    <w:p w14:paraId="2C8DD6AC" w14:textId="7AC83A24" w:rsidR="00E11C4F" w:rsidRPr="004764EE" w:rsidRDefault="00E11C4F" w:rsidP="002F3D9F">
      <w:pPr>
        <w:pStyle w:val="Heading3"/>
        <w:keepNext/>
        <w:keepLines/>
      </w:pPr>
      <w:r>
        <w:lastRenderedPageBreak/>
        <w:t>EUSALP a consolidat cooperarea transnațională în regiunea alpină, oferind soluții comune la provocări comune. Președinția elvețiană (2023) și actuala copreședinție Austria</w:t>
      </w:r>
      <w:r>
        <w:noBreakHyphen/>
        <w:t>Liechtenstein (2025) au consolidat deschiderea față de țările terțe. Guvernanța stabilă a asigurat continuitatea administrației și a capacității de răspuns, în special în contexte de criză.</w:t>
      </w:r>
    </w:p>
    <w:p w14:paraId="58714C90" w14:textId="77777777" w:rsidR="00E11C4F" w:rsidRPr="004764EE" w:rsidRDefault="00E11C4F"/>
    <w:p w14:paraId="0D93267A" w14:textId="77777777" w:rsidR="00E11C4F" w:rsidRPr="004764EE" w:rsidRDefault="00E11C4F">
      <w:pPr>
        <w:pStyle w:val="Heading3"/>
      </w:pPr>
      <w:r>
        <w:t xml:space="preserve">Între 2022 și 2023, EUSALP a definit cinci priorități tematice și patru priorități transversale (digitalizare, energie, apă, economie circulară), astfel încât revizuirea planului de acțiune urmează să fie finalizată în 2025. Consiliul tineretului a devenit parte integrantă a guvernanței, consolidând incluziunea generațiilor. Prin intermediul </w:t>
      </w:r>
      <w:proofErr w:type="spellStart"/>
      <w:r>
        <w:t>AlpGov</w:t>
      </w:r>
      <w:proofErr w:type="spellEnd"/>
      <w:r>
        <w:t xml:space="preserve"> 2, grupurile de acțiune au actualizat planurile de lucru și au consolidat cooperarea </w:t>
      </w:r>
      <w:proofErr w:type="spellStart"/>
      <w:r>
        <w:t>transsectorială</w:t>
      </w:r>
      <w:proofErr w:type="spellEnd"/>
      <w:r>
        <w:t>, cu o mai mare implicare a IMM-urilor, a societății civile și a teritoriilor.</w:t>
      </w:r>
    </w:p>
    <w:p w14:paraId="6137DAF4" w14:textId="77777777" w:rsidR="00E11C4F" w:rsidRPr="004764EE" w:rsidRDefault="00E11C4F"/>
    <w:p w14:paraId="36D7AB2B" w14:textId="77777777" w:rsidR="00E11C4F" w:rsidRPr="004764EE" w:rsidRDefault="00E11C4F">
      <w:pPr>
        <w:pStyle w:val="Heading1"/>
        <w:keepNext/>
        <w:rPr>
          <w:b/>
        </w:rPr>
      </w:pPr>
      <w:r>
        <w:rPr>
          <w:b/>
        </w:rPr>
        <w:t xml:space="preserve">Rolul și impactul strategiilor </w:t>
      </w:r>
      <w:proofErr w:type="spellStart"/>
      <w:r>
        <w:rPr>
          <w:b/>
        </w:rPr>
        <w:t>macroregionale</w:t>
      </w:r>
      <w:proofErr w:type="spellEnd"/>
      <w:r>
        <w:rPr>
          <w:b/>
        </w:rPr>
        <w:t xml:space="preserve"> în punerea în aplicare a tranzițiilor verde, digitală și socială</w:t>
      </w:r>
    </w:p>
    <w:p w14:paraId="0ACE5303" w14:textId="77777777" w:rsidR="00E11C4F" w:rsidRPr="004764EE" w:rsidRDefault="00E11C4F" w:rsidP="000911F0">
      <w:pPr>
        <w:keepNext/>
        <w:keepLines/>
        <w:spacing w:line="240" w:lineRule="auto"/>
        <w:rPr>
          <w:kern w:val="28"/>
        </w:rPr>
      </w:pPr>
    </w:p>
    <w:p w14:paraId="28534B05" w14:textId="4FB97624" w:rsidR="00E11C4F" w:rsidRPr="004764EE" w:rsidRDefault="00D24B61">
      <w:pPr>
        <w:pStyle w:val="Heading2"/>
        <w:rPr>
          <w:bCs/>
        </w:rPr>
      </w:pPr>
      <w:r>
        <w:t>SMR sunt instrumente esențiale pentru procesele de tranziție ecologică, digitală și socială a UE, mobilizând teritoriile și comunitățile pentru a consolida competitivitatea și dezvoltarea sustenabilă. În conformitate cu Pactul verde, aceste strategii promovează biodiversitatea, economia circulară, utilizarea eficientă a resurselor, decarbonizarea și eficiența energetică.</w:t>
      </w:r>
    </w:p>
    <w:p w14:paraId="1E71C9BF" w14:textId="77777777" w:rsidR="00E11C4F" w:rsidRPr="004764EE" w:rsidRDefault="00E11C4F" w:rsidP="000911F0">
      <w:pPr>
        <w:spacing w:line="240" w:lineRule="auto"/>
        <w:rPr>
          <w:bCs/>
        </w:rPr>
      </w:pPr>
    </w:p>
    <w:p w14:paraId="0E557071" w14:textId="6DD12B34" w:rsidR="00E11C4F" w:rsidRPr="004764EE" w:rsidRDefault="00E11C4F">
      <w:pPr>
        <w:pStyle w:val="Heading2"/>
        <w:rPr>
          <w:bCs/>
        </w:rPr>
      </w:pPr>
      <w:r>
        <w:t>Digitalizarea este tot mai importantă, SMR angajându-se să consolideze infrastructura, competențele și inovarea în sectorul public și în cel privat. Cu toate acestea, există încă lacune legate de capacitatea administrativă și financiară diversă a regiunilor. Din acest motiv, CESE subliniază necesitatea urgentă de a elimina aceste lacune, prin consolidarea guvernanței pe mai multe niveluri.</w:t>
      </w:r>
    </w:p>
    <w:p w14:paraId="7EC76089" w14:textId="77777777" w:rsidR="00E11C4F" w:rsidRPr="004764EE" w:rsidRDefault="00E11C4F" w:rsidP="000911F0">
      <w:pPr>
        <w:spacing w:line="240" w:lineRule="auto"/>
        <w:rPr>
          <w:bCs/>
        </w:rPr>
      </w:pPr>
    </w:p>
    <w:p w14:paraId="41CF5E88" w14:textId="55DD8836" w:rsidR="00E11C4F" w:rsidRPr="004764EE" w:rsidRDefault="00E11C4F">
      <w:pPr>
        <w:pStyle w:val="Heading2"/>
      </w:pPr>
      <w:r>
        <w:t>Dubla tranziție verde și digitală, deși oferă oportunități, riscă să exacerbeze inegalitățile socioeconomice. CESE reiterează necesitatea de a integra structural dimensiunea socială în SMR, implicând mai activ societatea civilă, partenerii sociali și economici, precum și alți actori locali, pentru a asigura echitatea și coeziunea teritorială.</w:t>
      </w:r>
    </w:p>
    <w:p w14:paraId="4B6A5D80" w14:textId="77777777" w:rsidR="00E11C4F" w:rsidRPr="004764EE" w:rsidRDefault="00E11C4F" w:rsidP="000911F0">
      <w:pPr>
        <w:pStyle w:val="ListParagraph"/>
        <w:spacing w:line="240" w:lineRule="auto"/>
        <w:ind w:left="0"/>
        <w:rPr>
          <w:bCs/>
        </w:rPr>
      </w:pPr>
    </w:p>
    <w:p w14:paraId="4A91C606" w14:textId="2EBF74CE" w:rsidR="00E11C4F" w:rsidRPr="004764EE" w:rsidRDefault="00E11C4F">
      <w:pPr>
        <w:pStyle w:val="Heading2"/>
      </w:pPr>
      <w:r>
        <w:t xml:space="preserve">Pentru a realiza economii teritoriale mai incluzive și mai </w:t>
      </w:r>
      <w:proofErr w:type="spellStart"/>
      <w:r>
        <w:t>reziliente</w:t>
      </w:r>
      <w:proofErr w:type="spellEnd"/>
      <w:r>
        <w:t>, strategiile ar trebui să promoveze specializarea inteligentă, clusterele locale și inovarea socială, prin asigurarea unui acces echilibrat la oportunități economice și sociale. CESE solicită ca SMR să fie utilizate ca laboratoare pentru a testa instrumente de redistribuire, impozitarea ecologică și politicile de coeziune integrate.</w:t>
      </w:r>
    </w:p>
    <w:p w14:paraId="5566BBCE" w14:textId="77777777" w:rsidR="00E11C4F" w:rsidRPr="004764EE" w:rsidRDefault="00E11C4F" w:rsidP="000911F0">
      <w:pPr>
        <w:spacing w:line="240" w:lineRule="auto"/>
        <w:rPr>
          <w:bCs/>
        </w:rPr>
      </w:pPr>
    </w:p>
    <w:p w14:paraId="613FAFB1" w14:textId="01F0DFFA" w:rsidR="00E11C4F" w:rsidRPr="004764EE" w:rsidRDefault="00E11C4F">
      <w:pPr>
        <w:pStyle w:val="Heading2"/>
      </w:pPr>
      <w:r>
        <w:t xml:space="preserve">Este necesar să se consolideze cooperarea dintre strategii, în special în regiuni defavorizate și în țări terțe. CESE subliniază importanța investițiilor în capitalul uman – formare, participarea tinerilor, dialogul </w:t>
      </w:r>
      <w:proofErr w:type="spellStart"/>
      <w:r>
        <w:t>intergenerațional</w:t>
      </w:r>
      <w:proofErr w:type="spellEnd"/>
      <w:r>
        <w:t xml:space="preserve"> – pentru a asigura tranziții echitabile și partajate.</w:t>
      </w:r>
    </w:p>
    <w:p w14:paraId="6343FBAE" w14:textId="77777777" w:rsidR="00E11C4F" w:rsidRPr="004764EE" w:rsidRDefault="00E11C4F" w:rsidP="000911F0">
      <w:pPr>
        <w:spacing w:line="240" w:lineRule="auto"/>
        <w:rPr>
          <w:bCs/>
        </w:rPr>
      </w:pPr>
    </w:p>
    <w:p w14:paraId="421B2F02" w14:textId="137D779C" w:rsidR="00E11C4F" w:rsidRPr="004764EE" w:rsidRDefault="00E11C4F">
      <w:pPr>
        <w:pStyle w:val="Heading2"/>
      </w:pPr>
      <w:r>
        <w:t>În ceea ce privește specificațiile SMR, trebuie precizate următoarele aspecte:</w:t>
      </w:r>
    </w:p>
    <w:p w14:paraId="4F624555" w14:textId="77777777" w:rsidR="004764EE" w:rsidRPr="004764EE" w:rsidRDefault="004764EE" w:rsidP="000911F0">
      <w:pPr>
        <w:spacing w:line="240" w:lineRule="auto"/>
        <w:ind w:left="567"/>
      </w:pPr>
    </w:p>
    <w:p w14:paraId="27E72FAD" w14:textId="77777777" w:rsidR="00E11C4F" w:rsidRPr="004764EE" w:rsidRDefault="00E11C4F">
      <w:pPr>
        <w:pStyle w:val="ListParagraph"/>
        <w:numPr>
          <w:ilvl w:val="0"/>
          <w:numId w:val="2"/>
        </w:numPr>
        <w:ind w:left="851" w:hanging="284"/>
      </w:pPr>
      <w:r>
        <w:rPr>
          <w:b/>
        </w:rPr>
        <w:t>EUSBSR</w:t>
      </w:r>
      <w:r>
        <w:t>: promovează cu fermitate tranziția verde (</w:t>
      </w:r>
      <w:proofErr w:type="spellStart"/>
      <w:r>
        <w:t>CiNURGi</w:t>
      </w:r>
      <w:proofErr w:type="spellEnd"/>
      <w:r>
        <w:t xml:space="preserve">, BALTIPLAST, EMPEREST) și economia circulară. Proiecte precum economia în timp real și </w:t>
      </w:r>
      <w:proofErr w:type="spellStart"/>
      <w:r>
        <w:t>DistanceLAB</w:t>
      </w:r>
      <w:proofErr w:type="spellEnd"/>
      <w:r>
        <w:t xml:space="preserve"> promovează digitalizarea, în timp ce programele RESIST și BSR Cultural </w:t>
      </w:r>
      <w:proofErr w:type="spellStart"/>
      <w:r>
        <w:t>Pearls</w:t>
      </w:r>
      <w:proofErr w:type="spellEnd"/>
      <w:r>
        <w:t xml:space="preserve"> consolidează coeziunea socială și participarea civică.</w:t>
      </w:r>
    </w:p>
    <w:p w14:paraId="6B1CD26B" w14:textId="1BCFB76C" w:rsidR="00E11C4F" w:rsidRPr="004764EE" w:rsidRDefault="00E11C4F">
      <w:pPr>
        <w:pStyle w:val="ListParagraph"/>
        <w:numPr>
          <w:ilvl w:val="0"/>
          <w:numId w:val="2"/>
        </w:numPr>
        <w:ind w:left="851" w:hanging="284"/>
      </w:pPr>
      <w:r>
        <w:rPr>
          <w:b/>
        </w:rPr>
        <w:lastRenderedPageBreak/>
        <w:t>EUSDR</w:t>
      </w:r>
      <w:r>
        <w:t xml:space="preserve">: în pofida inegalităților regionale, strategia contribuie la durabilitatea mediului (DALIA, STOPFIRES, </w:t>
      </w:r>
      <w:proofErr w:type="spellStart"/>
      <w:r>
        <w:t>DanubeParks</w:t>
      </w:r>
      <w:proofErr w:type="spellEnd"/>
      <w:r>
        <w:t>) și la energia din surse regenerabile (</w:t>
      </w:r>
      <w:proofErr w:type="spellStart"/>
      <w:r>
        <w:t>NRGCom</w:t>
      </w:r>
      <w:proofErr w:type="spellEnd"/>
      <w:r>
        <w:t xml:space="preserve">). </w:t>
      </w:r>
      <w:proofErr w:type="spellStart"/>
      <w:r>
        <w:t>Plan</w:t>
      </w:r>
      <w:r w:rsidR="00CF6418">
        <w:t>˗</w:t>
      </w:r>
      <w:r>
        <w:t>C</w:t>
      </w:r>
      <w:proofErr w:type="spellEnd"/>
      <w:r>
        <w:t xml:space="preserve"> și RIS4DANU dezvoltă digitalizarea și circularitatea. La nivel social, Fem2Forests și Back on </w:t>
      </w:r>
      <w:proofErr w:type="spellStart"/>
      <w:r>
        <w:t>Track</w:t>
      </w:r>
      <w:proofErr w:type="spellEnd"/>
      <w:r>
        <w:t xml:space="preserve"> promovează incluziunea și capacitatea de inserție profesională.</w:t>
      </w:r>
    </w:p>
    <w:p w14:paraId="4BC13327" w14:textId="77777777" w:rsidR="00E11C4F" w:rsidRPr="004764EE" w:rsidRDefault="00E11C4F">
      <w:pPr>
        <w:pStyle w:val="ListParagraph"/>
        <w:numPr>
          <w:ilvl w:val="0"/>
          <w:numId w:val="2"/>
        </w:numPr>
        <w:ind w:left="851" w:hanging="284"/>
      </w:pPr>
      <w:r>
        <w:rPr>
          <w:b/>
        </w:rPr>
        <w:t>EUSAIR</w:t>
      </w:r>
      <w:r>
        <w:t>: strategia integrează sustenabilitatea în pilonii săi (PET HAB ECO, NAMIRS) și îmbunătățește dimensiunea digitală prin proiecte precum EUREKA și BLUEAIR. SI4CARE și TESI sprijină inovarea socială și formarea. Noul plan de acțiune se axează pe coeziune și competențe.</w:t>
      </w:r>
    </w:p>
    <w:p w14:paraId="4DD448BE" w14:textId="77777777" w:rsidR="00E11C4F" w:rsidRPr="004764EE" w:rsidRDefault="00E11C4F">
      <w:pPr>
        <w:pStyle w:val="ListParagraph"/>
        <w:numPr>
          <w:ilvl w:val="0"/>
          <w:numId w:val="2"/>
        </w:numPr>
        <w:ind w:left="851" w:hanging="284"/>
      </w:pPr>
      <w:r>
        <w:rPr>
          <w:b/>
        </w:rPr>
        <w:t>EUSALP</w:t>
      </w:r>
      <w:r>
        <w:t>: strategia investește în proiecte ecologice (</w:t>
      </w:r>
      <w:proofErr w:type="spellStart"/>
      <w:r>
        <w:t>IMAGHyNE</w:t>
      </w:r>
      <w:proofErr w:type="spellEnd"/>
      <w:r>
        <w:t>, MICROCLIM), digitale (</w:t>
      </w:r>
      <w:proofErr w:type="spellStart"/>
      <w:r>
        <w:t>SmartCommUnity</w:t>
      </w:r>
      <w:proofErr w:type="spellEnd"/>
      <w:r>
        <w:t>, CIRCULAR4.0) și sociale (competențe non-tehnice, mobilitate alpină), care vizează o creștere teritorială incluzivă.</w:t>
      </w:r>
    </w:p>
    <w:p w14:paraId="63F7783D" w14:textId="77777777" w:rsidR="00E11C4F" w:rsidRPr="004764EE" w:rsidRDefault="00E11C4F">
      <w:pPr>
        <w:rPr>
          <w:lang w:eastAsia="it-IT" w:bidi="it-IT"/>
        </w:rPr>
      </w:pPr>
    </w:p>
    <w:p w14:paraId="27CCA67C" w14:textId="77777777" w:rsidR="00E11C4F" w:rsidRPr="004764EE" w:rsidRDefault="00E11C4F">
      <w:pPr>
        <w:pStyle w:val="Heading1"/>
        <w:keepNext/>
        <w:rPr>
          <w:b/>
        </w:rPr>
      </w:pPr>
      <w:r>
        <w:rPr>
          <w:b/>
        </w:rPr>
        <w:t xml:space="preserve">Strategiile </w:t>
      </w:r>
      <w:proofErr w:type="spellStart"/>
      <w:r>
        <w:rPr>
          <w:b/>
        </w:rPr>
        <w:t>macroregionale</w:t>
      </w:r>
      <w:proofErr w:type="spellEnd"/>
      <w:r>
        <w:rPr>
          <w:b/>
        </w:rPr>
        <w:t xml:space="preserve"> ale UE și procesul de extindere</w:t>
      </w:r>
    </w:p>
    <w:p w14:paraId="711BB338" w14:textId="77777777" w:rsidR="00E11C4F" w:rsidRPr="004764EE" w:rsidRDefault="00E11C4F" w:rsidP="000911F0">
      <w:pPr>
        <w:keepNext/>
        <w:keepLines/>
        <w:spacing w:line="240" w:lineRule="auto"/>
        <w:rPr>
          <w:kern w:val="28"/>
        </w:rPr>
      </w:pPr>
    </w:p>
    <w:p w14:paraId="4EB752D2" w14:textId="7C0FAAFC" w:rsidR="00E11C4F" w:rsidRPr="004764EE" w:rsidRDefault="00E11C4F">
      <w:pPr>
        <w:pStyle w:val="Heading2"/>
        <w:rPr>
          <w:bCs/>
        </w:rPr>
      </w:pPr>
      <w:r>
        <w:t>Extinderea UE la Balcanii de Vest, la Ucraina și Moldova reprezintă o prioritate strategică. În</w:t>
      </w:r>
      <w:r w:rsidR="00CF6418">
        <w:t> </w:t>
      </w:r>
      <w:r>
        <w:t>acest context, SMR joacă un rol central în consolidarea cooperării pe mai multe niveluri, a capacităților instituționale și a alinierii la acquis-</w:t>
      </w:r>
      <w:proofErr w:type="spellStart"/>
      <w:r>
        <w:t>ul</w:t>
      </w:r>
      <w:proofErr w:type="spellEnd"/>
      <w:r>
        <w:t xml:space="preserve"> comunitar. CESE subliniază importanța evaluării eficacității lor în promovarea coeziunii sociale, a incluziunii teritoriale și a durabilității.</w:t>
      </w:r>
    </w:p>
    <w:p w14:paraId="69F11648" w14:textId="77777777" w:rsidR="00E11C4F" w:rsidRPr="004764EE" w:rsidRDefault="00E11C4F" w:rsidP="000911F0">
      <w:pPr>
        <w:spacing w:line="240" w:lineRule="auto"/>
        <w:rPr>
          <w:bCs/>
        </w:rPr>
      </w:pPr>
    </w:p>
    <w:p w14:paraId="60F0B9BF" w14:textId="3C3DB075" w:rsidR="00E11C4F" w:rsidRPr="004764EE" w:rsidRDefault="00E11C4F">
      <w:pPr>
        <w:pStyle w:val="Heading2"/>
        <w:rPr>
          <w:bCs/>
        </w:rPr>
      </w:pPr>
      <w:r>
        <w:rPr>
          <w:b/>
        </w:rPr>
        <w:t>EUSDR</w:t>
      </w:r>
      <w:r>
        <w:t xml:space="preserve">, care implică cinci țări candidate, este un pilon al procesului de extindere. Președințiile recente (Ucraina, Slovenia, Austria) au inclus agenda de aderare între activitățile strategice. Proiecte precum </w:t>
      </w:r>
      <w:proofErr w:type="spellStart"/>
      <w:r>
        <w:t>NRGCom</w:t>
      </w:r>
      <w:proofErr w:type="spellEnd"/>
      <w:r>
        <w:t xml:space="preserve">, </w:t>
      </w:r>
      <w:proofErr w:type="spellStart"/>
      <w:r>
        <w:t>GeoHeCo</w:t>
      </w:r>
      <w:proofErr w:type="spellEnd"/>
      <w:r>
        <w:t xml:space="preserve"> și DALIA promovează tranziția energetică și ecologică, iar Back on </w:t>
      </w:r>
      <w:proofErr w:type="spellStart"/>
      <w:r>
        <w:t>Track</w:t>
      </w:r>
      <w:proofErr w:type="spellEnd"/>
      <w:r>
        <w:t xml:space="preserve"> și Fem2Forests promovează ocuparea forței de muncă și incluziunea. Strategia sprijină adaptarea normativă și consolidează instituțiile.</w:t>
      </w:r>
    </w:p>
    <w:p w14:paraId="0E12BC51" w14:textId="77777777" w:rsidR="00E11C4F" w:rsidRPr="004764EE" w:rsidRDefault="00E11C4F" w:rsidP="000911F0">
      <w:pPr>
        <w:spacing w:line="240" w:lineRule="auto"/>
      </w:pPr>
    </w:p>
    <w:p w14:paraId="7FCF206D" w14:textId="5BB6E92F" w:rsidR="00E11C4F" w:rsidRPr="004764EE" w:rsidRDefault="00E11C4F">
      <w:pPr>
        <w:pStyle w:val="Heading2"/>
        <w:rPr>
          <w:bCs/>
        </w:rPr>
      </w:pPr>
      <w:r>
        <w:rPr>
          <w:b/>
        </w:rPr>
        <w:t>EUSAIR</w:t>
      </w:r>
      <w:r>
        <w:t>, cu o prezență puternică a țărilor candidate, a actualizat planul de acțiune pentru sprijinirea aderării. Strategia se axează pe capacitate administrativă, inovare (BLUEAIR, EUREKA) și coeziune socială (TESI, SI4CARE). În domeniul mediului, proiecte precum PET</w:t>
      </w:r>
      <w:r w:rsidR="000911F0">
        <w:t> </w:t>
      </w:r>
      <w:r>
        <w:t>HAB ECO și NAMIRS consolidează protecția biodiversității și gestionarea riscurilor. Strategia contribuie la Pactul verde și la Agenda verde pentru Balcanii de Vest.</w:t>
      </w:r>
    </w:p>
    <w:p w14:paraId="481BEDDB" w14:textId="77777777" w:rsidR="00E11C4F" w:rsidRPr="004764EE" w:rsidRDefault="00E11C4F" w:rsidP="000911F0">
      <w:pPr>
        <w:spacing w:line="240" w:lineRule="auto"/>
      </w:pPr>
    </w:p>
    <w:p w14:paraId="7280D8ED" w14:textId="56159494" w:rsidR="00E11C4F" w:rsidRPr="004764EE" w:rsidRDefault="00E11C4F">
      <w:pPr>
        <w:pStyle w:val="Heading2"/>
      </w:pPr>
      <w:r>
        <w:t xml:space="preserve">În lipsa participării unor țări candidate, </w:t>
      </w:r>
      <w:r>
        <w:rPr>
          <w:b/>
        </w:rPr>
        <w:t>EUSBSR</w:t>
      </w:r>
      <w:r>
        <w:t xml:space="preserve"> și-a intensificat sprijinul pentru Ucraina începând din 2022, consolidând reziliența și cooperarea. Includerea în rețelele </w:t>
      </w:r>
      <w:proofErr w:type="spellStart"/>
      <w:r>
        <w:t>Interreg</w:t>
      </w:r>
      <w:proofErr w:type="spellEnd"/>
      <w:r>
        <w:t xml:space="preserve"> a promovat convergența și formarea în materie de reglementare. Inițiative precum </w:t>
      </w:r>
      <w:proofErr w:type="spellStart"/>
      <w:r>
        <w:t>OpenRisk</w:t>
      </w:r>
      <w:proofErr w:type="spellEnd"/>
      <w:r w:rsidR="00CF6418">
        <w:t> </w:t>
      </w:r>
      <w:r>
        <w:t>II și BALTIPLAST oferă modele reproductibile pentru sustenabilitate și contribuie la calea europeană a Ucrainei.</w:t>
      </w:r>
    </w:p>
    <w:p w14:paraId="540EEB4A" w14:textId="77777777" w:rsidR="00E11C4F" w:rsidRPr="004764EE" w:rsidRDefault="00E11C4F"/>
    <w:p w14:paraId="5B656500" w14:textId="66E927DA" w:rsidR="00E11C4F" w:rsidRPr="004764EE" w:rsidRDefault="00E11C4F">
      <w:pPr>
        <w:pStyle w:val="Heading1"/>
        <w:keepNext/>
        <w:rPr>
          <w:b/>
        </w:rPr>
      </w:pPr>
      <w:r>
        <w:rPr>
          <w:b/>
        </w:rPr>
        <w:t xml:space="preserve">Contextul </w:t>
      </w:r>
      <w:proofErr w:type="spellStart"/>
      <w:r>
        <w:rPr>
          <w:b/>
        </w:rPr>
        <w:t>macroregional</w:t>
      </w:r>
      <w:proofErr w:type="spellEnd"/>
      <w:r>
        <w:rPr>
          <w:b/>
        </w:rPr>
        <w:t xml:space="preserve"> și agresiunea militară nejustificată și neprovocată a Rusiei împotriva Ucrainei</w:t>
      </w:r>
    </w:p>
    <w:p w14:paraId="5BE09926" w14:textId="77777777" w:rsidR="00E11C4F" w:rsidRPr="004764EE" w:rsidRDefault="00E11C4F" w:rsidP="000911F0">
      <w:pPr>
        <w:keepNext/>
        <w:keepLines/>
        <w:spacing w:line="240" w:lineRule="auto"/>
        <w:rPr>
          <w:kern w:val="28"/>
        </w:rPr>
      </w:pPr>
    </w:p>
    <w:p w14:paraId="52603313" w14:textId="4825F037" w:rsidR="00E11C4F" w:rsidRPr="004764EE" w:rsidRDefault="00E11C4F">
      <w:pPr>
        <w:pStyle w:val="Heading2"/>
        <w:rPr>
          <w:bCs/>
          <w:kern w:val="28"/>
        </w:rPr>
      </w:pPr>
      <w:r>
        <w:t xml:space="preserve">Agresiunea militară rusă împotriva Ucrainei a avut un impact semnificativ asupra SMR, care </w:t>
      </w:r>
      <w:proofErr w:type="spellStart"/>
      <w:r>
        <w:t>s</w:t>
      </w:r>
      <w:r w:rsidR="000911F0">
        <w:t>˗</w:t>
      </w:r>
      <w:r>
        <w:t>au</w:t>
      </w:r>
      <w:proofErr w:type="spellEnd"/>
      <w:r>
        <w:t xml:space="preserve"> dovedit a fi instrumente-cheie de promovare a solidarității, rezilienței și cooperării. CESE subliniază rolul SMR în sprijinirea reconstrucției și a integrării europene a Ucrainei și a Moldovei, valorificând contribuția comunităților locale și a societății civile.</w:t>
      </w:r>
    </w:p>
    <w:p w14:paraId="4F944BCC" w14:textId="77777777" w:rsidR="00E11C4F" w:rsidRPr="004764EE" w:rsidRDefault="00E11C4F" w:rsidP="000911F0">
      <w:pPr>
        <w:spacing w:line="240" w:lineRule="auto"/>
        <w:rPr>
          <w:kern w:val="28"/>
        </w:rPr>
      </w:pPr>
    </w:p>
    <w:p w14:paraId="072CC088" w14:textId="77777777" w:rsidR="00E11C4F" w:rsidRPr="004764EE" w:rsidRDefault="00E11C4F" w:rsidP="000911F0">
      <w:pPr>
        <w:pStyle w:val="Heading2"/>
        <w:keepNext/>
        <w:keepLines/>
        <w:rPr>
          <w:bCs/>
          <w:kern w:val="28"/>
        </w:rPr>
      </w:pPr>
      <w:r>
        <w:rPr>
          <w:b/>
        </w:rPr>
        <w:lastRenderedPageBreak/>
        <w:t>EUSDR</w:t>
      </w:r>
      <w:r>
        <w:t xml:space="preserve"> a fost cel mai implicată, întrucât Ucraina și Moldova se numără printre membrii săi. Președințiile ucraineană (din 2022) și slovenă au promovat priorități precum incluziunea, formarea, mobilitatea și ocuparea forței de muncă. CESE recunoaște valoarea dialogului cu societatea civilă din Ucraina și Moldova, aspect evidențiat și în cadrul Forumului din 2023. Inițiativele din cadrul programului „Oameni și competențe” și utilizarea Fondului social european au oferit răspunsuri concrete la nevoile sociale și educative.</w:t>
      </w:r>
    </w:p>
    <w:p w14:paraId="5AE2D8B4" w14:textId="77777777" w:rsidR="00E11C4F" w:rsidRPr="004764EE" w:rsidRDefault="00E11C4F">
      <w:pPr>
        <w:rPr>
          <w:kern w:val="28"/>
        </w:rPr>
      </w:pPr>
    </w:p>
    <w:p w14:paraId="4BA04D2D" w14:textId="77777777" w:rsidR="00E11C4F" w:rsidRPr="004764EE" w:rsidRDefault="00E11C4F">
      <w:pPr>
        <w:pStyle w:val="Heading2"/>
        <w:rPr>
          <w:kern w:val="28"/>
        </w:rPr>
      </w:pPr>
      <w:r>
        <w:rPr>
          <w:b/>
        </w:rPr>
        <w:t>EUSBSR</w:t>
      </w:r>
      <w:r>
        <w:t xml:space="preserve"> a suspendat relațiile cu Rusia și Belarus și a lansat proiecte pentru Ucraina, în special în domeniul umanitar, al mediului și al formării. CESE apreciază includerea unor actori ucraineni în proiectele </w:t>
      </w:r>
      <w:proofErr w:type="spellStart"/>
      <w:r>
        <w:t>Interreg</w:t>
      </w:r>
      <w:proofErr w:type="spellEnd"/>
      <w:r>
        <w:t xml:space="preserve"> și participarea lor la manifestări europene, confirmând potențialul SMR de a promova integrarea europeană prin cooperare teritorială.</w:t>
      </w:r>
    </w:p>
    <w:p w14:paraId="5FBDA4BE" w14:textId="77777777" w:rsidR="00E11C4F" w:rsidRPr="004764EE" w:rsidRDefault="00E11C4F">
      <w:pPr>
        <w:rPr>
          <w:kern w:val="28"/>
        </w:rPr>
      </w:pPr>
    </w:p>
    <w:p w14:paraId="0965EE5C" w14:textId="4B6724EE" w:rsidR="00E11C4F" w:rsidRPr="004764EE" w:rsidRDefault="00E11C4F">
      <w:pPr>
        <w:pStyle w:val="Heading2"/>
        <w:rPr>
          <w:bCs/>
          <w:kern w:val="28"/>
        </w:rPr>
      </w:pPr>
      <w:r>
        <w:rPr>
          <w:b/>
        </w:rPr>
        <w:t>EUSAIR</w:t>
      </w:r>
      <w:r>
        <w:t xml:space="preserve"> și-a exprimat solidaritatea, sprijinind o agendă verde în Balcanii de Vest și consolidând cooperarea în domeniul energiei, al mobilității și al rezilienței economice și sociale. CESE încurajează corelarea SMR cu politicile de preaderare, inclusiv în vederea coeziunii teritoriale.</w:t>
      </w:r>
    </w:p>
    <w:p w14:paraId="2675F107" w14:textId="77777777" w:rsidR="00E11C4F" w:rsidRPr="004764EE" w:rsidRDefault="00E11C4F">
      <w:pPr>
        <w:rPr>
          <w:bCs/>
          <w:kern w:val="28"/>
        </w:rPr>
      </w:pPr>
    </w:p>
    <w:p w14:paraId="15AC5676" w14:textId="77777777" w:rsidR="00E11C4F" w:rsidRPr="004764EE" w:rsidRDefault="00E11C4F">
      <w:pPr>
        <w:pStyle w:val="Heading2"/>
        <w:rPr>
          <w:bCs/>
          <w:kern w:val="28"/>
        </w:rPr>
      </w:pPr>
      <w:r>
        <w:rPr>
          <w:b/>
        </w:rPr>
        <w:t>EUSALP</w:t>
      </w:r>
      <w:r>
        <w:t xml:space="preserve"> a abordat efectele indirecte ale conflictului, cum ar fi criza energetică și primirea refugiaților. Strategia a promovat autonomia energetică, sursele regenerabile de energie și practicile sustenabile. CESE subliniază că SMR pot consolida coeziunea internă a UE în contexte de instabilitate, datorită guvernanței pe mai multe niveluri și capacităților locale.</w:t>
      </w:r>
    </w:p>
    <w:p w14:paraId="0F7DBA32" w14:textId="77777777" w:rsidR="00E11C4F" w:rsidRPr="004764EE" w:rsidRDefault="00E11C4F"/>
    <w:p w14:paraId="655CD505" w14:textId="77777777" w:rsidR="00E11C4F" w:rsidRPr="004764EE" w:rsidRDefault="00E11C4F">
      <w:pPr>
        <w:pStyle w:val="Heading1"/>
        <w:keepNext/>
        <w:rPr>
          <w:b/>
        </w:rPr>
      </w:pPr>
      <w:r>
        <w:rPr>
          <w:b/>
        </w:rPr>
        <w:t xml:space="preserve">Dimensiunea teritorială a strategiilor </w:t>
      </w:r>
      <w:proofErr w:type="spellStart"/>
      <w:r>
        <w:rPr>
          <w:b/>
        </w:rPr>
        <w:t>macroregionale</w:t>
      </w:r>
      <w:proofErr w:type="spellEnd"/>
      <w:r>
        <w:rPr>
          <w:b/>
        </w:rPr>
        <w:t xml:space="preserve"> și sprijinirea proceselor de coeziune</w:t>
      </w:r>
    </w:p>
    <w:p w14:paraId="35651E3F" w14:textId="77777777" w:rsidR="00E11C4F" w:rsidRPr="004764EE" w:rsidRDefault="00E11C4F">
      <w:pPr>
        <w:keepNext/>
        <w:keepLines/>
        <w:outlineLvl w:val="0"/>
        <w:rPr>
          <w:kern w:val="28"/>
        </w:rPr>
      </w:pPr>
    </w:p>
    <w:p w14:paraId="03463347" w14:textId="49C1E0C3" w:rsidR="00E11C4F" w:rsidRPr="004764EE" w:rsidRDefault="00E11C4F">
      <w:pPr>
        <w:pStyle w:val="Heading2"/>
        <w:rPr>
          <w:bCs/>
        </w:rPr>
      </w:pPr>
      <w:r>
        <w:t>SMR reprezintă o abordare bazată pe realitatea zonei, eficace pentru punerea în aplicare a unor politici europene sensibile la particularități geografice, economice și culturale ale regiunilor. Intervenind în zone funcționale (bazine hidrografice, regiuni montane sau de coastă), ele facilitează cooperarea între teritorii învecinate și promovează soluții comune la provocări comune, consolidând dezvoltarea teritorială integrată și coeziunea interregională.</w:t>
      </w:r>
    </w:p>
    <w:p w14:paraId="3729DCD9" w14:textId="77777777" w:rsidR="00E11C4F" w:rsidRPr="004764EE" w:rsidRDefault="00E11C4F"/>
    <w:p w14:paraId="5C0A3132" w14:textId="5EC150E7" w:rsidR="00E11C4F" w:rsidRPr="004764EE" w:rsidRDefault="001A7B70">
      <w:pPr>
        <w:pStyle w:val="Heading2"/>
        <w:rPr>
          <w:bCs/>
        </w:rPr>
      </w:pPr>
      <w:r>
        <w:t>CESE subliniază importanța integrării în SMR a unor instrumente precum DLRC (dezvoltarea locală plasată sub responsabilitatea comunității), pentru a consolida participarea comunităților locale la definirea priorităților strategice. Combinația dintre guvernanța pe mai multe niveluri și angajamentul civic promovează tranziții de mediu, digitale și sociale mai echitabile și mai eficace, reducând inegalitățile la nivel teritorial.</w:t>
      </w:r>
    </w:p>
    <w:p w14:paraId="0E0E3D22" w14:textId="77777777" w:rsidR="00E11C4F" w:rsidRPr="004764EE" w:rsidRDefault="00E11C4F"/>
    <w:p w14:paraId="534BFF64" w14:textId="77777777" w:rsidR="00E11C4F" w:rsidRPr="004764EE" w:rsidRDefault="00E11C4F">
      <w:pPr>
        <w:pStyle w:val="Heading2"/>
      </w:pPr>
      <w:r>
        <w:t xml:space="preserve">SMR fac posibilă adaptarea strategiilor europene majore la nevoile locale. Inițiative precum SMART ERA (împotriva depopulării), BSR Cultural </w:t>
      </w:r>
      <w:proofErr w:type="spellStart"/>
      <w:r>
        <w:t>Pearls</w:t>
      </w:r>
      <w:proofErr w:type="spellEnd"/>
      <w:r>
        <w:t xml:space="preserve"> (reziliență culturală) și ADRIONCYCLETOUR (mobilitate sustenabilă) arată potențialul SMR de a stimula inovarea, participarea și sustenabilitatea. CESE recunoaște valoarea adăugată a acestor experiențe, care contribuie la o coeziune europeană mai concretă și mai ancorată în regiuni.</w:t>
      </w:r>
    </w:p>
    <w:p w14:paraId="25918874" w14:textId="77777777" w:rsidR="00E11C4F" w:rsidRPr="004764EE" w:rsidRDefault="00E11C4F">
      <w:pPr>
        <w:rPr>
          <w:bCs/>
        </w:rPr>
      </w:pPr>
    </w:p>
    <w:p w14:paraId="5B2C9DE9" w14:textId="77777777" w:rsidR="00E11C4F" w:rsidRPr="004764EE" w:rsidRDefault="00E11C4F">
      <w:pPr>
        <w:pStyle w:val="Heading2"/>
      </w:pPr>
      <w:r>
        <w:t>SMR reprezintă un instrument puternic de sprijinire a coeziunii europene în contextul unor tranziții ecologice, digitale și sociale din ce în ce mai complexe. Într-adevăr, SMR fac posibilă abordarea provocărilor supranaționale prin soluții coordonate, promovând reziliența ecologică și sustenabilitatea teritorială.</w:t>
      </w:r>
    </w:p>
    <w:p w14:paraId="59B2D054" w14:textId="77777777" w:rsidR="00E11C4F" w:rsidRPr="004764EE" w:rsidRDefault="00E11C4F">
      <w:pPr>
        <w:rPr>
          <w:bCs/>
        </w:rPr>
      </w:pPr>
    </w:p>
    <w:p w14:paraId="3BEF1ACE" w14:textId="0C73623B" w:rsidR="00E11C4F" w:rsidRPr="004764EE" w:rsidRDefault="00E11C4F">
      <w:pPr>
        <w:pStyle w:val="Heading2"/>
      </w:pPr>
      <w:r>
        <w:lastRenderedPageBreak/>
        <w:t>Provocările demografice, cum ar fi depopularea și îmbătrânirea populației, se numără printre principalele riscuri pentru coeziunea UE. SMR oferă un cadru pentru acțiuni concrete, care promovează mobilitatea sustenabilă, ocuparea forței de muncă în rândul tinerilor și punerea în valoare a zonelor rurale și montane.</w:t>
      </w:r>
    </w:p>
    <w:p w14:paraId="5EE42714" w14:textId="77777777" w:rsidR="00E11C4F" w:rsidRPr="004764EE" w:rsidRDefault="00E11C4F">
      <w:pPr>
        <w:rPr>
          <w:bCs/>
        </w:rPr>
      </w:pPr>
    </w:p>
    <w:p w14:paraId="71BC06B9" w14:textId="4C561519" w:rsidR="00E11C4F" w:rsidRPr="004764EE" w:rsidRDefault="00D24B61">
      <w:pPr>
        <w:pStyle w:val="Heading2"/>
      </w:pPr>
      <w:r>
        <w:t>SMR promovează coeziunea socială și economică prin implicarea autorităților locale, a societății civile, a întreprinderilor și a universităților. CESE solicită reducerea inegalităților teritoriale prin consolidarea instrumentelor participative și teritoriale ce vizează educația, cultura, formarea, sprijinirea IMM-urilor și inovarea.</w:t>
      </w:r>
    </w:p>
    <w:p w14:paraId="555AECF4" w14:textId="77777777" w:rsidR="00E11C4F" w:rsidRPr="004764EE" w:rsidRDefault="00E11C4F"/>
    <w:p w14:paraId="1C412F53" w14:textId="77777777" w:rsidR="00E11C4F" w:rsidRPr="004764EE" w:rsidRDefault="00E11C4F">
      <w:pPr>
        <w:pStyle w:val="Heading1"/>
        <w:keepNext/>
        <w:rPr>
          <w:b/>
        </w:rPr>
      </w:pPr>
      <w:r>
        <w:rPr>
          <w:b/>
        </w:rPr>
        <w:t xml:space="preserve">Parteneriatul la nivel </w:t>
      </w:r>
      <w:proofErr w:type="spellStart"/>
      <w:r>
        <w:rPr>
          <w:b/>
        </w:rPr>
        <w:t>macroregional</w:t>
      </w:r>
      <w:proofErr w:type="spellEnd"/>
      <w:r>
        <w:rPr>
          <w:b/>
        </w:rPr>
        <w:t xml:space="preserve"> și rolul societății civile</w:t>
      </w:r>
    </w:p>
    <w:p w14:paraId="0BC13F19" w14:textId="77777777" w:rsidR="00E11C4F" w:rsidRPr="004764EE" w:rsidRDefault="00E11C4F">
      <w:pPr>
        <w:keepNext/>
        <w:keepLines/>
        <w:rPr>
          <w:bCs/>
          <w:kern w:val="28"/>
        </w:rPr>
      </w:pPr>
    </w:p>
    <w:p w14:paraId="0F9E618D" w14:textId="1318B6C8" w:rsidR="00E11C4F" w:rsidRPr="004764EE" w:rsidRDefault="007A37F7">
      <w:pPr>
        <w:pStyle w:val="Heading2"/>
        <w:rPr>
          <w:bCs/>
        </w:rPr>
      </w:pPr>
      <w:r>
        <w:t>CESE consideră că este esențială implicarea societății civile, a partenerilor sociali și economici și a tinerilor pentru a consolida eficacitatea, legitimitatea și impactul teritorial al SMR. Aceste strategii aduc Europa mai aproape de cetățenii săi, prin promovarea incluziunii și participării, dar este necesară o mai bună comunicare cu privire la activități și rezultate.</w:t>
      </w:r>
    </w:p>
    <w:p w14:paraId="4A110BEE" w14:textId="77777777" w:rsidR="00E11C4F" w:rsidRPr="004764EE" w:rsidRDefault="00E11C4F"/>
    <w:p w14:paraId="0B037BA9" w14:textId="74608718" w:rsidR="00E11C4F" w:rsidRPr="004764EE" w:rsidRDefault="00E11C4F">
      <w:pPr>
        <w:pStyle w:val="Heading2"/>
        <w:rPr>
          <w:bCs/>
        </w:rPr>
      </w:pPr>
      <w:r>
        <w:t xml:space="preserve">Cele mai mature SMR, cum ar fi </w:t>
      </w:r>
      <w:r>
        <w:rPr>
          <w:b/>
        </w:rPr>
        <w:t>EUSBSR</w:t>
      </w:r>
      <w:r>
        <w:t xml:space="preserve"> și </w:t>
      </w:r>
      <w:r>
        <w:rPr>
          <w:b/>
        </w:rPr>
        <w:t>EUSDR</w:t>
      </w:r>
      <w:r>
        <w:t>, au integrat deja actori civici în guvernanță în calitate de coordonatori tematici sau de membri în comitete directoare. Inițiative precum Zilele</w:t>
      </w:r>
      <w:r w:rsidR="000911F0">
        <w:t> </w:t>
      </w:r>
      <w:r>
        <w:t>participării dunărene și DANUBE4all demonstrează aplicarea efectivă a principiului parteneriatului pe mai multe niveluri, promovând dialogul social și implicarea comunității.</w:t>
      </w:r>
    </w:p>
    <w:p w14:paraId="1FABBFD7" w14:textId="77777777" w:rsidR="00E11C4F" w:rsidRPr="004764EE" w:rsidRDefault="00E11C4F">
      <w:pPr>
        <w:rPr>
          <w:bCs/>
        </w:rPr>
      </w:pPr>
    </w:p>
    <w:p w14:paraId="1AEB4C7C" w14:textId="4430BB6A" w:rsidR="00E11C4F" w:rsidRPr="004764EE" w:rsidRDefault="00E11C4F">
      <w:pPr>
        <w:pStyle w:val="Heading2"/>
        <w:rPr>
          <w:bCs/>
        </w:rPr>
      </w:pPr>
      <w:r>
        <w:t xml:space="preserve">În cadrul </w:t>
      </w:r>
      <w:r>
        <w:rPr>
          <w:b/>
        </w:rPr>
        <w:t>EUSAIR</w:t>
      </w:r>
      <w:r>
        <w:t>, rețele precum camerele de comerț sau universitățile oferă o infrastructură solidă pentru participare teritorială, inclusiv prin intermediul unor instrumente precum Citizen</w:t>
      </w:r>
      <w:r w:rsidR="000911F0">
        <w:t> </w:t>
      </w:r>
      <w:proofErr w:type="spellStart"/>
      <w:r>
        <w:t>Agoras</w:t>
      </w:r>
      <w:proofErr w:type="spellEnd"/>
      <w:r>
        <w:t>.</w:t>
      </w:r>
    </w:p>
    <w:p w14:paraId="4FE1FF6C" w14:textId="77777777" w:rsidR="00E11C4F" w:rsidRPr="004764EE" w:rsidRDefault="00E11C4F"/>
    <w:p w14:paraId="2C10ABED" w14:textId="77777777" w:rsidR="00E11C4F" w:rsidRPr="004764EE" w:rsidRDefault="00E11C4F">
      <w:pPr>
        <w:pStyle w:val="Heading2"/>
        <w:rPr>
          <w:bCs/>
        </w:rPr>
      </w:pPr>
      <w:r>
        <w:rPr>
          <w:b/>
        </w:rPr>
        <w:t>EUSALP</w:t>
      </w:r>
      <w:r>
        <w:t xml:space="preserve"> se evidențiază prin bune practici în implicarea societății civile prin intermediul grupurilor sale de acțiune și al proiectelor </w:t>
      </w:r>
      <w:proofErr w:type="spellStart"/>
      <w:r>
        <w:t>Interreg</w:t>
      </w:r>
      <w:proofErr w:type="spellEnd"/>
      <w:r>
        <w:t>. CESE încurajează diseminarea sistematică a acestor modele, recunoscând rolul esențial al comunităților locale în promovarea sustenabilității, coeziunii și a inovării sociale, în special în zonele marginale sau transfrontaliere.</w:t>
      </w:r>
    </w:p>
    <w:p w14:paraId="16A066D6" w14:textId="77777777" w:rsidR="00E11C4F" w:rsidRPr="004764EE" w:rsidRDefault="00E11C4F">
      <w:pPr>
        <w:rPr>
          <w:bCs/>
        </w:rPr>
      </w:pPr>
    </w:p>
    <w:p w14:paraId="2295DB03" w14:textId="77777777" w:rsidR="00E11C4F" w:rsidRPr="004764EE" w:rsidRDefault="00E11C4F">
      <w:pPr>
        <w:pStyle w:val="Heading2"/>
        <w:rPr>
          <w:bCs/>
        </w:rPr>
      </w:pPr>
      <w:r>
        <w:t>De asemenea, SMR includ un dialog constructiv cu lumea întreprinderilor: IMM-uri, întreprinderi locale și parteneri sociali sunt implicați activ în proiecte, cum ar fi în domeniul energiei durabile în cadrul EUSDR, aducând soluții concrete pentru tranziția verde și relansarea productivă a teritoriilor.</w:t>
      </w:r>
    </w:p>
    <w:p w14:paraId="69FFCF90" w14:textId="77777777" w:rsidR="00E11C4F" w:rsidRPr="004764EE" w:rsidRDefault="00E11C4F">
      <w:pPr>
        <w:rPr>
          <w:bCs/>
        </w:rPr>
      </w:pPr>
    </w:p>
    <w:p w14:paraId="15CAC079" w14:textId="7DA99E7B" w:rsidR="00E11C4F" w:rsidRPr="004764EE" w:rsidRDefault="007A37F7">
      <w:pPr>
        <w:pStyle w:val="Heading2"/>
      </w:pPr>
      <w:r>
        <w:t xml:space="preserve">CESE recunoaște participarea tinerilor ca pârghie de democrație incluzivă și sustenabilă, sprijină diseminarea consiliilor </w:t>
      </w:r>
      <w:proofErr w:type="spellStart"/>
      <w:r>
        <w:t>macroregionale</w:t>
      </w:r>
      <w:proofErr w:type="spellEnd"/>
      <w:r>
        <w:t xml:space="preserve"> de tineret și crearea de rețele permanente, inclusiv de rețele digitale, inspirate de experiențe precum Popri Youth și taberele de tineret din Marea Baltică. De asemenea, CESE promovează rețeaua </w:t>
      </w:r>
      <w:proofErr w:type="spellStart"/>
      <w:r>
        <w:t>transmacroregională</w:t>
      </w:r>
      <w:proofErr w:type="spellEnd"/>
      <w:r>
        <w:t xml:space="preserve"> a societății civile, în continuarea inițiativei lansate în 2024 de Casa Europeană din Budapesta.</w:t>
      </w:r>
    </w:p>
    <w:p w14:paraId="1E46B0C9" w14:textId="77777777" w:rsidR="00E11C4F" w:rsidRPr="004764EE" w:rsidRDefault="00E11C4F"/>
    <w:p w14:paraId="18F8C5CB" w14:textId="77777777" w:rsidR="00E11C4F" w:rsidRPr="004764EE" w:rsidRDefault="00E11C4F">
      <w:pPr>
        <w:pStyle w:val="Heading1"/>
        <w:keepNext/>
        <w:rPr>
          <w:b/>
          <w:bCs/>
        </w:rPr>
      </w:pPr>
      <w:r>
        <w:rPr>
          <w:b/>
        </w:rPr>
        <w:t>Guvernanță, capacitate administrativă și acces la finanțare</w:t>
      </w:r>
    </w:p>
    <w:p w14:paraId="1AC8CE1F" w14:textId="77777777" w:rsidR="00E11C4F" w:rsidRPr="004764EE" w:rsidRDefault="00E11C4F">
      <w:pPr>
        <w:keepNext/>
        <w:keepLines/>
        <w:rPr>
          <w:b/>
          <w:bCs/>
        </w:rPr>
      </w:pPr>
    </w:p>
    <w:p w14:paraId="249838C8" w14:textId="24D83ED1" w:rsidR="00E11C4F" w:rsidRPr="004764EE" w:rsidRDefault="00E11C4F">
      <w:pPr>
        <w:pStyle w:val="Heading2"/>
      </w:pPr>
      <w:r>
        <w:t xml:space="preserve">CESE consideră că eficiența guvernanței, consolidarea capacității administrative și accesul coordonat la finanțare sunt esențiale pentru succesul SMR. Aceste strategii trebuie să asigure </w:t>
      </w:r>
      <w:r>
        <w:lastRenderedPageBreak/>
        <w:t>cooperarea pe mai multe niveluri, consolidarea coeziunii teritoriale și definirea unor priorități clare, corelate cu mizele și provocările cu care se confruntă UE, pe baza unor criterii bazate pe urgență, relevanță și pe disponibilitatea resurselor.</w:t>
      </w:r>
    </w:p>
    <w:p w14:paraId="7EC70900" w14:textId="77777777" w:rsidR="00E11C4F" w:rsidRPr="004764EE" w:rsidRDefault="00E11C4F">
      <w:pPr>
        <w:ind w:left="567" w:hanging="567"/>
      </w:pPr>
    </w:p>
    <w:p w14:paraId="34B1359E" w14:textId="16EE9B97" w:rsidR="00E11C4F" w:rsidRPr="004764EE" w:rsidRDefault="00E11C4F">
      <w:pPr>
        <w:pStyle w:val="Heading2"/>
      </w:pPr>
      <w:r>
        <w:t xml:space="preserve">CESE subliniază importanța implicării active a autorităților locale și regionale, încă prea inegală între diversele strategii. </w:t>
      </w:r>
      <w:r>
        <w:rPr>
          <w:b/>
        </w:rPr>
        <w:t>EUSALP</w:t>
      </w:r>
      <w:r>
        <w:t xml:space="preserve"> este un model virtuos, cu o participare teritorială puternică, ce poate fi o bună practică. Principiul subsidiarității trebuie consolidat, prin evaluarea contribuției actorilor locali în toate strategiile.</w:t>
      </w:r>
    </w:p>
    <w:p w14:paraId="0D62C88A" w14:textId="77777777" w:rsidR="00E11C4F" w:rsidRPr="004764EE" w:rsidRDefault="00E11C4F">
      <w:pPr>
        <w:pStyle w:val="ListParagraph"/>
        <w:ind w:left="567" w:hanging="567"/>
      </w:pPr>
    </w:p>
    <w:p w14:paraId="21B41D51" w14:textId="77777777" w:rsidR="00E11C4F" w:rsidRPr="004764EE" w:rsidRDefault="00E11C4F">
      <w:pPr>
        <w:pStyle w:val="Heading2"/>
      </w:pPr>
      <w:r>
        <w:t xml:space="preserve">SMR nu au un buget propriu și se bazează pe resurse UE, naționale, regionale și private. Programele transnaționale </w:t>
      </w:r>
      <w:proofErr w:type="spellStart"/>
      <w:r>
        <w:t>Interreg</w:t>
      </w:r>
      <w:proofErr w:type="spellEnd"/>
      <w:r>
        <w:t xml:space="preserve"> (Marea Baltică, Dunăre, regiunile </w:t>
      </w:r>
      <w:proofErr w:type="spellStart"/>
      <w:r>
        <w:t>adriatico</w:t>
      </w:r>
      <w:proofErr w:type="spellEnd"/>
      <w:r>
        <w:t xml:space="preserve">-ionică și alpină) și </w:t>
      </w:r>
      <w:proofErr w:type="spellStart"/>
      <w:r>
        <w:t>Interreg</w:t>
      </w:r>
      <w:proofErr w:type="spellEnd"/>
      <w:r>
        <w:t xml:space="preserve"> NEXT pentru vecinătate reprezintă un pilon financiar esențial. CESE sprijină integrarea priorităților SMR în programele operaționale finanțate de FEDR, FSE+, Orizont Europa, LIFE, Erasmus+ și alte instrumente.</w:t>
      </w:r>
    </w:p>
    <w:p w14:paraId="15D57555" w14:textId="77777777" w:rsidR="00E11C4F" w:rsidRPr="004764EE" w:rsidRDefault="00E11C4F">
      <w:pPr>
        <w:ind w:left="567" w:hanging="567"/>
      </w:pPr>
    </w:p>
    <w:p w14:paraId="39030D9A" w14:textId="2E084D70" w:rsidR="00E11C4F" w:rsidRPr="004764EE" w:rsidRDefault="00E11C4F">
      <w:pPr>
        <w:pStyle w:val="Heading2"/>
      </w:pPr>
      <w:r>
        <w:t>Este necesar să se intensifice dialogul dintre autoritățile de management și coordonatorii SMR, pentru a crea platforme financiare stabile, la fel ca în spațiul alpin. CESE solicită o mai mare implicare a partenerilor sociali și a societății civile inclusiv în programare, pentru ca strategiile să devină mai incluzive, mai participative și mai operaționale.</w:t>
      </w:r>
    </w:p>
    <w:p w14:paraId="452DB0F9" w14:textId="77777777" w:rsidR="00E11C4F" w:rsidRPr="004764EE" w:rsidRDefault="00E11C4F">
      <w:pPr>
        <w:ind w:left="567" w:hanging="567"/>
      </w:pPr>
    </w:p>
    <w:p w14:paraId="04EB2D1B" w14:textId="77777777" w:rsidR="00E11C4F" w:rsidRPr="004764EE" w:rsidRDefault="00E11C4F">
      <w:pPr>
        <w:pStyle w:val="Heading2"/>
      </w:pPr>
      <w:r>
        <w:t>SMR pot consolida reziliența lanțurilor de producție și pot sprijini integrarea IMM-urilor, prin proiecte transfrontaliere în sectoare strategice. CESE recomandă consolidarea capacității administrative locale prin formare, schimb de bune practici și aplicarea concretă a principiului parteneriatului, cu implicarea societății civile, a instituțiilor și a actorilor economici.</w:t>
      </w:r>
    </w:p>
    <w:p w14:paraId="4D2E26D2" w14:textId="77777777" w:rsidR="00E11C4F" w:rsidRPr="004764EE" w:rsidRDefault="00E11C4F">
      <w:pPr>
        <w:ind w:left="567" w:hanging="567"/>
      </w:pPr>
    </w:p>
    <w:p w14:paraId="7E942119" w14:textId="77777777" w:rsidR="00E11C4F" w:rsidRPr="004764EE" w:rsidRDefault="00E11C4F">
      <w:pPr>
        <w:pStyle w:val="Heading1"/>
        <w:keepNext/>
        <w:rPr>
          <w:b/>
          <w:bCs/>
        </w:rPr>
      </w:pPr>
      <w:r>
        <w:rPr>
          <w:b/>
        </w:rPr>
        <w:t>Calea de urmat</w:t>
      </w:r>
    </w:p>
    <w:p w14:paraId="13C6C1FB" w14:textId="77777777" w:rsidR="00E11C4F" w:rsidRPr="004764EE" w:rsidRDefault="00E11C4F">
      <w:pPr>
        <w:keepNext/>
        <w:keepLines/>
        <w:ind w:left="567" w:hanging="567"/>
      </w:pPr>
    </w:p>
    <w:p w14:paraId="4B0C8470" w14:textId="2BAF218D" w:rsidR="00E11C4F" w:rsidRPr="004764EE" w:rsidRDefault="00E11C4F">
      <w:pPr>
        <w:pStyle w:val="Heading2"/>
      </w:pPr>
      <w:r>
        <w:t>Viitorul SMR va fi marcat de provocări tot mai mari (schimbări climatice, tranziție digitală, securitate energetică, dinamică demografică și schimbări geopolitice). CESE subliniază nevoia urgentă de răspunsuri teritoriale coordonate și integrate, bazate pe o guvernanță eficace pe mai multe niveluri și pe participare civică structurată.</w:t>
      </w:r>
    </w:p>
    <w:p w14:paraId="3A4196C1" w14:textId="77777777" w:rsidR="00E11C4F" w:rsidRPr="004764EE" w:rsidRDefault="00E11C4F">
      <w:pPr>
        <w:ind w:left="567" w:hanging="567"/>
      </w:pPr>
    </w:p>
    <w:p w14:paraId="01412A55" w14:textId="77777777" w:rsidR="00E11C4F" w:rsidRPr="004764EE" w:rsidRDefault="00E11C4F">
      <w:pPr>
        <w:pStyle w:val="Heading2"/>
      </w:pPr>
      <w:r>
        <w:t>CESE subliniază rolul strategic al organizațiilor societății civile, al partenerilor sociali și al tinerilor în conectarea teritoriilor și politicilor europene. Participarea lor activă și structurată în toate etapele SMR este esențială pentru a promova incluziunea, cetățenia activă și sentimentul de apartenență.</w:t>
      </w:r>
    </w:p>
    <w:p w14:paraId="3C01A58B" w14:textId="77777777" w:rsidR="00E11C4F" w:rsidRPr="004764EE" w:rsidRDefault="00E11C4F">
      <w:pPr>
        <w:ind w:left="567" w:hanging="567"/>
      </w:pPr>
    </w:p>
    <w:p w14:paraId="263894D9" w14:textId="77777777" w:rsidR="00E11C4F" w:rsidRPr="004764EE" w:rsidRDefault="00E11C4F">
      <w:pPr>
        <w:pStyle w:val="Heading2"/>
      </w:pPr>
      <w:r>
        <w:t>Guvernanța trebuie consolidată prin diferențiere între nivelul politic și cel operațional. CESE solicită implicarea mai activă a regiunilor, a autorităților locale și a părților tematice interesate, simplificarea proceselor decizionale, îmbunătățirea capacităților administrative și garantarea unor resurse adecvate și accesibile.</w:t>
      </w:r>
    </w:p>
    <w:p w14:paraId="63B3157B" w14:textId="77777777" w:rsidR="00E11C4F" w:rsidRPr="004764EE" w:rsidRDefault="00E11C4F">
      <w:pPr>
        <w:ind w:left="567" w:hanging="567"/>
      </w:pPr>
    </w:p>
    <w:p w14:paraId="684C08EA" w14:textId="77777777" w:rsidR="00E11C4F" w:rsidRPr="004764EE" w:rsidRDefault="00E11C4F">
      <w:pPr>
        <w:pStyle w:val="Heading2"/>
      </w:pPr>
      <w:r>
        <w:t>SMR trebuie să treacă de la instrumente de cooperare fără caracter obligatoriu la mecanisme de impact structural. CESE recomandă obiective clare și măsurabile, sisteme de monitorizare și control și crearea unor „lanțuri de proiecte” care să transpună rezultatele în politici publice durabile.</w:t>
      </w:r>
    </w:p>
    <w:p w14:paraId="47FEF52A" w14:textId="77777777" w:rsidR="00E11C4F" w:rsidRPr="004764EE" w:rsidRDefault="00E11C4F">
      <w:pPr>
        <w:ind w:left="567" w:hanging="567"/>
      </w:pPr>
    </w:p>
    <w:p w14:paraId="1B102546" w14:textId="77777777" w:rsidR="00E11C4F" w:rsidRPr="004764EE" w:rsidRDefault="00E11C4F">
      <w:pPr>
        <w:pStyle w:val="Heading2"/>
      </w:pPr>
      <w:r>
        <w:t xml:space="preserve">Integrarea SMR în principalele instrumente de finanțare ale UE este esențială. CESE sprijină integrarea sistematică în programele de coeziune, fondurile IPA, </w:t>
      </w:r>
      <w:proofErr w:type="spellStart"/>
      <w:r>
        <w:t>Interreg</w:t>
      </w:r>
      <w:proofErr w:type="spellEnd"/>
      <w:r>
        <w:t xml:space="preserve"> și în programele gestionate direct și solicită o cooperare stabilă cu strategiile maritime pentru a consolida </w:t>
      </w:r>
      <w:proofErr w:type="spellStart"/>
      <w:r>
        <w:t>sinergiile</w:t>
      </w:r>
      <w:proofErr w:type="spellEnd"/>
      <w:r>
        <w:t>.</w:t>
      </w:r>
    </w:p>
    <w:p w14:paraId="5572C02D" w14:textId="77777777" w:rsidR="00E11C4F" w:rsidRPr="004764EE" w:rsidRDefault="00E11C4F">
      <w:pPr>
        <w:ind w:left="567" w:hanging="567"/>
      </w:pPr>
    </w:p>
    <w:p w14:paraId="0CACF5A4" w14:textId="77777777" w:rsidR="00553171" w:rsidRPr="004764EE" w:rsidRDefault="00E11C4F">
      <w:pPr>
        <w:pStyle w:val="Heading2"/>
      </w:pPr>
      <w:r>
        <w:t>SMR trebuie să contribuie mai mult la tranziția verde, la cea digitală și la cea justă. CESE solicită măsuri mai ferme pentru tranziția energetică, incluziunea socială și digitalizare, însoțite de programe de formare și recalificare, în special pentru cele mai vulnerabile persoane.</w:t>
      </w:r>
    </w:p>
    <w:p w14:paraId="625859BC" w14:textId="77777777" w:rsidR="00553171" w:rsidRPr="004764EE" w:rsidRDefault="00553171">
      <w:pPr>
        <w:pStyle w:val="ListParagraph"/>
        <w:ind w:left="0"/>
      </w:pPr>
    </w:p>
    <w:p w14:paraId="2E435EB5" w14:textId="7BD235B6" w:rsidR="00E11C4F" w:rsidRPr="004764EE" w:rsidRDefault="00553171">
      <w:pPr>
        <w:pStyle w:val="Heading3"/>
      </w:pPr>
      <w:r>
        <w:t>În SMR, condiționalitatea socială trebuie consolidată, astfel încât proiectele de dezvoltare să fie evaluate și din perspectiva nivelului de incluziune și echitate, cu un accent deosebit pe respectarea principiilor egalității de șanse și nediscriminării.</w:t>
      </w:r>
    </w:p>
    <w:p w14:paraId="69950FDB" w14:textId="77777777" w:rsidR="00E11C4F" w:rsidRPr="004764EE" w:rsidRDefault="00E11C4F">
      <w:pPr>
        <w:ind w:left="567" w:hanging="567"/>
      </w:pPr>
    </w:p>
    <w:p w14:paraId="168E370D" w14:textId="77777777" w:rsidR="00E11C4F" w:rsidRPr="004764EE" w:rsidRDefault="00E11C4F">
      <w:pPr>
        <w:pStyle w:val="Heading2"/>
      </w:pPr>
      <w:r>
        <w:t>Provocările demografice, cum ar fi îmbătrânirea populației și depopularea rurală, necesită politici de proximitate. CESE consideră că este prioritar să se investească în calitatea vieții, în locuri de muncă decente și în servicii esențiale, prin valorificarea economiilor locale și încurajând tinerii să rămână în regiunea lor.</w:t>
      </w:r>
    </w:p>
    <w:p w14:paraId="68E2B62D" w14:textId="77777777" w:rsidR="00E11C4F" w:rsidRPr="004764EE" w:rsidRDefault="00E11C4F">
      <w:pPr>
        <w:pStyle w:val="ListParagraph"/>
        <w:ind w:left="567" w:hanging="567"/>
      </w:pPr>
    </w:p>
    <w:p w14:paraId="5C73CEFD" w14:textId="77777777" w:rsidR="00E11C4F" w:rsidRPr="004764EE" w:rsidRDefault="00E11C4F">
      <w:pPr>
        <w:pStyle w:val="Heading2"/>
      </w:pPr>
      <w:r>
        <w:t>CESE promovează instrumente precum GECT, euroregiunile și comunitățile energetice locale, care pot consolida punerea în aplicare a SMR prin soluții comune în domeniul gestionării mediului, al mobilității sustenabile și al adaptării la schimbările climatice, promovând cooperarea instituționalizată.</w:t>
      </w:r>
    </w:p>
    <w:p w14:paraId="61D8964D" w14:textId="77777777" w:rsidR="00E11C4F" w:rsidRPr="004764EE" w:rsidRDefault="00E11C4F">
      <w:pPr>
        <w:ind w:left="567" w:hanging="567"/>
      </w:pPr>
    </w:p>
    <w:p w14:paraId="4D0AF25F" w14:textId="77777777" w:rsidR="00E11C4F" w:rsidRPr="004764EE" w:rsidRDefault="00E11C4F">
      <w:pPr>
        <w:pStyle w:val="Heading2"/>
      </w:pPr>
      <w:r>
        <w:t xml:space="preserve">În domeniul comunicării, CESE constată progrese, dar și deficiențe. Este necesar să se sporească vizibilitatea SMR în afara canalelor instituționale, prin promovare în mass-media locală, rețele de tineret și părți economice interesate. Forumurile civice și forumurile de tineret </w:t>
      </w:r>
      <w:proofErr w:type="spellStart"/>
      <w:r>
        <w:t>macroregionale</w:t>
      </w:r>
      <w:proofErr w:type="spellEnd"/>
      <w:r>
        <w:t xml:space="preserve"> sunt instrumente ce trebuie consolidate.</w:t>
      </w:r>
    </w:p>
    <w:p w14:paraId="3800FDA7" w14:textId="77777777" w:rsidR="00E11C4F" w:rsidRPr="004764EE" w:rsidRDefault="00E11C4F">
      <w:pPr>
        <w:pStyle w:val="ListParagraph"/>
        <w:ind w:left="567" w:hanging="567"/>
      </w:pPr>
    </w:p>
    <w:p w14:paraId="2D3A948F" w14:textId="235B026D" w:rsidR="004E1460" w:rsidRPr="004764EE" w:rsidRDefault="007A37F7">
      <w:pPr>
        <w:pStyle w:val="Heading2"/>
      </w:pPr>
      <w:r>
        <w:t>CESE sprijină un rol activ al SMR în extinderea UE, ca laboratoare de integrare între instituții, întreprinderi, universități și societatea civilă, și reiterează necesitatea de a institui una sau mai multe SMR în Mediterana, în linie cu recentul Pact pentru Mediterana elaborat de Comisia Europeană.</w:t>
      </w:r>
    </w:p>
    <w:p w14:paraId="3A05444C" w14:textId="77777777" w:rsidR="004E1460" w:rsidRPr="004764EE" w:rsidRDefault="004E1460">
      <w:pPr>
        <w:pStyle w:val="Heading2"/>
        <w:numPr>
          <w:ilvl w:val="0"/>
          <w:numId w:val="0"/>
        </w:numPr>
      </w:pPr>
    </w:p>
    <w:p w14:paraId="72198877" w14:textId="7578DBCC" w:rsidR="00AC2C5E" w:rsidRPr="004764EE" w:rsidRDefault="00D36A55">
      <w:pPr>
        <w:pStyle w:val="Heading2"/>
      </w:pPr>
      <w:r>
        <w:t xml:space="preserve">În opinia CESE, trebuie să existe condiții pentru o guvernanță transparentă, responsabilă și lipsită de corupție în instituțiile participante la strategiile </w:t>
      </w:r>
      <w:proofErr w:type="spellStart"/>
      <w:r>
        <w:t>macroregionale</w:t>
      </w:r>
      <w:proofErr w:type="spellEnd"/>
      <w:r>
        <w:t>.</w:t>
      </w:r>
    </w:p>
    <w:p w14:paraId="58953710" w14:textId="77777777" w:rsidR="00AC2C5E" w:rsidRPr="004764EE" w:rsidRDefault="00AC2C5E">
      <w:pPr>
        <w:pStyle w:val="ListParagraph"/>
        <w:ind w:left="0"/>
      </w:pPr>
    </w:p>
    <w:p w14:paraId="47694C7A" w14:textId="389516E6" w:rsidR="00DE0726" w:rsidRPr="004764EE" w:rsidRDefault="00AC2C5E">
      <w:pPr>
        <w:pStyle w:val="Heading1"/>
        <w:keepNext/>
        <w:rPr>
          <w:b/>
          <w:bCs/>
        </w:rPr>
      </w:pPr>
      <w:r>
        <w:rPr>
          <w:b/>
        </w:rPr>
        <w:t xml:space="preserve">Strategiile </w:t>
      </w:r>
      <w:proofErr w:type="spellStart"/>
      <w:r>
        <w:rPr>
          <w:b/>
        </w:rPr>
        <w:t>macroregionale</w:t>
      </w:r>
      <w:proofErr w:type="spellEnd"/>
      <w:r>
        <w:rPr>
          <w:b/>
        </w:rPr>
        <w:t xml:space="preserve"> în cadrul noii politici de coeziune: mize și răspunsuri</w:t>
      </w:r>
    </w:p>
    <w:p w14:paraId="4658DC09" w14:textId="77777777" w:rsidR="00773864" w:rsidRPr="004764EE" w:rsidRDefault="00773864">
      <w:pPr>
        <w:keepNext/>
        <w:keepLines/>
        <w:outlineLvl w:val="0"/>
      </w:pPr>
    </w:p>
    <w:p w14:paraId="4B43A036" w14:textId="635A7003" w:rsidR="00DE0726" w:rsidRPr="004764EE" w:rsidRDefault="007A37F7">
      <w:pPr>
        <w:pStyle w:val="Heading2"/>
        <w:rPr>
          <w:rStyle w:val="Heading2Char"/>
        </w:rPr>
      </w:pPr>
      <w:r>
        <w:rPr>
          <w:rStyle w:val="Heading2Char"/>
        </w:rPr>
        <w:t>Noul CFM 2028-2034, cu posibila modificare a politicii de coeziune, prezintă riscuri pentru SMR, deoarece elaborarea la nivel național a planurilor de parteneriat ar putea slăbi dimensiunea lor transnațională, ar putea limita cooperarea și ar putea centraliza gestionarea programelor.</w:t>
      </w:r>
    </w:p>
    <w:p w14:paraId="5DB995CA" w14:textId="77777777" w:rsidR="00B5283E" w:rsidRPr="004764EE" w:rsidRDefault="00B5283E"/>
    <w:p w14:paraId="4F748411" w14:textId="70E6DFC3" w:rsidR="00B5283E" w:rsidRPr="004764EE" w:rsidRDefault="007A37F7">
      <w:pPr>
        <w:pStyle w:val="Heading2"/>
      </w:pPr>
      <w:r>
        <w:t xml:space="preserve">Întrucât fiecare stat membru va avea propriul plan de parteneriat, strategiile și prioritățile pot fi divergente, complicând coordonarea SMR. Proiectele comune riscă să fie întârziate de cicluri de </w:t>
      </w:r>
      <w:r>
        <w:lastRenderedPageBreak/>
        <w:t>finanțare nealiniate, în timp ce regiunile cu o guvernanță mai slabă ar putea avea o capacitate mai redusă de a influența planurile naționale și de a accesa fonduri, ceea ce ar exacerba inegalitățile.</w:t>
      </w:r>
    </w:p>
    <w:p w14:paraId="43FB5CB6" w14:textId="77777777" w:rsidR="00B5283E" w:rsidRPr="004764EE" w:rsidRDefault="00B5283E">
      <w:pPr>
        <w:pStyle w:val="ListParagraph"/>
        <w:ind w:left="0"/>
      </w:pPr>
    </w:p>
    <w:p w14:paraId="2DC853D0" w14:textId="57F8C5DC" w:rsidR="00B5283E" w:rsidRPr="004764EE" w:rsidRDefault="00B5283E">
      <w:pPr>
        <w:pStyle w:val="Heading3"/>
      </w:pPr>
      <w:r>
        <w:t>Pentru CESE, actorii-cheie din cadrul SMR ar trebui să urmărească următoarele aspecte:</w:t>
      </w:r>
    </w:p>
    <w:p w14:paraId="7DCB7C3C" w14:textId="77777777" w:rsidR="004764EE" w:rsidRPr="004764EE" w:rsidRDefault="004764EE">
      <w:pPr>
        <w:ind w:left="567"/>
      </w:pPr>
    </w:p>
    <w:p w14:paraId="7536188A" w14:textId="3F7D8271" w:rsidR="007A37F7" w:rsidRPr="004764EE" w:rsidRDefault="007A37F7">
      <w:pPr>
        <w:pStyle w:val="ListParagraph"/>
        <w:numPr>
          <w:ilvl w:val="1"/>
          <w:numId w:val="4"/>
        </w:numPr>
        <w:ind w:left="1134" w:hanging="425"/>
        <w:outlineLvl w:val="1"/>
      </w:pPr>
      <w:r>
        <w:t xml:space="preserve">să se asigure că prioritățile </w:t>
      </w:r>
      <w:proofErr w:type="spellStart"/>
      <w:r>
        <w:t>macroregionale</w:t>
      </w:r>
      <w:proofErr w:type="spellEnd"/>
      <w:r>
        <w:t xml:space="preserve"> sunt integrate în planurile de parteneriat naționale și regionale, interacționând în timp util cu guvernele și integrând cooperarea transfrontalieră;</w:t>
      </w:r>
    </w:p>
    <w:p w14:paraId="1BE7F5EC" w14:textId="36EC7D6A" w:rsidR="00B5283E" w:rsidRPr="004764EE" w:rsidRDefault="00D24B61">
      <w:pPr>
        <w:pStyle w:val="ListParagraph"/>
        <w:numPr>
          <w:ilvl w:val="1"/>
          <w:numId w:val="4"/>
        </w:numPr>
        <w:ind w:left="1134" w:hanging="425"/>
        <w:outlineLvl w:val="1"/>
      </w:pPr>
      <w:r>
        <w:t>să elaboreze documente strategice cu obiective clare, indicatori măsurabili și dovezi ale necesității, consolidându-și pozițiile în cadrul negocierilor;</w:t>
      </w:r>
    </w:p>
    <w:p w14:paraId="576E7929" w14:textId="757C3C26" w:rsidR="00D24B61" w:rsidRPr="004764EE" w:rsidRDefault="00D24B61">
      <w:pPr>
        <w:pStyle w:val="ListParagraph"/>
        <w:numPr>
          <w:ilvl w:val="1"/>
          <w:numId w:val="4"/>
        </w:numPr>
        <w:ind w:left="1134" w:hanging="425"/>
        <w:outlineLvl w:val="1"/>
      </w:pPr>
      <w:r>
        <w:t>să promoveze cooperarea transfrontalieră în cadrul planurilor naționale/regionale, cu alocări specifice și monitorizare pentru proiecte comune și ecologice;</w:t>
      </w:r>
    </w:p>
    <w:p w14:paraId="04636713" w14:textId="4F43D483" w:rsidR="00A524ED" w:rsidRPr="004764EE" w:rsidRDefault="00D24B61">
      <w:pPr>
        <w:pStyle w:val="ListParagraph"/>
        <w:numPr>
          <w:ilvl w:val="1"/>
          <w:numId w:val="4"/>
        </w:numPr>
        <w:ind w:left="1134" w:hanging="425"/>
        <w:outlineLvl w:val="1"/>
      </w:pPr>
      <w:r>
        <w:t>să evite consultarea formală a societății civile și a partenerilor sociali, garantând totodată mecanisme reale de participare și reprezentare.</w:t>
      </w:r>
    </w:p>
    <w:p w14:paraId="45BFEC9F" w14:textId="77777777" w:rsidR="00DE0726" w:rsidRPr="004764EE" w:rsidRDefault="00DE0726">
      <w:pPr>
        <w:outlineLvl w:val="1"/>
      </w:pPr>
    </w:p>
    <w:p w14:paraId="7FEE1029" w14:textId="77777777" w:rsidR="00AC2C5E" w:rsidRPr="004764EE" w:rsidRDefault="00AC2C5E">
      <w:pPr>
        <w:pStyle w:val="Heading1"/>
        <w:rPr>
          <w:b/>
          <w:bCs/>
        </w:rPr>
      </w:pPr>
      <w:r>
        <w:rPr>
          <w:b/>
        </w:rPr>
        <w:t>Elemente suplimentare despre EUSAIR</w:t>
      </w:r>
    </w:p>
    <w:p w14:paraId="2BAF3F6D" w14:textId="77777777" w:rsidR="00553171" w:rsidRPr="004764EE" w:rsidRDefault="00553171" w:rsidP="00CF6418">
      <w:pPr>
        <w:spacing w:line="240" w:lineRule="auto"/>
        <w:outlineLvl w:val="1"/>
      </w:pPr>
    </w:p>
    <w:p w14:paraId="163E73C1" w14:textId="3557653A" w:rsidR="00553171" w:rsidRPr="004764EE" w:rsidRDefault="00553171">
      <w:pPr>
        <w:pStyle w:val="Heading2"/>
      </w:pPr>
      <w:r>
        <w:t xml:space="preserve">CESE salută revizuirea Strategiei UE pentru regiunea </w:t>
      </w:r>
      <w:proofErr w:type="spellStart"/>
      <w:r>
        <w:t>adriatico</w:t>
      </w:r>
      <w:proofErr w:type="spellEnd"/>
      <w:r>
        <w:t>-ionică și recunoaște progresele înregistrate în primii zece ani de punere în aplicare. Actualizarea planului de acțiune, extinderea priorităților și consolidarea sistemului de monitorizare sunt măsuri necesare pentru a aborda noile provocări geopolitice și ecologice.</w:t>
      </w:r>
    </w:p>
    <w:p w14:paraId="48197A50" w14:textId="77777777" w:rsidR="00553171" w:rsidRPr="004764EE" w:rsidRDefault="00553171" w:rsidP="00CF6418">
      <w:pPr>
        <w:spacing w:line="240" w:lineRule="auto"/>
        <w:outlineLvl w:val="1"/>
      </w:pPr>
    </w:p>
    <w:p w14:paraId="43D21D9D" w14:textId="62D7178B" w:rsidR="00553171" w:rsidRPr="004764EE" w:rsidRDefault="00553171">
      <w:pPr>
        <w:pStyle w:val="Heading2"/>
      </w:pPr>
      <w:r>
        <w:t xml:space="preserve">Comitetul subliniază importanța unui angajament politic la nivel înalt și pe termen lung al țărilor participante. Numai printr-o guvernanță comună și stabilă va fi posibil să se garanteze coerența și eficacitatea în atingerea obiectivelor strategice și în consolidarea cooperării </w:t>
      </w:r>
      <w:proofErr w:type="spellStart"/>
      <w:r>
        <w:t>macroregionale</w:t>
      </w:r>
      <w:proofErr w:type="spellEnd"/>
      <w:r>
        <w:t>.</w:t>
      </w:r>
    </w:p>
    <w:p w14:paraId="6EC6F530" w14:textId="77777777" w:rsidR="00553171" w:rsidRPr="004764EE" w:rsidRDefault="00553171" w:rsidP="00CF6418">
      <w:pPr>
        <w:pStyle w:val="ListParagraph"/>
        <w:spacing w:line="240" w:lineRule="auto"/>
        <w:ind w:left="0"/>
      </w:pPr>
    </w:p>
    <w:p w14:paraId="06F4EA7E" w14:textId="0A3349CF" w:rsidR="00553171" w:rsidRPr="004764EE" w:rsidRDefault="00553171">
      <w:pPr>
        <w:pStyle w:val="Heading2"/>
      </w:pPr>
      <w:r>
        <w:t>CESE sprijină pe deplin noul plan de acțiune, care propune soluții concrete și inovatoare pentru a valorifica oportunitățile economice, sociale și ecologice din regiune. De asemenea, Comitetul invită Comisia să mențină un rol activ în sprijinul tehnic și financiar, astfel încât strategia să poată aduce beneficii concrete cetățenilor și teritoriilor implicate.</w:t>
      </w:r>
    </w:p>
    <w:p w14:paraId="7CD4A602" w14:textId="77777777" w:rsidR="00553171" w:rsidRPr="004764EE" w:rsidRDefault="00553171">
      <w:pPr>
        <w:pStyle w:val="ListParagraph"/>
        <w:ind w:left="0"/>
      </w:pPr>
    </w:p>
    <w:p w14:paraId="14EF005C" w14:textId="6CA33EDF" w:rsidR="00226814" w:rsidRPr="004764EE" w:rsidRDefault="00553171">
      <w:pPr>
        <w:pStyle w:val="Heading2"/>
        <w:rPr>
          <w:b/>
          <w:bCs/>
        </w:rPr>
      </w:pPr>
      <w:r>
        <w:rPr>
          <w:b/>
        </w:rPr>
        <w:t>Pilonii strategiei</w:t>
      </w:r>
    </w:p>
    <w:p w14:paraId="2FED8E35" w14:textId="77777777" w:rsidR="00226814" w:rsidRPr="004764EE" w:rsidRDefault="00226814" w:rsidP="00CF6418">
      <w:pPr>
        <w:pStyle w:val="ListParagraph"/>
        <w:spacing w:line="240" w:lineRule="auto"/>
        <w:ind w:left="0"/>
      </w:pPr>
    </w:p>
    <w:p w14:paraId="206AC7CD" w14:textId="4A9C3DB6" w:rsidR="00226814" w:rsidRPr="004764EE" w:rsidRDefault="00D24B61">
      <w:pPr>
        <w:pStyle w:val="Heading3"/>
      </w:pPr>
      <w:r>
        <w:t xml:space="preserve">Strategia UE pentru regiunea </w:t>
      </w:r>
      <w:proofErr w:type="spellStart"/>
      <w:r>
        <w:t>adriatico</w:t>
      </w:r>
      <w:proofErr w:type="spellEnd"/>
      <w:r>
        <w:t>-ionică, bazată pe cinci piloni economici, sociali și ecologici, promovează cooperarea și dezvoltarea sustenabilă. Planul de acțiune revizuit îi consolidează coerența și introduce soluții inovatoare.</w:t>
      </w:r>
    </w:p>
    <w:p w14:paraId="64FDC0B4" w14:textId="77777777" w:rsidR="00226814" w:rsidRPr="004764EE" w:rsidRDefault="00226814" w:rsidP="00CF6418">
      <w:pPr>
        <w:pStyle w:val="ListParagraph"/>
        <w:spacing w:line="240" w:lineRule="auto"/>
        <w:ind w:left="0"/>
      </w:pPr>
    </w:p>
    <w:p w14:paraId="6101D246" w14:textId="77777777" w:rsidR="00226814" w:rsidRPr="004764EE" w:rsidRDefault="00226814">
      <w:pPr>
        <w:pStyle w:val="Heading3"/>
      </w:pPr>
      <w:r>
        <w:t>Transporturi și energie: Îmbunătățirea infrastructurii rutiere și feroviare, promovarea mobilității sustenabile și a unui sistem portuar competitiv. Consolidarea securității energetice, integrarea surselor regenerabile de energie și decarbonizare.</w:t>
      </w:r>
    </w:p>
    <w:p w14:paraId="1DECB9FF" w14:textId="77777777" w:rsidR="00226814" w:rsidRPr="004764EE" w:rsidRDefault="00226814" w:rsidP="00CF6418">
      <w:pPr>
        <w:pStyle w:val="ListParagraph"/>
        <w:spacing w:line="240" w:lineRule="auto"/>
        <w:ind w:left="0"/>
      </w:pPr>
    </w:p>
    <w:p w14:paraId="1707A1E1" w14:textId="1164BF0B" w:rsidR="00226814" w:rsidRPr="004764EE" w:rsidRDefault="00226814">
      <w:pPr>
        <w:pStyle w:val="Heading3"/>
      </w:pPr>
      <w:r>
        <w:t>Mediu: Combaterea schimbărilor climatice, a poluării și a pierderii biodiversității marine și costiere. Promovarea cooperării transfrontaliere și a gestionării sustenabile a resurselor naturale.</w:t>
      </w:r>
    </w:p>
    <w:p w14:paraId="71E01DC9" w14:textId="77777777" w:rsidR="00FB6294" w:rsidRPr="004764EE" w:rsidRDefault="00FB6294" w:rsidP="00CF6418">
      <w:pPr>
        <w:spacing w:line="240" w:lineRule="auto"/>
      </w:pPr>
    </w:p>
    <w:p w14:paraId="41FC95BF" w14:textId="77777777" w:rsidR="00FB6294" w:rsidRPr="004764EE" w:rsidRDefault="00FB6294">
      <w:pPr>
        <w:pStyle w:val="Heading3"/>
      </w:pPr>
      <w:r>
        <w:t>Turismul sustenabil: Gestionarea fluxurilor turistice într-un mod echilibrat, sprijinirea turismului rural și promovarea alimentației mediteraneene. Promovarea competitivității și a sustenabilității în sectorul agroalimentar și în cel al turismului.</w:t>
      </w:r>
    </w:p>
    <w:p w14:paraId="1209A58B" w14:textId="77777777" w:rsidR="00FB6294" w:rsidRPr="004764EE" w:rsidRDefault="00FB6294">
      <w:pPr>
        <w:pStyle w:val="ListParagraph"/>
        <w:ind w:left="0"/>
      </w:pPr>
    </w:p>
    <w:p w14:paraId="2A4DCE49" w14:textId="23EE5AF7" w:rsidR="00FB6294" w:rsidRPr="004764EE" w:rsidRDefault="00FB6294">
      <w:pPr>
        <w:pStyle w:val="Heading3"/>
      </w:pPr>
      <w:r>
        <w:t>O mai mare coeziune socială: Abordarea dezechilibrelor demografice, a șomajului și a sărăciei. Consolidarea incluziunii, a competențelor și a participării tinerilor, prin dezvoltarea unui ecosistem favorabil inovării sociale.</w:t>
      </w:r>
    </w:p>
    <w:p w14:paraId="05EF901A" w14:textId="77777777" w:rsidR="00FB6294" w:rsidRPr="004764EE" w:rsidRDefault="00FB6294">
      <w:pPr>
        <w:pStyle w:val="ListParagraph"/>
        <w:ind w:left="0"/>
      </w:pPr>
    </w:p>
    <w:p w14:paraId="1B6406A0" w14:textId="10A4AAD0" w:rsidR="00FB6294" w:rsidRPr="004764EE" w:rsidRDefault="00FB6294">
      <w:pPr>
        <w:pStyle w:val="Heading2"/>
      </w:pPr>
      <w:r>
        <w:rPr>
          <w:b/>
        </w:rPr>
        <w:t>Teme orizontale și transversale</w:t>
      </w:r>
    </w:p>
    <w:p w14:paraId="099AA558" w14:textId="77777777" w:rsidR="00FB6294" w:rsidRPr="004764EE" w:rsidRDefault="00FB6294">
      <w:pPr>
        <w:pStyle w:val="ListParagraph"/>
        <w:ind w:left="0"/>
      </w:pPr>
    </w:p>
    <w:p w14:paraId="7CA78C90" w14:textId="0A248DC6" w:rsidR="00FB6294" w:rsidRPr="004764EE" w:rsidRDefault="00D24B61">
      <w:pPr>
        <w:pStyle w:val="Heading3"/>
      </w:pPr>
      <w:r>
        <w:t xml:space="preserve">Revizuirea planului de acțiune a identificat teme potențial autonome, dar care se suprapun cu alte domenii; pentru a evita fragmentarea, ele au fost integrate ca teme transversale. CESE salută această opțiune care consolidează coerența, </w:t>
      </w:r>
      <w:proofErr w:type="spellStart"/>
      <w:r>
        <w:t>sinergiile</w:t>
      </w:r>
      <w:proofErr w:type="spellEnd"/>
      <w:r>
        <w:t xml:space="preserve"> și eficacitatea politicilor.</w:t>
      </w:r>
    </w:p>
    <w:p w14:paraId="0DFC2206" w14:textId="77777777" w:rsidR="00FB6294" w:rsidRPr="004764EE" w:rsidRDefault="00FB6294">
      <w:pPr>
        <w:pStyle w:val="ListParagraph"/>
        <w:ind w:left="0"/>
      </w:pPr>
    </w:p>
    <w:p w14:paraId="3F4221E1" w14:textId="773C9495" w:rsidR="00FB6294" w:rsidRPr="004764EE" w:rsidRDefault="00D24B61">
      <w:pPr>
        <w:pStyle w:val="Heading3"/>
      </w:pPr>
      <w:r>
        <w:t>Extinderea, devenită prioritară după debutul războiului din Ucraina, este sprijinită de strategia ce ajută țările candidate să se alinieze la standardele UE. O guvernanță eficace necesită o capacitate administrativă solidă și coordonare instituțională. De asemenea, planul promovează cercetarea și inovarea, sprijinind IMM-urile, întreprinderile nou-înființate și strategiile de specializare inteligentă.</w:t>
      </w:r>
    </w:p>
    <w:p w14:paraId="671A7E3E" w14:textId="77777777" w:rsidR="00FB6294" w:rsidRPr="004764EE" w:rsidRDefault="00FB6294">
      <w:pPr>
        <w:pStyle w:val="ListParagraph"/>
        <w:ind w:left="0"/>
      </w:pPr>
    </w:p>
    <w:p w14:paraId="7D175797" w14:textId="6A1D1209" w:rsidR="00FB6294" w:rsidRPr="004764EE" w:rsidRDefault="00D24B61">
      <w:pPr>
        <w:pStyle w:val="Heading3"/>
      </w:pPr>
      <w:r>
        <w:t xml:space="preserve">Neutralitatea climatică se bazează pe o economie circulară ce reduce deșeurile și presiunea exercitată asupra mediului, integrând energia din surse regenerabile, tehnologiile ecologice și turismul sustenabil. Dezvoltarea rurală ecologică consolidează comunitățile </w:t>
      </w:r>
      <w:proofErr w:type="spellStart"/>
      <w:r>
        <w:t>reziliente</w:t>
      </w:r>
      <w:proofErr w:type="spellEnd"/>
      <w:r>
        <w:t>, în timp ce digitalizarea creează centre inovatoare și rețele conectate în beneficiul cetățenilor și al întreprinderilor.</w:t>
      </w:r>
    </w:p>
    <w:p w14:paraId="038829A1" w14:textId="77777777" w:rsidR="00FB6294" w:rsidRPr="004764EE" w:rsidRDefault="00FB6294">
      <w:pPr>
        <w:pStyle w:val="ListParagraph"/>
        <w:ind w:left="0"/>
      </w:pPr>
    </w:p>
    <w:p w14:paraId="190FD307" w14:textId="070C3646" w:rsidR="00E11C4F" w:rsidRPr="004764EE" w:rsidRDefault="00D24B61">
      <w:pPr>
        <w:pStyle w:val="Heading3"/>
      </w:pPr>
      <w:r>
        <w:t xml:space="preserve">CESE subliniază necesitatea unei guvernanțe mai eficiente și constante pentru Strategia </w:t>
      </w:r>
      <w:proofErr w:type="spellStart"/>
      <w:r>
        <w:t>adriatico</w:t>
      </w:r>
      <w:proofErr w:type="spellEnd"/>
      <w:r>
        <w:t>-ionică. Planul revizuit consolidează abordarea ce vizează rezultate, valorifică diversele niveluri instituționale și – prin intermediul președinției prin rotație și al grupurilor tematice – asigură punerea în aplicare și coordonarea, promovând implicarea societății civile și a tinerilor.</w:t>
      </w:r>
    </w:p>
    <w:p w14:paraId="0F1F617A" w14:textId="77777777" w:rsidR="00E11C4F" w:rsidRDefault="00E11C4F"/>
    <w:p w14:paraId="6A03BFEE" w14:textId="6BBC9F9E" w:rsidR="008C79E9" w:rsidRDefault="008C79E9">
      <w:r>
        <w:t>Bruxelles, 20 noiembrie 2025</w:t>
      </w:r>
    </w:p>
    <w:p w14:paraId="62D1A8EE" w14:textId="77777777" w:rsidR="008C79E9" w:rsidRDefault="008C79E9"/>
    <w:p w14:paraId="585D62FD" w14:textId="77777777" w:rsidR="00983B42" w:rsidRDefault="00983B42"/>
    <w:p w14:paraId="0FCEDE17" w14:textId="77777777" w:rsidR="008C79E9" w:rsidRPr="009E650E" w:rsidRDefault="008C79E9">
      <w:pPr>
        <w:overflowPunct w:val="0"/>
        <w:autoSpaceDE w:val="0"/>
        <w:autoSpaceDN w:val="0"/>
        <w:adjustRightInd w:val="0"/>
        <w:textAlignment w:val="baseline"/>
        <w:rPr>
          <w:i/>
          <w:iCs/>
          <w:szCs w:val="20"/>
        </w:rPr>
      </w:pPr>
      <w:r>
        <w:rPr>
          <w:i/>
        </w:rPr>
        <w:t xml:space="preserve">Președinta Secțiunii pentru uniunea economică și monetară și coeziune economică și socială </w:t>
      </w:r>
    </w:p>
    <w:p w14:paraId="0E2AC192" w14:textId="2ED2CB5F" w:rsidR="008C79E9" w:rsidRPr="009E650E" w:rsidRDefault="008C79E9">
      <w:pPr>
        <w:overflowPunct w:val="0"/>
        <w:autoSpaceDE w:val="0"/>
        <w:autoSpaceDN w:val="0"/>
        <w:adjustRightInd w:val="0"/>
        <w:jc w:val="left"/>
        <w:textAlignment w:val="baseline"/>
        <w:rPr>
          <w:szCs w:val="20"/>
        </w:rPr>
      </w:pPr>
      <w:r>
        <w:t>Elena CALISTRU</w:t>
      </w:r>
    </w:p>
    <w:p w14:paraId="7F02CF3B" w14:textId="77777777" w:rsidR="008C79E9" w:rsidRPr="004764EE" w:rsidRDefault="008C79E9"/>
    <w:p w14:paraId="5B3BE5E5" w14:textId="418C1A1F" w:rsidR="00646AC2" w:rsidRPr="004764EE" w:rsidRDefault="00E11C4F" w:rsidP="002372E3">
      <w:pPr>
        <w:jc w:val="center"/>
      </w:pPr>
      <w:r>
        <w:t>_____________</w:t>
      </w:r>
    </w:p>
    <w:sectPr w:rsidR="00646AC2" w:rsidRPr="004764EE" w:rsidSect="002F0369">
      <w:headerReference w:type="even" r:id="rId15"/>
      <w:headerReference w:type="default" r:id="rId16"/>
      <w:footerReference w:type="even" r:id="rId17"/>
      <w:footerReference w:type="default" r:id="rId18"/>
      <w:headerReference w:type="first" r:id="rId19"/>
      <w:footerReference w:type="first" r:id="rId20"/>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0EBE79" w14:textId="77777777" w:rsidR="002E2747" w:rsidRDefault="002E2747">
      <w:r>
        <w:separator/>
      </w:r>
    </w:p>
  </w:endnote>
  <w:endnote w:type="continuationSeparator" w:id="0">
    <w:p w14:paraId="6B64BFCD" w14:textId="77777777" w:rsidR="002E2747" w:rsidRDefault="002E27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00209" w14:textId="6187C22B" w:rsidR="00E11C4F" w:rsidRPr="002F0369" w:rsidRDefault="002F0369" w:rsidP="002F0369">
    <w:pPr>
      <w:pStyle w:val="Footer"/>
    </w:pPr>
    <w:r>
      <w:t>ECO/675 – EESC-2025-02216-00-0</w:t>
    </w:r>
    <w:r w:rsidR="00B42860">
      <w:t>1</w:t>
    </w:r>
    <w:r>
      <w:t xml:space="preserve">-AS-TRA (EN) </w:t>
    </w:r>
    <w:r>
      <w:fldChar w:fldCharType="begin"/>
    </w:r>
    <w:r>
      <w:instrText xml:space="preserve"> PAGE  \* Arabic  \* MERGEFORMAT </w:instrText>
    </w:r>
    <w:r>
      <w:fldChar w:fldCharType="separate"/>
    </w:r>
    <w:r w:rsidR="00863773">
      <w:t>1</w:t>
    </w:r>
    <w:r>
      <w:fldChar w:fldCharType="end"/>
    </w:r>
    <w:r>
      <w:t>/</w:t>
    </w:r>
    <w:r w:rsidR="00E964FD">
      <w:fldChar w:fldCharType="begin"/>
    </w:r>
    <w:r w:rsidR="00E964FD">
      <w:instrText xml:space="preserve"> NUMPAGES </w:instrText>
    </w:r>
    <w:r w:rsidR="00E964FD">
      <w:fldChar w:fldCharType="separate"/>
    </w:r>
    <w:r w:rsidR="00863773">
      <w:t>1</w:t>
    </w:r>
    <w:r w:rsidR="00E964FD">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5C3E7" w14:textId="77777777" w:rsidR="00EA183E" w:rsidRPr="002F0369" w:rsidRDefault="00EA183E" w:rsidP="002F036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467F6" w14:textId="5F4CB567" w:rsidR="00EA183E" w:rsidRPr="002F0369" w:rsidRDefault="002F0369" w:rsidP="002F0369">
    <w:pPr>
      <w:pStyle w:val="Footer"/>
    </w:pPr>
    <w:r>
      <w:t>ECO/675 – EESC-2025-02216-00-0</w:t>
    </w:r>
    <w:r w:rsidR="00B42860">
      <w:t>1</w:t>
    </w:r>
    <w:r>
      <w:t xml:space="preserve">-AS-TRA (EN) </w:t>
    </w:r>
    <w:r>
      <w:fldChar w:fldCharType="begin"/>
    </w:r>
    <w:r>
      <w:instrText xml:space="preserve"> PAGE  \* Arabic  \* MERGEFORMAT </w:instrText>
    </w:r>
    <w:r>
      <w:fldChar w:fldCharType="separate"/>
    </w:r>
    <w:r>
      <w:t>2</w:t>
    </w:r>
    <w:r>
      <w:fldChar w:fldCharType="end"/>
    </w:r>
    <w:r>
      <w:t>/</w:t>
    </w:r>
    <w:r w:rsidR="00E964FD">
      <w:fldChar w:fldCharType="begin"/>
    </w:r>
    <w:r w:rsidR="00E964FD">
      <w:instrText xml:space="preserve"> NUMPAGES </w:instrText>
    </w:r>
    <w:r w:rsidR="00E964FD">
      <w:fldChar w:fldCharType="separate"/>
    </w:r>
    <w:r>
      <w:t>14</w:t>
    </w:r>
    <w:r w:rsidR="00E964FD">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A9BD8" w14:textId="59758D57" w:rsidR="00741377" w:rsidRPr="002F0369" w:rsidRDefault="00741377" w:rsidP="002F03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3F3BC" w14:textId="77777777" w:rsidR="002E2747" w:rsidRDefault="002E2747">
      <w:r>
        <w:separator/>
      </w:r>
    </w:p>
  </w:footnote>
  <w:footnote w:type="continuationSeparator" w:id="0">
    <w:p w14:paraId="2D350CAE" w14:textId="77777777" w:rsidR="002E2747" w:rsidRDefault="002E2747">
      <w:r>
        <w:continuationSeparator/>
      </w:r>
    </w:p>
  </w:footnote>
  <w:footnote w:id="1">
    <w:p w14:paraId="3DA04458" w14:textId="3CCE7676" w:rsidR="00B517A1" w:rsidRPr="006F52AA" w:rsidRDefault="00B517A1" w:rsidP="0038667B">
      <w:pPr>
        <w:pStyle w:val="FootnoteText"/>
      </w:pPr>
      <w:r>
        <w:rPr>
          <w:rStyle w:val="FootnoteReference"/>
        </w:rPr>
        <w:footnoteRef/>
      </w:r>
      <w:r>
        <w:tab/>
      </w:r>
      <w:hyperlink r:id="rId1" w:history="1">
        <w:r>
          <w:rPr>
            <w:rStyle w:val="Hyperlink"/>
          </w:rPr>
          <w:t>Comunicarea comună către Parlamentul European, Consiliu, Comitetul Economic și Social European și Comitetul Regiunilor: „Pactul pentru Mediterana.</w:t>
        </w:r>
      </w:hyperlink>
      <w:hyperlink r:id="rId2" w:history="1">
        <w:r>
          <w:rPr>
            <w:rStyle w:val="Hyperlink"/>
          </w:rPr>
          <w:t>O mare, un pact, un viitor, (JOIN/2025/26 final).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C0786" w14:textId="77777777" w:rsidR="00EA183E" w:rsidRPr="002F0369" w:rsidRDefault="00EA183E" w:rsidP="002F03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0B4" w14:textId="20239505" w:rsidR="00EA183E" w:rsidRPr="002F0369" w:rsidRDefault="00EA183E" w:rsidP="002F036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1F1BE" w14:textId="0DBC18DA" w:rsidR="00741377" w:rsidRPr="002F0369" w:rsidRDefault="00741377" w:rsidP="002F03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33CEC2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i w:val="0"/>
        <w:iCs/>
      </w:rPr>
    </w:lvl>
    <w:lvl w:ilvl="2">
      <w:start w:val="1"/>
      <w:numFmt w:val="decimal"/>
      <w:pStyle w:val="Heading3"/>
      <w:lvlText w:val="%1.%2.%3"/>
      <w:legacy w:legacy="1" w:legacySpace="144" w:legacyIndent="0"/>
      <w:lvlJc w:val="left"/>
      <w:rPr>
        <w:color w:val="auto"/>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1DD4182F"/>
    <w:multiLevelType w:val="multilevel"/>
    <w:tmpl w:val="0B56457A"/>
    <w:lvl w:ilvl="0">
      <w:start w:val="1"/>
      <w:numFmt w:val="decimal"/>
      <w:lvlText w:val="%11.4.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88242A6"/>
    <w:multiLevelType w:val="multilevel"/>
    <w:tmpl w:val="B2D41AA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i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341F3794"/>
    <w:multiLevelType w:val="hybridMultilevel"/>
    <w:tmpl w:val="D2E06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32C7470"/>
    <w:multiLevelType w:val="multilevel"/>
    <w:tmpl w:val="DF1CCD3C"/>
    <w:lvl w:ilvl="0">
      <w:start w:val="2"/>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60851191"/>
    <w:multiLevelType w:val="multilevel"/>
    <w:tmpl w:val="AB708E62"/>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15:restartNumberingAfterBreak="0">
    <w:nsid w:val="7E0C6570"/>
    <w:multiLevelType w:val="hybridMultilevel"/>
    <w:tmpl w:val="43F2EFC4"/>
    <w:lvl w:ilvl="0" w:tplc="04100001">
      <w:start w:val="1"/>
      <w:numFmt w:val="bullet"/>
      <w:lvlText w:val=""/>
      <w:lvlJc w:val="left"/>
      <w:pPr>
        <w:ind w:left="720" w:hanging="360"/>
      </w:pPr>
      <w:rPr>
        <w:rFonts w:ascii="Symbol" w:hAnsi="Symbol" w:hint="default"/>
      </w:rPr>
    </w:lvl>
    <w:lvl w:ilvl="1" w:tplc="20000001">
      <w:start w:val="1"/>
      <w:numFmt w:val="bullet"/>
      <w:lvlText w:val=""/>
      <w:lvlJc w:val="left"/>
      <w:pPr>
        <w:ind w:left="927" w:hanging="360"/>
      </w:pPr>
      <w:rPr>
        <w:rFonts w:ascii="Symbol" w:hAnsi="Symbol"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6"/>
  </w:num>
  <w:num w:numId="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1">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9">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3">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0">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8">
    <w:abstractNumId w:val="2"/>
  </w:num>
  <w:num w:numId="69">
    <w:abstractNumId w:val="5"/>
  </w:num>
  <w:num w:numId="70">
    <w:abstractNumId w:val="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hideSpellingErrors/>
  <w:hideGrammaticalError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7F8F"/>
    <w:rsid w:val="0000533D"/>
    <w:rsid w:val="00005AB9"/>
    <w:rsid w:val="00005EB9"/>
    <w:rsid w:val="00006E24"/>
    <w:rsid w:val="00007A40"/>
    <w:rsid w:val="00011D33"/>
    <w:rsid w:val="00012161"/>
    <w:rsid w:val="00012885"/>
    <w:rsid w:val="00020E6E"/>
    <w:rsid w:val="000304D2"/>
    <w:rsid w:val="00031A4B"/>
    <w:rsid w:val="00033913"/>
    <w:rsid w:val="00033E5B"/>
    <w:rsid w:val="000357A8"/>
    <w:rsid w:val="00036C2A"/>
    <w:rsid w:val="000430A6"/>
    <w:rsid w:val="000431EB"/>
    <w:rsid w:val="00044923"/>
    <w:rsid w:val="0005249C"/>
    <w:rsid w:val="000534A5"/>
    <w:rsid w:val="000550BE"/>
    <w:rsid w:val="0005680D"/>
    <w:rsid w:val="00063FB4"/>
    <w:rsid w:val="00067209"/>
    <w:rsid w:val="0006793E"/>
    <w:rsid w:val="00072E0F"/>
    <w:rsid w:val="000735E5"/>
    <w:rsid w:val="0007392F"/>
    <w:rsid w:val="00083E31"/>
    <w:rsid w:val="00087B39"/>
    <w:rsid w:val="000911F0"/>
    <w:rsid w:val="00092A89"/>
    <w:rsid w:val="0009466D"/>
    <w:rsid w:val="00096502"/>
    <w:rsid w:val="000A49BB"/>
    <w:rsid w:val="000A7BE0"/>
    <w:rsid w:val="000C3441"/>
    <w:rsid w:val="000C400E"/>
    <w:rsid w:val="000C7F53"/>
    <w:rsid w:val="000D2F8E"/>
    <w:rsid w:val="000D7FB5"/>
    <w:rsid w:val="000D7FC1"/>
    <w:rsid w:val="000E1E7D"/>
    <w:rsid w:val="000F0C6C"/>
    <w:rsid w:val="000F196B"/>
    <w:rsid w:val="000F22DA"/>
    <w:rsid w:val="000F30C0"/>
    <w:rsid w:val="001015BF"/>
    <w:rsid w:val="001037BA"/>
    <w:rsid w:val="00105361"/>
    <w:rsid w:val="001101F8"/>
    <w:rsid w:val="0011102D"/>
    <w:rsid w:val="0011206F"/>
    <w:rsid w:val="0011656A"/>
    <w:rsid w:val="0012220C"/>
    <w:rsid w:val="0013664F"/>
    <w:rsid w:val="00136EA3"/>
    <w:rsid w:val="00137575"/>
    <w:rsid w:val="00142389"/>
    <w:rsid w:val="00144231"/>
    <w:rsid w:val="00150434"/>
    <w:rsid w:val="0015073A"/>
    <w:rsid w:val="00150BEA"/>
    <w:rsid w:val="00155721"/>
    <w:rsid w:val="0015678B"/>
    <w:rsid w:val="001600ED"/>
    <w:rsid w:val="0016503F"/>
    <w:rsid w:val="0016674F"/>
    <w:rsid w:val="00167CA0"/>
    <w:rsid w:val="0017120D"/>
    <w:rsid w:val="001714F6"/>
    <w:rsid w:val="00176168"/>
    <w:rsid w:val="00177158"/>
    <w:rsid w:val="001808A5"/>
    <w:rsid w:val="00184FD4"/>
    <w:rsid w:val="00186B04"/>
    <w:rsid w:val="00186F1E"/>
    <w:rsid w:val="0018721C"/>
    <w:rsid w:val="00190836"/>
    <w:rsid w:val="00193930"/>
    <w:rsid w:val="00194633"/>
    <w:rsid w:val="001963A5"/>
    <w:rsid w:val="00196F1E"/>
    <w:rsid w:val="00197FCA"/>
    <w:rsid w:val="001A27DB"/>
    <w:rsid w:val="001A5DB5"/>
    <w:rsid w:val="001A6852"/>
    <w:rsid w:val="001A7B70"/>
    <w:rsid w:val="001B048A"/>
    <w:rsid w:val="001B0FDF"/>
    <w:rsid w:val="001B286A"/>
    <w:rsid w:val="001B2D02"/>
    <w:rsid w:val="001B3472"/>
    <w:rsid w:val="001B3647"/>
    <w:rsid w:val="001B77FA"/>
    <w:rsid w:val="001C0ABE"/>
    <w:rsid w:val="001C4648"/>
    <w:rsid w:val="001C5852"/>
    <w:rsid w:val="001D45F0"/>
    <w:rsid w:val="001E4A33"/>
    <w:rsid w:val="001E5C27"/>
    <w:rsid w:val="001F602B"/>
    <w:rsid w:val="001F6AC8"/>
    <w:rsid w:val="002002F6"/>
    <w:rsid w:val="002037D5"/>
    <w:rsid w:val="00204C2D"/>
    <w:rsid w:val="00206F90"/>
    <w:rsid w:val="0021258F"/>
    <w:rsid w:val="00212B03"/>
    <w:rsid w:val="002131AE"/>
    <w:rsid w:val="00215C10"/>
    <w:rsid w:val="00215C2D"/>
    <w:rsid w:val="00220FBB"/>
    <w:rsid w:val="002252C4"/>
    <w:rsid w:val="0022649A"/>
    <w:rsid w:val="00226814"/>
    <w:rsid w:val="0022692F"/>
    <w:rsid w:val="0023183E"/>
    <w:rsid w:val="00232C60"/>
    <w:rsid w:val="00235138"/>
    <w:rsid w:val="002372E3"/>
    <w:rsid w:val="00240622"/>
    <w:rsid w:val="0024175F"/>
    <w:rsid w:val="00243E36"/>
    <w:rsid w:val="0024540B"/>
    <w:rsid w:val="00245EF4"/>
    <w:rsid w:val="00250E11"/>
    <w:rsid w:val="00251383"/>
    <w:rsid w:val="002522C9"/>
    <w:rsid w:val="00252A21"/>
    <w:rsid w:val="00253E4F"/>
    <w:rsid w:val="002542E4"/>
    <w:rsid w:val="00261053"/>
    <w:rsid w:val="00262F31"/>
    <w:rsid w:val="00262FDE"/>
    <w:rsid w:val="00263041"/>
    <w:rsid w:val="00263629"/>
    <w:rsid w:val="00264880"/>
    <w:rsid w:val="00264C2C"/>
    <w:rsid w:val="002725FC"/>
    <w:rsid w:val="002769BD"/>
    <w:rsid w:val="00276A75"/>
    <w:rsid w:val="002809EA"/>
    <w:rsid w:val="00284962"/>
    <w:rsid w:val="00287B0E"/>
    <w:rsid w:val="002949C9"/>
    <w:rsid w:val="0029771D"/>
    <w:rsid w:val="002A0B53"/>
    <w:rsid w:val="002A0EEF"/>
    <w:rsid w:val="002A2112"/>
    <w:rsid w:val="002A309D"/>
    <w:rsid w:val="002A76F9"/>
    <w:rsid w:val="002B2DF7"/>
    <w:rsid w:val="002C1DB1"/>
    <w:rsid w:val="002C2F01"/>
    <w:rsid w:val="002C3BF4"/>
    <w:rsid w:val="002C749F"/>
    <w:rsid w:val="002D0742"/>
    <w:rsid w:val="002D1D78"/>
    <w:rsid w:val="002E2747"/>
    <w:rsid w:val="002E3C1C"/>
    <w:rsid w:val="002E745A"/>
    <w:rsid w:val="002E7B33"/>
    <w:rsid w:val="002F0369"/>
    <w:rsid w:val="002F059B"/>
    <w:rsid w:val="002F3921"/>
    <w:rsid w:val="002F3D9F"/>
    <w:rsid w:val="002F5B0B"/>
    <w:rsid w:val="00300346"/>
    <w:rsid w:val="00300924"/>
    <w:rsid w:val="0030596E"/>
    <w:rsid w:val="003073C3"/>
    <w:rsid w:val="00323637"/>
    <w:rsid w:val="00324E8A"/>
    <w:rsid w:val="00326210"/>
    <w:rsid w:val="00331D87"/>
    <w:rsid w:val="00332190"/>
    <w:rsid w:val="00332850"/>
    <w:rsid w:val="00334478"/>
    <w:rsid w:val="003346B4"/>
    <w:rsid w:val="00334AE6"/>
    <w:rsid w:val="003365D0"/>
    <w:rsid w:val="00342D4A"/>
    <w:rsid w:val="003439AB"/>
    <w:rsid w:val="00343A4B"/>
    <w:rsid w:val="00344ABC"/>
    <w:rsid w:val="0035034C"/>
    <w:rsid w:val="00354695"/>
    <w:rsid w:val="0035549B"/>
    <w:rsid w:val="003607DA"/>
    <w:rsid w:val="00361B36"/>
    <w:rsid w:val="00363CD0"/>
    <w:rsid w:val="003755C8"/>
    <w:rsid w:val="00375687"/>
    <w:rsid w:val="00380AE0"/>
    <w:rsid w:val="00383324"/>
    <w:rsid w:val="0038667B"/>
    <w:rsid w:val="00387A75"/>
    <w:rsid w:val="003904FD"/>
    <w:rsid w:val="00394254"/>
    <w:rsid w:val="003A7F3F"/>
    <w:rsid w:val="003B3451"/>
    <w:rsid w:val="003C1036"/>
    <w:rsid w:val="003C2BFB"/>
    <w:rsid w:val="003C436B"/>
    <w:rsid w:val="003C5337"/>
    <w:rsid w:val="003C5F92"/>
    <w:rsid w:val="003D7A8C"/>
    <w:rsid w:val="003D7C00"/>
    <w:rsid w:val="003E4BB8"/>
    <w:rsid w:val="003E56E5"/>
    <w:rsid w:val="003E7E60"/>
    <w:rsid w:val="003F00D4"/>
    <w:rsid w:val="003F2209"/>
    <w:rsid w:val="003F3D39"/>
    <w:rsid w:val="003F646A"/>
    <w:rsid w:val="003F6761"/>
    <w:rsid w:val="003F6A0A"/>
    <w:rsid w:val="004024F5"/>
    <w:rsid w:val="00402DE1"/>
    <w:rsid w:val="00403D8B"/>
    <w:rsid w:val="00404512"/>
    <w:rsid w:val="004058F1"/>
    <w:rsid w:val="0040744F"/>
    <w:rsid w:val="00407E7D"/>
    <w:rsid w:val="0041283D"/>
    <w:rsid w:val="00413AB4"/>
    <w:rsid w:val="0041706F"/>
    <w:rsid w:val="00421373"/>
    <w:rsid w:val="00421FB7"/>
    <w:rsid w:val="0042763B"/>
    <w:rsid w:val="0043024C"/>
    <w:rsid w:val="004333F4"/>
    <w:rsid w:val="00436706"/>
    <w:rsid w:val="004404AE"/>
    <w:rsid w:val="004439ED"/>
    <w:rsid w:val="00443D38"/>
    <w:rsid w:val="00450E7A"/>
    <w:rsid w:val="00456AF8"/>
    <w:rsid w:val="00470B15"/>
    <w:rsid w:val="00470B1F"/>
    <w:rsid w:val="00475869"/>
    <w:rsid w:val="00475A77"/>
    <w:rsid w:val="004764EE"/>
    <w:rsid w:val="004866A9"/>
    <w:rsid w:val="0048754F"/>
    <w:rsid w:val="00492774"/>
    <w:rsid w:val="00493D37"/>
    <w:rsid w:val="00494A16"/>
    <w:rsid w:val="00496D7A"/>
    <w:rsid w:val="004A0546"/>
    <w:rsid w:val="004A1804"/>
    <w:rsid w:val="004A31BC"/>
    <w:rsid w:val="004A3F1A"/>
    <w:rsid w:val="004A3F45"/>
    <w:rsid w:val="004A5738"/>
    <w:rsid w:val="004B1AFA"/>
    <w:rsid w:val="004B7088"/>
    <w:rsid w:val="004C150D"/>
    <w:rsid w:val="004C37BE"/>
    <w:rsid w:val="004C4D12"/>
    <w:rsid w:val="004C5B76"/>
    <w:rsid w:val="004D02CD"/>
    <w:rsid w:val="004D0B24"/>
    <w:rsid w:val="004D4B90"/>
    <w:rsid w:val="004D6B95"/>
    <w:rsid w:val="004D7F41"/>
    <w:rsid w:val="004E03A2"/>
    <w:rsid w:val="004E1460"/>
    <w:rsid w:val="004E317E"/>
    <w:rsid w:val="004E3954"/>
    <w:rsid w:val="004E5856"/>
    <w:rsid w:val="004F2330"/>
    <w:rsid w:val="004F53C6"/>
    <w:rsid w:val="004F55C6"/>
    <w:rsid w:val="004F69DB"/>
    <w:rsid w:val="004F6B87"/>
    <w:rsid w:val="00501A20"/>
    <w:rsid w:val="00501C2D"/>
    <w:rsid w:val="00502637"/>
    <w:rsid w:val="00511140"/>
    <w:rsid w:val="005111E3"/>
    <w:rsid w:val="00513CFE"/>
    <w:rsid w:val="00514D20"/>
    <w:rsid w:val="0051734F"/>
    <w:rsid w:val="00523B6A"/>
    <w:rsid w:val="00525F6C"/>
    <w:rsid w:val="00533C04"/>
    <w:rsid w:val="005448BE"/>
    <w:rsid w:val="00546AB4"/>
    <w:rsid w:val="00547BCF"/>
    <w:rsid w:val="005514E5"/>
    <w:rsid w:val="00553171"/>
    <w:rsid w:val="00563C84"/>
    <w:rsid w:val="00575026"/>
    <w:rsid w:val="005762F6"/>
    <w:rsid w:val="00584FBE"/>
    <w:rsid w:val="00585483"/>
    <w:rsid w:val="00586F1C"/>
    <w:rsid w:val="00587378"/>
    <w:rsid w:val="00587C05"/>
    <w:rsid w:val="00590AAB"/>
    <w:rsid w:val="005923EF"/>
    <w:rsid w:val="005938C3"/>
    <w:rsid w:val="0059468C"/>
    <w:rsid w:val="00595125"/>
    <w:rsid w:val="00596F21"/>
    <w:rsid w:val="00597C9D"/>
    <w:rsid w:val="005A6F60"/>
    <w:rsid w:val="005B1CDD"/>
    <w:rsid w:val="005B1E19"/>
    <w:rsid w:val="005B2218"/>
    <w:rsid w:val="005B55FC"/>
    <w:rsid w:val="005C0169"/>
    <w:rsid w:val="005C1875"/>
    <w:rsid w:val="005C18C3"/>
    <w:rsid w:val="005C2D5E"/>
    <w:rsid w:val="005C3B81"/>
    <w:rsid w:val="005C650C"/>
    <w:rsid w:val="005D006F"/>
    <w:rsid w:val="005D086C"/>
    <w:rsid w:val="005D11D3"/>
    <w:rsid w:val="005D4E1F"/>
    <w:rsid w:val="005D4FB3"/>
    <w:rsid w:val="005D79DD"/>
    <w:rsid w:val="005E2F07"/>
    <w:rsid w:val="005E2FEA"/>
    <w:rsid w:val="005F314B"/>
    <w:rsid w:val="005F66A0"/>
    <w:rsid w:val="00611AF2"/>
    <w:rsid w:val="0061212B"/>
    <w:rsid w:val="006127AF"/>
    <w:rsid w:val="00613A98"/>
    <w:rsid w:val="00615FB2"/>
    <w:rsid w:val="00617BD1"/>
    <w:rsid w:val="00617CE8"/>
    <w:rsid w:val="006278A0"/>
    <w:rsid w:val="0063095F"/>
    <w:rsid w:val="00631CBD"/>
    <w:rsid w:val="0063704F"/>
    <w:rsid w:val="00646AC2"/>
    <w:rsid w:val="00650390"/>
    <w:rsid w:val="00652127"/>
    <w:rsid w:val="0065260E"/>
    <w:rsid w:val="00654DAB"/>
    <w:rsid w:val="0065603A"/>
    <w:rsid w:val="006579DF"/>
    <w:rsid w:val="0066204A"/>
    <w:rsid w:val="00670E3C"/>
    <w:rsid w:val="00672FBA"/>
    <w:rsid w:val="0067553A"/>
    <w:rsid w:val="00677F57"/>
    <w:rsid w:val="00681088"/>
    <w:rsid w:val="0068219C"/>
    <w:rsid w:val="00694E83"/>
    <w:rsid w:val="006953EA"/>
    <w:rsid w:val="0069577E"/>
    <w:rsid w:val="0069634B"/>
    <w:rsid w:val="00696623"/>
    <w:rsid w:val="006A04E9"/>
    <w:rsid w:val="006A4A03"/>
    <w:rsid w:val="006A7543"/>
    <w:rsid w:val="006B5DD5"/>
    <w:rsid w:val="006B725C"/>
    <w:rsid w:val="006C273D"/>
    <w:rsid w:val="006C3458"/>
    <w:rsid w:val="006C5C4F"/>
    <w:rsid w:val="006C6282"/>
    <w:rsid w:val="006C762A"/>
    <w:rsid w:val="006D042F"/>
    <w:rsid w:val="006D5FF9"/>
    <w:rsid w:val="006E0772"/>
    <w:rsid w:val="006E0F86"/>
    <w:rsid w:val="006F0B15"/>
    <w:rsid w:val="006F0DCC"/>
    <w:rsid w:val="006F52AA"/>
    <w:rsid w:val="00701029"/>
    <w:rsid w:val="00703DF9"/>
    <w:rsid w:val="007048EB"/>
    <w:rsid w:val="00704FBB"/>
    <w:rsid w:val="0070726A"/>
    <w:rsid w:val="0071226B"/>
    <w:rsid w:val="007128F4"/>
    <w:rsid w:val="00717040"/>
    <w:rsid w:val="00720138"/>
    <w:rsid w:val="007216E7"/>
    <w:rsid w:val="0072200C"/>
    <w:rsid w:val="0073109E"/>
    <w:rsid w:val="00733239"/>
    <w:rsid w:val="00741377"/>
    <w:rsid w:val="00746E64"/>
    <w:rsid w:val="00752821"/>
    <w:rsid w:val="007622A7"/>
    <w:rsid w:val="00773864"/>
    <w:rsid w:val="007750A2"/>
    <w:rsid w:val="007817D6"/>
    <w:rsid w:val="00781996"/>
    <w:rsid w:val="00781E1C"/>
    <w:rsid w:val="00787107"/>
    <w:rsid w:val="00787912"/>
    <w:rsid w:val="0079177A"/>
    <w:rsid w:val="00794836"/>
    <w:rsid w:val="007948D5"/>
    <w:rsid w:val="007A15C9"/>
    <w:rsid w:val="007A37F7"/>
    <w:rsid w:val="007A6676"/>
    <w:rsid w:val="007B0FA2"/>
    <w:rsid w:val="007B7FF5"/>
    <w:rsid w:val="007C3FC6"/>
    <w:rsid w:val="007D2CE9"/>
    <w:rsid w:val="007D4FED"/>
    <w:rsid w:val="007D54C2"/>
    <w:rsid w:val="007D69DA"/>
    <w:rsid w:val="007D70B1"/>
    <w:rsid w:val="007D7140"/>
    <w:rsid w:val="007E1CDB"/>
    <w:rsid w:val="007E408C"/>
    <w:rsid w:val="007E50BF"/>
    <w:rsid w:val="007E7E21"/>
    <w:rsid w:val="007F01BE"/>
    <w:rsid w:val="007F0460"/>
    <w:rsid w:val="007F0DA2"/>
    <w:rsid w:val="007F39CE"/>
    <w:rsid w:val="007F5E0D"/>
    <w:rsid w:val="00801085"/>
    <w:rsid w:val="00801A89"/>
    <w:rsid w:val="00804457"/>
    <w:rsid w:val="00804E7B"/>
    <w:rsid w:val="00810723"/>
    <w:rsid w:val="00812061"/>
    <w:rsid w:val="00812138"/>
    <w:rsid w:val="008151F2"/>
    <w:rsid w:val="0081777A"/>
    <w:rsid w:val="008210E0"/>
    <w:rsid w:val="00824079"/>
    <w:rsid w:val="00831F0A"/>
    <w:rsid w:val="00833A78"/>
    <w:rsid w:val="008376F5"/>
    <w:rsid w:val="00841E46"/>
    <w:rsid w:val="0084585F"/>
    <w:rsid w:val="00852C1D"/>
    <w:rsid w:val="00853E53"/>
    <w:rsid w:val="0085535C"/>
    <w:rsid w:val="00863773"/>
    <w:rsid w:val="00864D76"/>
    <w:rsid w:val="008656C9"/>
    <w:rsid w:val="0086711C"/>
    <w:rsid w:val="00867535"/>
    <w:rsid w:val="00875C5B"/>
    <w:rsid w:val="0088041C"/>
    <w:rsid w:val="00880662"/>
    <w:rsid w:val="00883C5F"/>
    <w:rsid w:val="0088421B"/>
    <w:rsid w:val="00886B9B"/>
    <w:rsid w:val="00891C7D"/>
    <w:rsid w:val="00892FA7"/>
    <w:rsid w:val="00895380"/>
    <w:rsid w:val="00896C5A"/>
    <w:rsid w:val="008A3301"/>
    <w:rsid w:val="008A4DF1"/>
    <w:rsid w:val="008A5636"/>
    <w:rsid w:val="008A7ED3"/>
    <w:rsid w:val="008B125E"/>
    <w:rsid w:val="008B1EA0"/>
    <w:rsid w:val="008B241C"/>
    <w:rsid w:val="008B408B"/>
    <w:rsid w:val="008B4F11"/>
    <w:rsid w:val="008B5167"/>
    <w:rsid w:val="008B7811"/>
    <w:rsid w:val="008C2362"/>
    <w:rsid w:val="008C2B84"/>
    <w:rsid w:val="008C3049"/>
    <w:rsid w:val="008C51EA"/>
    <w:rsid w:val="008C74D9"/>
    <w:rsid w:val="008C79E9"/>
    <w:rsid w:val="008D2871"/>
    <w:rsid w:val="008D4AE9"/>
    <w:rsid w:val="008D5CF3"/>
    <w:rsid w:val="008D7328"/>
    <w:rsid w:val="008D7D39"/>
    <w:rsid w:val="008E4574"/>
    <w:rsid w:val="008F4016"/>
    <w:rsid w:val="008F42FE"/>
    <w:rsid w:val="008F4A00"/>
    <w:rsid w:val="008F5402"/>
    <w:rsid w:val="008F639F"/>
    <w:rsid w:val="008F7182"/>
    <w:rsid w:val="0090053A"/>
    <w:rsid w:val="00901283"/>
    <w:rsid w:val="00901C2A"/>
    <w:rsid w:val="009118C7"/>
    <w:rsid w:val="009122C4"/>
    <w:rsid w:val="00920125"/>
    <w:rsid w:val="009225B6"/>
    <w:rsid w:val="00925397"/>
    <w:rsid w:val="00933A21"/>
    <w:rsid w:val="00933C85"/>
    <w:rsid w:val="00934C10"/>
    <w:rsid w:val="0093662A"/>
    <w:rsid w:val="0094060C"/>
    <w:rsid w:val="00942C4B"/>
    <w:rsid w:val="00944196"/>
    <w:rsid w:val="00947E26"/>
    <w:rsid w:val="009606A5"/>
    <w:rsid w:val="00962F1F"/>
    <w:rsid w:val="00965304"/>
    <w:rsid w:val="00971293"/>
    <w:rsid w:val="00973A3B"/>
    <w:rsid w:val="00980301"/>
    <w:rsid w:val="00983B42"/>
    <w:rsid w:val="00983EAE"/>
    <w:rsid w:val="0098760B"/>
    <w:rsid w:val="009A11DD"/>
    <w:rsid w:val="009A4C3C"/>
    <w:rsid w:val="009B1046"/>
    <w:rsid w:val="009B30AA"/>
    <w:rsid w:val="009B5217"/>
    <w:rsid w:val="009C2746"/>
    <w:rsid w:val="009C2B3C"/>
    <w:rsid w:val="009C3685"/>
    <w:rsid w:val="009C48DE"/>
    <w:rsid w:val="009D1E08"/>
    <w:rsid w:val="009D60D9"/>
    <w:rsid w:val="009E1036"/>
    <w:rsid w:val="009E1E1E"/>
    <w:rsid w:val="009E33E3"/>
    <w:rsid w:val="009E74D7"/>
    <w:rsid w:val="009E7F16"/>
    <w:rsid w:val="009F1E65"/>
    <w:rsid w:val="009F27F8"/>
    <w:rsid w:val="009F5052"/>
    <w:rsid w:val="00A03083"/>
    <w:rsid w:val="00A04C85"/>
    <w:rsid w:val="00A100F0"/>
    <w:rsid w:val="00A156E6"/>
    <w:rsid w:val="00A15C31"/>
    <w:rsid w:val="00A177C5"/>
    <w:rsid w:val="00A27D86"/>
    <w:rsid w:val="00A30A3D"/>
    <w:rsid w:val="00A33151"/>
    <w:rsid w:val="00A36970"/>
    <w:rsid w:val="00A36A95"/>
    <w:rsid w:val="00A410ED"/>
    <w:rsid w:val="00A41EB4"/>
    <w:rsid w:val="00A44BFF"/>
    <w:rsid w:val="00A45381"/>
    <w:rsid w:val="00A457B5"/>
    <w:rsid w:val="00A501E3"/>
    <w:rsid w:val="00A50F0C"/>
    <w:rsid w:val="00A524ED"/>
    <w:rsid w:val="00A56441"/>
    <w:rsid w:val="00A574C3"/>
    <w:rsid w:val="00A736DD"/>
    <w:rsid w:val="00A76D17"/>
    <w:rsid w:val="00A82869"/>
    <w:rsid w:val="00A8758C"/>
    <w:rsid w:val="00A90028"/>
    <w:rsid w:val="00A91196"/>
    <w:rsid w:val="00A9596D"/>
    <w:rsid w:val="00AA127E"/>
    <w:rsid w:val="00AA19AE"/>
    <w:rsid w:val="00AA423D"/>
    <w:rsid w:val="00AA4BCA"/>
    <w:rsid w:val="00AA6A95"/>
    <w:rsid w:val="00AB0FCF"/>
    <w:rsid w:val="00AB10DE"/>
    <w:rsid w:val="00AB358A"/>
    <w:rsid w:val="00AB3668"/>
    <w:rsid w:val="00AB5ED7"/>
    <w:rsid w:val="00AB7C91"/>
    <w:rsid w:val="00AC0B4C"/>
    <w:rsid w:val="00AC2C5E"/>
    <w:rsid w:val="00AC7CE5"/>
    <w:rsid w:val="00AD0AEE"/>
    <w:rsid w:val="00AD49E3"/>
    <w:rsid w:val="00AD4B4F"/>
    <w:rsid w:val="00AF0616"/>
    <w:rsid w:val="00AF0E28"/>
    <w:rsid w:val="00AF1058"/>
    <w:rsid w:val="00AF6F9B"/>
    <w:rsid w:val="00B01409"/>
    <w:rsid w:val="00B0357C"/>
    <w:rsid w:val="00B10DBD"/>
    <w:rsid w:val="00B15629"/>
    <w:rsid w:val="00B2372C"/>
    <w:rsid w:val="00B32F70"/>
    <w:rsid w:val="00B3570D"/>
    <w:rsid w:val="00B373D0"/>
    <w:rsid w:val="00B42860"/>
    <w:rsid w:val="00B43AAA"/>
    <w:rsid w:val="00B517A1"/>
    <w:rsid w:val="00B5283E"/>
    <w:rsid w:val="00B53139"/>
    <w:rsid w:val="00B562CE"/>
    <w:rsid w:val="00B62DE2"/>
    <w:rsid w:val="00B74417"/>
    <w:rsid w:val="00B77246"/>
    <w:rsid w:val="00B866CD"/>
    <w:rsid w:val="00B92F39"/>
    <w:rsid w:val="00B93034"/>
    <w:rsid w:val="00B93778"/>
    <w:rsid w:val="00B93A81"/>
    <w:rsid w:val="00B97C5D"/>
    <w:rsid w:val="00BA1290"/>
    <w:rsid w:val="00BB2792"/>
    <w:rsid w:val="00BB76BF"/>
    <w:rsid w:val="00BC1AD1"/>
    <w:rsid w:val="00BC1D82"/>
    <w:rsid w:val="00BC4A58"/>
    <w:rsid w:val="00BC613B"/>
    <w:rsid w:val="00BD51D9"/>
    <w:rsid w:val="00BD64E2"/>
    <w:rsid w:val="00BE4995"/>
    <w:rsid w:val="00BF0C4C"/>
    <w:rsid w:val="00BF2FB1"/>
    <w:rsid w:val="00BF429A"/>
    <w:rsid w:val="00BF5E62"/>
    <w:rsid w:val="00BF62BE"/>
    <w:rsid w:val="00BF76C5"/>
    <w:rsid w:val="00C0144A"/>
    <w:rsid w:val="00C07126"/>
    <w:rsid w:val="00C11F25"/>
    <w:rsid w:val="00C12A51"/>
    <w:rsid w:val="00C14909"/>
    <w:rsid w:val="00C16853"/>
    <w:rsid w:val="00C263F0"/>
    <w:rsid w:val="00C33D41"/>
    <w:rsid w:val="00C356F7"/>
    <w:rsid w:val="00C36E63"/>
    <w:rsid w:val="00C40AFD"/>
    <w:rsid w:val="00C40C0E"/>
    <w:rsid w:val="00C41E20"/>
    <w:rsid w:val="00C42E3E"/>
    <w:rsid w:val="00C50081"/>
    <w:rsid w:val="00C51C13"/>
    <w:rsid w:val="00C525A5"/>
    <w:rsid w:val="00C5300F"/>
    <w:rsid w:val="00C54594"/>
    <w:rsid w:val="00C66CE0"/>
    <w:rsid w:val="00C71A95"/>
    <w:rsid w:val="00C71BED"/>
    <w:rsid w:val="00C737B2"/>
    <w:rsid w:val="00C81B53"/>
    <w:rsid w:val="00C82AD2"/>
    <w:rsid w:val="00C87AD0"/>
    <w:rsid w:val="00C87F02"/>
    <w:rsid w:val="00C90FB6"/>
    <w:rsid w:val="00C91053"/>
    <w:rsid w:val="00C9181F"/>
    <w:rsid w:val="00C9220E"/>
    <w:rsid w:val="00C932BD"/>
    <w:rsid w:val="00C93429"/>
    <w:rsid w:val="00CA16C5"/>
    <w:rsid w:val="00CA37A8"/>
    <w:rsid w:val="00CA415A"/>
    <w:rsid w:val="00CA48B4"/>
    <w:rsid w:val="00CA7A35"/>
    <w:rsid w:val="00CB1536"/>
    <w:rsid w:val="00CB7FB8"/>
    <w:rsid w:val="00CC1F71"/>
    <w:rsid w:val="00CC5588"/>
    <w:rsid w:val="00CC5EB3"/>
    <w:rsid w:val="00CD0E7B"/>
    <w:rsid w:val="00CD2ABD"/>
    <w:rsid w:val="00CD30C8"/>
    <w:rsid w:val="00CD4024"/>
    <w:rsid w:val="00CD4617"/>
    <w:rsid w:val="00CD4855"/>
    <w:rsid w:val="00CE131B"/>
    <w:rsid w:val="00CE6D43"/>
    <w:rsid w:val="00CE7888"/>
    <w:rsid w:val="00CF6418"/>
    <w:rsid w:val="00D10E1C"/>
    <w:rsid w:val="00D161A3"/>
    <w:rsid w:val="00D22E49"/>
    <w:rsid w:val="00D23716"/>
    <w:rsid w:val="00D24B61"/>
    <w:rsid w:val="00D25ED8"/>
    <w:rsid w:val="00D27F8F"/>
    <w:rsid w:val="00D316B8"/>
    <w:rsid w:val="00D31CFC"/>
    <w:rsid w:val="00D3255D"/>
    <w:rsid w:val="00D340C3"/>
    <w:rsid w:val="00D36A55"/>
    <w:rsid w:val="00D409CD"/>
    <w:rsid w:val="00D423D4"/>
    <w:rsid w:val="00D42CAF"/>
    <w:rsid w:val="00D5310F"/>
    <w:rsid w:val="00D54B28"/>
    <w:rsid w:val="00D54E4E"/>
    <w:rsid w:val="00D601EF"/>
    <w:rsid w:val="00D61533"/>
    <w:rsid w:val="00D63B2F"/>
    <w:rsid w:val="00D66290"/>
    <w:rsid w:val="00D668D2"/>
    <w:rsid w:val="00D70747"/>
    <w:rsid w:val="00D7261D"/>
    <w:rsid w:val="00D755FC"/>
    <w:rsid w:val="00D76B6D"/>
    <w:rsid w:val="00D77FFD"/>
    <w:rsid w:val="00D84D07"/>
    <w:rsid w:val="00D8526A"/>
    <w:rsid w:val="00D85C8D"/>
    <w:rsid w:val="00D90E91"/>
    <w:rsid w:val="00DA0AF0"/>
    <w:rsid w:val="00DB60E1"/>
    <w:rsid w:val="00DC1347"/>
    <w:rsid w:val="00DC2008"/>
    <w:rsid w:val="00DC39F1"/>
    <w:rsid w:val="00DD25AD"/>
    <w:rsid w:val="00DD5640"/>
    <w:rsid w:val="00DE0726"/>
    <w:rsid w:val="00DE073A"/>
    <w:rsid w:val="00DE4B35"/>
    <w:rsid w:val="00DF19C1"/>
    <w:rsid w:val="00DF48E1"/>
    <w:rsid w:val="00DF54CA"/>
    <w:rsid w:val="00DF56C9"/>
    <w:rsid w:val="00DF5B64"/>
    <w:rsid w:val="00E0244A"/>
    <w:rsid w:val="00E02794"/>
    <w:rsid w:val="00E043E3"/>
    <w:rsid w:val="00E0505B"/>
    <w:rsid w:val="00E11280"/>
    <w:rsid w:val="00E116E7"/>
    <w:rsid w:val="00E116E9"/>
    <w:rsid w:val="00E11C4F"/>
    <w:rsid w:val="00E12359"/>
    <w:rsid w:val="00E142CF"/>
    <w:rsid w:val="00E152FF"/>
    <w:rsid w:val="00E2461B"/>
    <w:rsid w:val="00E24886"/>
    <w:rsid w:val="00E276FB"/>
    <w:rsid w:val="00E31C9E"/>
    <w:rsid w:val="00E32595"/>
    <w:rsid w:val="00E32DC6"/>
    <w:rsid w:val="00E33A74"/>
    <w:rsid w:val="00E4030B"/>
    <w:rsid w:val="00E41D56"/>
    <w:rsid w:val="00E457DF"/>
    <w:rsid w:val="00E46642"/>
    <w:rsid w:val="00E47382"/>
    <w:rsid w:val="00E5139A"/>
    <w:rsid w:val="00E525D6"/>
    <w:rsid w:val="00E5413D"/>
    <w:rsid w:val="00E57977"/>
    <w:rsid w:val="00E635D7"/>
    <w:rsid w:val="00E64E71"/>
    <w:rsid w:val="00E6736F"/>
    <w:rsid w:val="00E70576"/>
    <w:rsid w:val="00E71DED"/>
    <w:rsid w:val="00E803A6"/>
    <w:rsid w:val="00E831E5"/>
    <w:rsid w:val="00E83954"/>
    <w:rsid w:val="00E86506"/>
    <w:rsid w:val="00E91730"/>
    <w:rsid w:val="00E964FD"/>
    <w:rsid w:val="00E96F04"/>
    <w:rsid w:val="00E97AEC"/>
    <w:rsid w:val="00EA183E"/>
    <w:rsid w:val="00EA20FE"/>
    <w:rsid w:val="00EB491E"/>
    <w:rsid w:val="00EB681B"/>
    <w:rsid w:val="00EC4FAD"/>
    <w:rsid w:val="00EC6058"/>
    <w:rsid w:val="00ED16EA"/>
    <w:rsid w:val="00EE3CFA"/>
    <w:rsid w:val="00EE3F5A"/>
    <w:rsid w:val="00EE69E4"/>
    <w:rsid w:val="00EF2A7F"/>
    <w:rsid w:val="00EF3346"/>
    <w:rsid w:val="00EF6349"/>
    <w:rsid w:val="00EF7E90"/>
    <w:rsid w:val="00F002B6"/>
    <w:rsid w:val="00F019CD"/>
    <w:rsid w:val="00F05D42"/>
    <w:rsid w:val="00F06F7C"/>
    <w:rsid w:val="00F10AFE"/>
    <w:rsid w:val="00F110E8"/>
    <w:rsid w:val="00F15C6C"/>
    <w:rsid w:val="00F17173"/>
    <w:rsid w:val="00F20987"/>
    <w:rsid w:val="00F224DC"/>
    <w:rsid w:val="00F257CC"/>
    <w:rsid w:val="00F25C85"/>
    <w:rsid w:val="00F2687F"/>
    <w:rsid w:val="00F26A5E"/>
    <w:rsid w:val="00F27F29"/>
    <w:rsid w:val="00F32D54"/>
    <w:rsid w:val="00F36C54"/>
    <w:rsid w:val="00F37C47"/>
    <w:rsid w:val="00F415A5"/>
    <w:rsid w:val="00F418EA"/>
    <w:rsid w:val="00F41A29"/>
    <w:rsid w:val="00F44C1C"/>
    <w:rsid w:val="00F518DF"/>
    <w:rsid w:val="00F544DB"/>
    <w:rsid w:val="00F648EA"/>
    <w:rsid w:val="00F6502E"/>
    <w:rsid w:val="00F65663"/>
    <w:rsid w:val="00F75147"/>
    <w:rsid w:val="00F756C0"/>
    <w:rsid w:val="00F75A40"/>
    <w:rsid w:val="00F77637"/>
    <w:rsid w:val="00F833B1"/>
    <w:rsid w:val="00F834D0"/>
    <w:rsid w:val="00F8435D"/>
    <w:rsid w:val="00F862E5"/>
    <w:rsid w:val="00F87DD0"/>
    <w:rsid w:val="00F93360"/>
    <w:rsid w:val="00F93FE4"/>
    <w:rsid w:val="00F94202"/>
    <w:rsid w:val="00F97E4E"/>
    <w:rsid w:val="00F97FDA"/>
    <w:rsid w:val="00FA1A40"/>
    <w:rsid w:val="00FA217B"/>
    <w:rsid w:val="00FB0BC5"/>
    <w:rsid w:val="00FB0BCC"/>
    <w:rsid w:val="00FB3EA7"/>
    <w:rsid w:val="00FB6294"/>
    <w:rsid w:val="00FB69D7"/>
    <w:rsid w:val="00FC0FE5"/>
    <w:rsid w:val="00FD1ABC"/>
    <w:rsid w:val="00FD780A"/>
    <w:rsid w:val="00FD7DDF"/>
    <w:rsid w:val="00FE104D"/>
    <w:rsid w:val="00FE4C92"/>
    <w:rsid w:val="00FE7898"/>
    <w:rsid w:val="00FF0FAA"/>
    <w:rsid w:val="00FF3759"/>
    <w:rsid w:val="00FF4396"/>
    <w:rsid w:val="03385EDC"/>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3B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ro-RO"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50BF"/>
    <w:pPr>
      <w:spacing w:line="288" w:lineRule="auto"/>
      <w:jc w:val="both"/>
    </w:pPr>
    <w:rPr>
      <w:lang w:eastAsia="en-US" w:bidi="ar-SA"/>
    </w:rPr>
  </w:style>
  <w:style w:type="paragraph" w:styleId="Heading1">
    <w:name w:val="heading 1"/>
    <w:basedOn w:val="Normal"/>
    <w:next w:val="Normal"/>
    <w:link w:val="Heading1Char"/>
    <w:qFormat/>
    <w:rsid w:val="00920125"/>
    <w:pPr>
      <w:numPr>
        <w:numId w:val="1"/>
      </w:numPr>
      <w:ind w:left="567" w:hanging="567"/>
      <w:outlineLvl w:val="0"/>
    </w:pPr>
    <w:rPr>
      <w:kern w:val="28"/>
    </w:rPr>
  </w:style>
  <w:style w:type="paragraph" w:styleId="Heading2">
    <w:name w:val="heading 2"/>
    <w:basedOn w:val="Normal"/>
    <w:next w:val="Normal"/>
    <w:link w:val="Heading2Char"/>
    <w:qFormat/>
    <w:rsid w:val="007E50BF"/>
    <w:pPr>
      <w:numPr>
        <w:ilvl w:val="1"/>
        <w:numId w:val="1"/>
      </w:numPr>
      <w:ind w:left="567" w:hanging="567"/>
      <w:outlineLvl w:val="1"/>
    </w:pPr>
  </w:style>
  <w:style w:type="paragraph" w:styleId="Heading3">
    <w:name w:val="heading 3"/>
    <w:basedOn w:val="Normal"/>
    <w:next w:val="Normal"/>
    <w:link w:val="Heading3Char"/>
    <w:qFormat/>
    <w:rsid w:val="007E50BF"/>
    <w:pPr>
      <w:numPr>
        <w:ilvl w:val="2"/>
        <w:numId w:val="1"/>
      </w:numPr>
      <w:ind w:left="567" w:hanging="567"/>
      <w:outlineLvl w:val="2"/>
    </w:pPr>
  </w:style>
  <w:style w:type="paragraph" w:styleId="Heading4">
    <w:name w:val="heading 4"/>
    <w:basedOn w:val="Normal"/>
    <w:next w:val="Normal"/>
    <w:link w:val="Heading4Char"/>
    <w:qFormat/>
    <w:rsid w:val="007E50BF"/>
    <w:pPr>
      <w:numPr>
        <w:ilvl w:val="3"/>
        <w:numId w:val="1"/>
      </w:numPr>
      <w:ind w:left="567" w:hanging="567"/>
      <w:outlineLvl w:val="3"/>
    </w:pPr>
  </w:style>
  <w:style w:type="paragraph" w:styleId="Heading5">
    <w:name w:val="heading 5"/>
    <w:basedOn w:val="Normal"/>
    <w:next w:val="Normal"/>
    <w:link w:val="Heading5Char"/>
    <w:qFormat/>
    <w:rsid w:val="007E50BF"/>
    <w:pPr>
      <w:numPr>
        <w:ilvl w:val="4"/>
        <w:numId w:val="1"/>
      </w:numPr>
      <w:ind w:left="567" w:hanging="567"/>
      <w:outlineLvl w:val="4"/>
    </w:pPr>
  </w:style>
  <w:style w:type="paragraph" w:styleId="Heading6">
    <w:name w:val="heading 6"/>
    <w:basedOn w:val="Normal"/>
    <w:next w:val="Normal"/>
    <w:link w:val="Heading6Char"/>
    <w:qFormat/>
    <w:rsid w:val="007E50BF"/>
    <w:pPr>
      <w:numPr>
        <w:ilvl w:val="5"/>
        <w:numId w:val="1"/>
      </w:numPr>
      <w:ind w:left="567" w:hanging="567"/>
      <w:outlineLvl w:val="5"/>
    </w:pPr>
  </w:style>
  <w:style w:type="paragraph" w:styleId="Heading7">
    <w:name w:val="heading 7"/>
    <w:basedOn w:val="Normal"/>
    <w:next w:val="Normal"/>
    <w:link w:val="Heading7Char"/>
    <w:qFormat/>
    <w:rsid w:val="007E50BF"/>
    <w:pPr>
      <w:numPr>
        <w:ilvl w:val="6"/>
        <w:numId w:val="1"/>
      </w:numPr>
      <w:ind w:left="567" w:hanging="567"/>
      <w:outlineLvl w:val="6"/>
    </w:pPr>
  </w:style>
  <w:style w:type="paragraph" w:styleId="Heading8">
    <w:name w:val="heading 8"/>
    <w:basedOn w:val="Normal"/>
    <w:next w:val="Normal"/>
    <w:link w:val="Heading8Char"/>
    <w:qFormat/>
    <w:rsid w:val="007E50BF"/>
    <w:pPr>
      <w:numPr>
        <w:ilvl w:val="7"/>
        <w:numId w:val="1"/>
      </w:numPr>
      <w:ind w:left="567" w:hanging="567"/>
      <w:outlineLvl w:val="7"/>
    </w:pPr>
  </w:style>
  <w:style w:type="paragraph" w:styleId="Heading9">
    <w:name w:val="heading 9"/>
    <w:basedOn w:val="Normal"/>
    <w:next w:val="Normal"/>
    <w:link w:val="Heading9Char"/>
    <w:qFormat/>
    <w:rsid w:val="007E50BF"/>
    <w:pPr>
      <w:numPr>
        <w:ilvl w:val="8"/>
        <w:numId w:val="1"/>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eastAsia="en-US" w:bidi="ar-SA"/>
    </w:rPr>
  </w:style>
  <w:style w:type="character" w:customStyle="1" w:styleId="Heading2Char">
    <w:name w:val="Heading 2 Char"/>
    <w:basedOn w:val="DefaultParagraphFont"/>
    <w:link w:val="Heading2"/>
    <w:locked/>
    <w:rsid w:val="00CB1536"/>
    <w:rPr>
      <w:lang w:eastAsia="en-US" w:bidi="ar-SA"/>
    </w:rPr>
  </w:style>
  <w:style w:type="character" w:customStyle="1" w:styleId="Heading3Char">
    <w:name w:val="Heading 3 Char"/>
    <w:basedOn w:val="DefaultParagraphFont"/>
    <w:link w:val="Heading3"/>
    <w:locked/>
    <w:rsid w:val="00CB1536"/>
    <w:rPr>
      <w:lang w:eastAsia="en-US" w:bidi="ar-SA"/>
    </w:rPr>
  </w:style>
  <w:style w:type="character" w:customStyle="1" w:styleId="Heading4Char">
    <w:name w:val="Heading 4 Char"/>
    <w:basedOn w:val="DefaultParagraphFont"/>
    <w:link w:val="Heading4"/>
    <w:locked/>
    <w:rsid w:val="00CB1536"/>
    <w:rPr>
      <w:lang w:eastAsia="en-US" w:bidi="ar-SA"/>
    </w:rPr>
  </w:style>
  <w:style w:type="character" w:customStyle="1" w:styleId="Heading5Char">
    <w:name w:val="Heading 5 Char"/>
    <w:basedOn w:val="DefaultParagraphFont"/>
    <w:link w:val="Heading5"/>
    <w:locked/>
    <w:rsid w:val="00CB1536"/>
    <w:rPr>
      <w:lang w:eastAsia="en-US" w:bidi="ar-SA"/>
    </w:rPr>
  </w:style>
  <w:style w:type="character" w:customStyle="1" w:styleId="Heading6Char">
    <w:name w:val="Heading 6 Char"/>
    <w:basedOn w:val="DefaultParagraphFont"/>
    <w:link w:val="Heading6"/>
    <w:locked/>
    <w:rsid w:val="00CB1536"/>
    <w:rPr>
      <w:lang w:eastAsia="en-US" w:bidi="ar-SA"/>
    </w:rPr>
  </w:style>
  <w:style w:type="character" w:customStyle="1" w:styleId="Heading7Char">
    <w:name w:val="Heading 7 Char"/>
    <w:basedOn w:val="DefaultParagraphFont"/>
    <w:link w:val="Heading7"/>
    <w:locked/>
    <w:rsid w:val="00CB1536"/>
    <w:rPr>
      <w:lang w:eastAsia="en-US" w:bidi="ar-SA"/>
    </w:rPr>
  </w:style>
  <w:style w:type="character" w:customStyle="1" w:styleId="Heading8Char">
    <w:name w:val="Heading 8 Char"/>
    <w:basedOn w:val="DefaultParagraphFont"/>
    <w:link w:val="Heading8"/>
    <w:locked/>
    <w:rsid w:val="00CB1536"/>
    <w:rPr>
      <w:lang w:eastAsia="en-US" w:bidi="ar-SA"/>
    </w:rPr>
  </w:style>
  <w:style w:type="character" w:customStyle="1" w:styleId="Heading9Char">
    <w:name w:val="Heading 9 Char"/>
    <w:basedOn w:val="DefaultParagraphFont"/>
    <w:link w:val="Heading9"/>
    <w:locked/>
    <w:rsid w:val="00CB1536"/>
    <w:rPr>
      <w:lang w:eastAsia="en-US" w:bidi="ar-SA"/>
    </w:rPr>
  </w:style>
  <w:style w:type="paragraph" w:styleId="Footer">
    <w:name w:val="footer"/>
    <w:basedOn w:val="Normal"/>
    <w:link w:val="FooterChar"/>
    <w:qFormat/>
    <w:rsid w:val="007E50BF"/>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qFormat/>
    <w:rsid w:val="007E50BF"/>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ro-RO" w:eastAsia="en-US" w:bidi="ar-SA"/>
    </w:rPr>
  </w:style>
  <w:style w:type="paragraph" w:styleId="Header">
    <w:name w:val="header"/>
    <w:basedOn w:val="Normal"/>
    <w:link w:val="HeaderChar"/>
    <w:qFormat/>
    <w:rsid w:val="007E50BF"/>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7E50BF"/>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7E50BF"/>
    <w:pPr>
      <w:ind w:left="720"/>
    </w:pPr>
    <w:rPr>
      <w:i/>
    </w:rPr>
  </w:style>
  <w:style w:type="paragraph" w:styleId="ListParagraph">
    <w:name w:val="List Paragraph"/>
    <w:basedOn w:val="Normal"/>
    <w:uiPriority w:val="34"/>
    <w:qFormat/>
    <w:rsid w:val="00E11C4F"/>
    <w:pPr>
      <w:ind w:left="720"/>
      <w:contextualSpacing/>
    </w:pPr>
  </w:style>
  <w:style w:type="paragraph" w:styleId="BalloonText">
    <w:name w:val="Balloon Text"/>
    <w:basedOn w:val="Normal"/>
    <w:link w:val="BalloonTextChar"/>
    <w:uiPriority w:val="99"/>
    <w:semiHidden/>
    <w:unhideWhenUsed/>
    <w:rsid w:val="0086377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3773"/>
    <w:rPr>
      <w:rFonts w:ascii="Segoe UI" w:hAnsi="Segoe UI" w:cs="Segoe UI"/>
      <w:sz w:val="18"/>
      <w:szCs w:val="18"/>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949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eco@eesc.europa.eu" TargetMode="Externa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RO/TXT/?qid=1762176001629&amp;uri=CELEX%3A52025JC0026" TargetMode="External"/><Relationship Id="rId1" Type="http://schemas.openxmlformats.org/officeDocument/2006/relationships/hyperlink" Target="https://eur-lex.europa.eu/legal-content/RO/TXT/?qid=1762176001629&amp;uri=CELEX%3A52025JC00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A6WAAD5KZT2Q-235352946-8796</_dlc_DocId>
    <_dlc_DocIdUrl xmlns="1a33af13-4045-4f88-9d7b-618e30f79918">
      <Url>http://dm/eesc/2025/_layouts/15/DocIdRedir.aspx?ID=A6WAAD5KZT2Q-235352946-8796</Url>
      <Description>A6WAAD5KZT2Q-235352946-8796</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2025-11-24T12:00:00+00:00</ProductionDate>
    <DocumentNumber xmlns="a3e83899-37aa-47c6-ba54-4ea80e9c17cf">2216</DocumentNumber>
    <FicheYear xmlns="1a33af13-4045-4f88-9d7b-618e30f79918" xsi:nil="true"/>
    <DossierNumber xmlns="1a33af13-4045-4f88-9d7b-618e30f79918">675</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103</Value>
      <Value>13</Value>
      <Value>12</Value>
      <Value>8</Value>
      <Value>5</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RO</TermName>
          <TermId xmlns="http://schemas.microsoft.com/office/infopath/2007/PartnerControls">feb747a2-64cd-4299-af12-4833ddc30497</TermId>
        </TermInfo>
      </Terms>
    </DocumentLanguage_0>
    <MeetingDate xmlns="1a33af13-4045-4f88-9d7b-618e30f79918">2025-12-03T12:00:00+00:00</MeetingDate>
    <Rapporteur xmlns="1a33af13-4045-4f88-9d7b-618e30f79918">PALMIERI</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296912</FicheNumber>
    <OriginalSender xmlns="1a33af13-4045-4f88-9d7b-618e30f79918">
      <UserInfo>
        <DisplayName>Greff Daniela</DisplayName>
        <AccountId>1474</AccountId>
        <AccountType/>
      </UserInfo>
    </OriginalSender>
    <DocumentPart xmlns="1a33af13-4045-4f88-9d7b-618e30f79918">0</DocumentPart>
    <AdoptionDate xmlns="1a33af13-4045-4f88-9d7b-618e30f79918" xsi:nil="true"/>
    <RequestingService xmlns="1a33af13-4045-4f88-9d7b-618e30f79918">Union économique et monétaire et cohésion économique et sociale</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ECO</TermName>
          <TermId xmlns="http://schemas.microsoft.com/office/infopath/2007/PartnerControls">8df351f5-c957-404c-8cf3-8ffb22c9cba2</TermId>
        </TermInfo>
      </Terms>
    </DossierName_0>
    <DocumentVersion xmlns="1a33af13-4045-4f88-9d7b-618e30f79918">1</DocumentVersion>
  </documentManagement>
</p:properties>
</file>

<file path=customXml/item2.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9FEE056-F564-4E7F-9775-4CBC554702E1}">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2.xml><?xml version="1.0" encoding="utf-8"?>
<ds:datastoreItem xmlns:ds="http://schemas.openxmlformats.org/officeDocument/2006/customXml" ds:itemID="{C6BAB0AE-F9DD-4997-BD56-27D6868383DF}"/>
</file>

<file path=customXml/itemProps3.xml><?xml version="1.0" encoding="utf-8"?>
<ds:datastoreItem xmlns:ds="http://schemas.openxmlformats.org/officeDocument/2006/customXml" ds:itemID="{6261B9D0-CC66-4726-BF78-3323D9206FFE}">
  <ds:schemaRefs>
    <ds:schemaRef ds:uri="http://schemas.openxmlformats.org/officeDocument/2006/bibliography"/>
  </ds:schemaRefs>
</ds:datastoreItem>
</file>

<file path=customXml/itemProps4.xml><?xml version="1.0" encoding="utf-8"?>
<ds:datastoreItem xmlns:ds="http://schemas.openxmlformats.org/officeDocument/2006/customXml" ds:itemID="{8BBD4204-B0E2-41A2-91CD-A768D6404626}">
  <ds:schemaRefs>
    <ds:schemaRef ds:uri="http://schemas.microsoft.com/sharepoint/events"/>
  </ds:schemaRefs>
</ds:datastoreItem>
</file>

<file path=customXml/itemProps5.xml><?xml version="1.0" encoding="utf-8"?>
<ds:datastoreItem xmlns:ds="http://schemas.openxmlformats.org/officeDocument/2006/customXml" ds:itemID="{64C17245-9463-488B-8A8B-FD5279738CB1}">
  <ds:schemaRefs>
    <ds:schemaRef ds:uri="http://schemas.microsoft.com/sharepoint/v3/contenttype/forms"/>
  </ds:schemaRefs>
</ds:datastoreItem>
</file>

<file path=docMetadata/LabelInfo.xml><?xml version="1.0" encoding="utf-8"?>
<clbl:labelList xmlns:clbl="http://schemas.microsoft.com/office/2020/mipLabelMetadata">
  <clbl:label id="{01a4edc0-c130-4e09-bfd4-7b7de34700e6}" enabled="0" method="" siteId="{01a4edc0-c130-4e09-bfd4-7b7de34700e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14</Pages>
  <Words>4918</Words>
  <Characters>31526</Characters>
  <Application>Microsoft Office Word</Application>
  <DocSecurity>0</DocSecurity>
  <Lines>262</Lines>
  <Paragraphs>72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Implementation of EU macro-regional strategies - 5th report</vt:lpstr>
      <vt:lpstr>Attuazione delle strategie macroregionali dell'UE - 5ª relazione</vt:lpstr>
    </vt:vector>
  </TitlesOfParts>
  <Manager/>
  <Company/>
  <LinksUpToDate>false</LinksUpToDate>
  <CharactersWithSpaces>36372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Punerea în aplicare a strategiilor macroregionale ale UE - al 5-lea raport</dc:title>
  <dc:subject>Progetto preliminare di parere</dc:subject>
  <dc:creator/>
  <cp:keywords>EESC-2025-02216-00-00-APA-TRA-IT</cp:keywords>
  <dc:description>Rapporteur: - PALMIERI Original language: - IT Date of document: - 16/10/2025 Date of meeting: - 27/10/2025 External documents: - COM(2025)196- final Administrator responsible: -  MELEAS Georgios</dc:description>
  <cp:lastModifiedBy/>
  <cp:revision>4</cp:revision>
  <cp:lastPrinted>2016-01-26T08:31:00Z</cp:lastPrinted>
  <dcterms:created xsi:type="dcterms:W3CDTF">2025-11-24T13:55:00Z</dcterms:created>
  <dcterms:modified xsi:type="dcterms:W3CDTF">2025-11-24T14:00:00Z</dcterms:modified>
  <cp:category>ECO/675</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21/11/2025, 04/11/2025, 16/10/2025, 09/07/2025, 12/04/2024, 17/05/2022, 04/11/2015, 27/10/2015, 19/10/2015, 09/10/2015, 05/10/2015, 05/10/2015, 26/08/2015, 26/08/2015, 25/08/2015</vt:lpwstr>
  </property>
  <property fmtid="{D5CDD505-2E9C-101B-9397-08002B2CF9AE}" pid="4" name="Pref_Time">
    <vt:lpwstr>11:47:17, 14:27:48, 08:49:24, 15:06:10, 12:08:09, 12:59:17, 12/10/07, 14:44:02, 16/04/16, 14:09:30, 16:24:55, 16:04:02, 08:56:14, 07:27:56, 17:31:53</vt:lpwstr>
  </property>
  <property fmtid="{D5CDD505-2E9C-101B-9397-08002B2CF9AE}" pid="5" name="Pref_User">
    <vt:lpwstr>amett, pacup, amett, pacup, enied, enied, ssex, enied, amett, tvoc, mreg, mreg, amett, enied, ssex</vt:lpwstr>
  </property>
  <property fmtid="{D5CDD505-2E9C-101B-9397-08002B2CF9AE}" pid="6" name="Pref_FileName">
    <vt:lpwstr>EESC-2025-02216-00-00-AS-TRA-EN-CRR.docx, EESC-2025-02216-00-00-PA-ORI.docx, EESC-2025-02216-00-00-APA-ORI.docx, EESC-2025-02216-00-01-DT-TRA.docx, COR-EESC-2024-01326-00-00-ADMIN-ORI.docx, COR-EESC-2022-02586-00-00-ADMIN-ORI.docx, EESC-2015-05408-00-00-P</vt:lpwstr>
  </property>
  <property fmtid="{D5CDD505-2E9C-101B-9397-08002B2CF9AE}" pid="7" name="ContentTypeId">
    <vt:lpwstr>0x010100EA97B91038054C99906057A708A1480A004B94E0CD93B68F4F96D67EEBEC8A7176</vt:lpwstr>
  </property>
  <property fmtid="{D5CDD505-2E9C-101B-9397-08002B2CF9AE}" pid="8" name="_dlc_DocIdItemGuid">
    <vt:lpwstr>a40de474-2bdd-48c4-ad16-9076b8154b39</vt:lpwstr>
  </property>
  <property fmtid="{D5CDD505-2E9C-101B-9397-08002B2CF9AE}" pid="9" name="AvailableTranslations">
    <vt:lpwstr>31;#SL|98a412ae-eb01-49e9-ae3d-585a81724cfc;#41;#ET|ff6c3f4c-b02c-4c3c-ab07-2c37995a7a0a;#5;#EN|f2175f21-25d7-44a3-96da-d6a61b075e1b;#40;#DA|5d49c027-8956-412b-aa16-e85a0f96ad0e;#12;#FR|d2afafd3-4c81-4f60-8f52-ee33f2f54ff3;#35;#FI|87606a43-d45f-42d6-b8c9-e1a3457db5b7;#34;#IT|0774613c-01ed-4e5d-a25d-11d2388de825;#27;#NL|55c6556c-b4f4-441d-9acf-c498d4f838bd;#39;#LV|46f7e311-5d9f-4663-b433-18aeccb7ace7;#30;#LT|a7ff5ce7-6123-4f68-865a-a57c31810414;#24;#PL|1e03da61-4678-4e07-b136-b5024ca9197b;#33;#PT|50ccc04a-eadd-42ae-a0cb-acaf45f812ba;#47;#BG|1a1b3951-7821-4e6a-85f5-5673fc08bd2c;#36;#RO|feb747a2-64cd-4299-af12-4833ddc30497;#28;#SV|c2ed69e7-a339-43d7-8f22-d93680a92aa0;#29;#CS|72f9705b-0217-4fd3-bea2-cbc7ed80e26e;#37;#HU|6b229040-c589-4408-b4c1-4285663d20a8;#46;#SK|46d9fce0-ef79-4f71-b89b-cd6aa82426b8;#23;#DE|f6b31e5a-26fa-4935-b661-318e46daf27e;#32;#MT|7df99101-6854-4a26-b53a-b88c0da02c26;#16;#ES|e7a6b05b-ae16-40c8-add9-68b64b03aeba;#50;#HR|2f555653-ed1a-4fe6-8362-9082d95989e5;#43;#GA|762d2456-c427-4ecb-b312-af3dad8e258c;#42;#EL|6d4f4d51-af9b-4650-94b4-4276bee85c91</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ECO|8df351f5-c957-404c-8cf3-8ffb22c9cba2</vt:lpwstr>
  </property>
  <property fmtid="{D5CDD505-2E9C-101B-9397-08002B2CF9AE}" pid="13" name="DocumentSource_0">
    <vt:lpwstr>EESC|422833ec-8d7e-4e65-8e4e-8bed07ffb729</vt:lpwstr>
  </property>
  <property fmtid="{D5CDD505-2E9C-101B-9397-08002B2CF9AE}" pid="14" name="DocumentNumber">
    <vt:i4>2216</vt:i4>
  </property>
  <property fmtid="{D5CDD505-2E9C-101B-9397-08002B2CF9AE}" pid="15" name="FicheYear">
    <vt:i4>2025</vt:i4>
  </property>
  <property fmtid="{D5CDD505-2E9C-101B-9397-08002B2CF9AE}" pid="16" name="DocumentVersion">
    <vt:i4>1</vt:i4>
  </property>
  <property fmtid="{D5CDD505-2E9C-101B-9397-08002B2CF9AE}" pid="17" name="DossierNumber">
    <vt:i4>675</vt:i4>
  </property>
  <property fmtid="{D5CDD505-2E9C-101B-9397-08002B2CF9AE}" pid="18" name="DocumentStatus">
    <vt:lpwstr>13;#TRA|150d2a88-1431-44e6-a8ca-0bb753ab8672</vt:lpwstr>
  </property>
  <property fmtid="{D5CDD505-2E9C-101B-9397-08002B2CF9AE}" pid="19" name="DossierName">
    <vt:lpwstr>103;#ECO|8df351f5-c957-404c-8cf3-8ffb22c9cba2</vt:lpwstr>
  </property>
  <property fmtid="{D5CDD505-2E9C-101B-9397-08002B2CF9AE}" pid="20" name="RequestingService">
    <vt:lpwstr>Union économique et monétaire et cohésion économique et sociale</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AvailableTranslations_0">
    <vt:lpwstr>EN|f2175f21-25d7-44a3-96da-d6a61b075e1b</vt:lpwstr>
  </property>
  <property fmtid="{D5CDD505-2E9C-101B-9397-08002B2CF9AE}" pid="27" name="DocumentStatus_0">
    <vt:lpwstr>TRA|150d2a88-1431-44e6-a8ca-0bb753ab8672</vt:lpwstr>
  </property>
  <property fmtid="{D5CDD505-2E9C-101B-9397-08002B2CF9AE}" pid="28" name="OriginalLanguage_0">
    <vt:lpwstr>EN|f2175f21-25d7-44a3-96da-d6a61b075e1b</vt:lpwstr>
  </property>
  <property fmtid="{D5CDD505-2E9C-101B-9397-08002B2CF9AE}" pid="29" name="TaxCatchAll">
    <vt:lpwstr>67;#SPL-CES|32d8cb1f-c9ec-4365-95c7-8385a18618ac;#5;#EN|f2175f21-25d7-44a3-96da-d6a61b075e1b;#13;#TRA|150d2a88-1431-44e6-a8ca-0bb753ab8672;#15;#Unrestricted|826e22d7-d029-4ec0-a450-0c28ff673572;#8;#Final|ea5e6674-7b27-4bac-b091-73adbb394efe;#126;#AS|c7a748eb-f6f2-4d9d-8b5a-af0cafebc224;#103;#ECO|8df351f5-c957-404c-8cf3-8ffb22c9cba2;#1;#EESC|422833ec-8d7e-4e65-8e4e-8bed07ffb729;#34;#IT|0774613c-01ed-4e5d-a25d-11d2388de825</vt:lpwstr>
  </property>
  <property fmtid="{D5CDD505-2E9C-101B-9397-08002B2CF9AE}" pid="30" name="Rapporteur">
    <vt:lpwstr>PALMIERI</vt:lpwstr>
  </property>
  <property fmtid="{D5CDD505-2E9C-101B-9397-08002B2CF9AE}" pid="31" name="VersionStatus_0">
    <vt:lpwstr>Final|ea5e6674-7b27-4bac-b091-73adbb394efe</vt:lpwstr>
  </property>
  <property fmtid="{D5CDD505-2E9C-101B-9397-08002B2CF9AE}" pid="32" name="VersionStatus">
    <vt:lpwstr>8;#Final|ea5e6674-7b27-4bac-b091-73adbb394efe</vt:lpwstr>
  </property>
  <property fmtid="{D5CDD505-2E9C-101B-9397-08002B2CF9AE}" pid="33" name="DocumentYear">
    <vt:i4>2025</vt:i4>
  </property>
  <property fmtid="{D5CDD505-2E9C-101B-9397-08002B2CF9AE}" pid="34" name="FicheNumber">
    <vt:i4>296912</vt:i4>
  </property>
  <property fmtid="{D5CDD505-2E9C-101B-9397-08002B2CF9AE}" pid="35" name="DocumentPart">
    <vt:i4>0</vt:i4>
  </property>
  <property fmtid="{D5CDD505-2E9C-101B-9397-08002B2CF9AE}" pid="36" name="DocumentSource">
    <vt:lpwstr>1;#EESC|422833ec-8d7e-4e65-8e4e-8bed07ffb729</vt:lpwstr>
  </property>
  <property fmtid="{D5CDD505-2E9C-101B-9397-08002B2CF9AE}" pid="37" name="DocumentType">
    <vt:lpwstr>126;#AS|c7a748eb-f6f2-4d9d-8b5a-af0cafebc224</vt:lpwstr>
  </property>
  <property fmtid="{D5CDD505-2E9C-101B-9397-08002B2CF9AE}" pid="38" name="DocumentLanguage">
    <vt:lpwstr>36;#RO|feb747a2-64cd-4299-af12-4833ddc30497</vt:lpwstr>
  </property>
  <property fmtid="{D5CDD505-2E9C-101B-9397-08002B2CF9AE}" pid="39" name="_docset_NoMedatataSyncRequired">
    <vt:lpwstr>False</vt:lpwstr>
  </property>
  <property fmtid="{D5CDD505-2E9C-101B-9397-08002B2CF9AE}" pid="40" name="DocumentLanguage_0">
    <vt:lpwstr>IT|0774613c-01ed-4e5d-a25d-11d2388de825</vt:lpwstr>
  </property>
  <property fmtid="{D5CDD505-2E9C-101B-9397-08002B2CF9AE}" pid="41" name="MeetingDate">
    <vt:filetime>2025-12-03T12:00:00Z</vt:filetime>
  </property>
</Properties>
</file>