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04F368" w14:textId="4BCA7B76" w:rsidR="00BE5CDA" w:rsidRPr="00220959" w:rsidRDefault="00FB0D61" w:rsidP="0052151F">
      <w:pPr>
        <w:jc w:val="center"/>
      </w:pPr>
      <w:r>
        <w:rPr>
          <w:noProof/>
        </w:rPr>
        <w:drawing>
          <wp:inline distT="0" distB="0" distL="0" distR="0" wp14:anchorId="7EF20E77" wp14:editId="421F74A3">
            <wp:extent cx="1792605" cy="1239520"/>
            <wp:effectExtent l="0" t="0" r="0" b="0"/>
            <wp:docPr id="1" name="Picture 1" title="EESCLogo_LV"/>
            <wp:cNvGraphicFramePr/>
            <a:graphic xmlns:a="http://schemas.openxmlformats.org/drawingml/2006/main">
              <a:graphicData uri="http://schemas.openxmlformats.org/drawingml/2006/picture">
                <pic:pic xmlns:pic="http://schemas.openxmlformats.org/drawingml/2006/picture">
                  <pic:nvPicPr>
                    <pic:cNvPr id="1" name="Picture 1" title="EESCLogo_LV"/>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92605" cy="1239520"/>
                    </a:xfrm>
                    <a:prstGeom prst="rect">
                      <a:avLst/>
                    </a:prstGeom>
                  </pic:spPr>
                </pic:pic>
              </a:graphicData>
            </a:graphic>
          </wp:inline>
        </w:drawing>
      </w:r>
    </w:p>
    <w:p w14:paraId="53FAAE4D" w14:textId="27408B91" w:rsidR="00BE5CDA" w:rsidRPr="00220959" w:rsidRDefault="0052151F">
      <w:r>
        <w:rPr>
          <w:noProof/>
          <w:sz w:val="20"/>
        </w:rPr>
        <mc:AlternateContent>
          <mc:Choice Requires="wps">
            <w:drawing>
              <wp:anchor distT="0" distB="0" distL="114300" distR="114300" simplePos="0" relativeHeight="251658240" behindDoc="1" locked="0" layoutInCell="0" allowOverlap="1" wp14:anchorId="72370354" wp14:editId="43879C8F">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8A5A16" w14:textId="77777777" w:rsidR="0052151F" w:rsidRPr="00260E65" w:rsidRDefault="0052151F">
                            <w:pPr>
                              <w:jc w:val="center"/>
                              <w:rPr>
                                <w:rFonts w:ascii="Arial" w:hAnsi="Arial" w:cs="Arial"/>
                                <w:b/>
                                <w:bCs/>
                                <w:sz w:val="48"/>
                              </w:rPr>
                            </w:pPr>
                            <w:r>
                              <w:rPr>
                                <w:rFonts w:ascii="Arial" w:hAnsi="Arial"/>
                                <w:b/>
                                <w:sz w:val="48"/>
                              </w:rPr>
                              <w:t>LV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370354"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748A5A16" w14:textId="77777777" w:rsidR="0052151F" w:rsidRPr="00260E65" w:rsidRDefault="0052151F">
                      <w:pPr>
                        <w:jc w:val="center"/>
                        <w:rPr>
                          <w:rFonts w:ascii="Arial" w:hAnsi="Arial" w:cs="Arial"/>
                          <w:b/>
                          <w:bCs/>
                          <w:sz w:val="48"/>
                        </w:rPr>
                      </w:pPr>
                      <w:r>
                        <w:rPr>
                          <w:rFonts w:ascii="Arial" w:hAnsi="Arial"/>
                          <w:b/>
                          <w:sz w:val="48"/>
                        </w:rPr>
                        <w:t>LV</w:t>
                      </w:r>
                    </w:p>
                  </w:txbxContent>
                </v:textbox>
                <w10:wrap anchorx="page" anchory="page"/>
              </v:shape>
            </w:pict>
          </mc:Fallback>
        </mc:AlternateContent>
      </w:r>
    </w:p>
    <w:p w14:paraId="52FDB1CA" w14:textId="77777777" w:rsidR="00BE5CDA" w:rsidRPr="00E351AA" w:rsidRDefault="00215C69">
      <w:pPr>
        <w:jc w:val="right"/>
      </w:pPr>
      <w:r>
        <w:rPr>
          <w:b/>
        </w:rPr>
        <w:t>SOC/828</w:t>
      </w:r>
    </w:p>
    <w:p w14:paraId="699A68D9" w14:textId="77777777" w:rsidR="00BE5CDA" w:rsidRPr="00E351AA" w:rsidRDefault="00215C69">
      <w:pPr>
        <w:jc w:val="right"/>
      </w:pPr>
      <w:r>
        <w:rPr>
          <w:b/>
        </w:rPr>
        <w:t>Žurnālistu darba tiesības</w:t>
      </w:r>
    </w:p>
    <w:p w14:paraId="63B53E32" w14:textId="77777777" w:rsidR="00BE5CDA" w:rsidRPr="00E351AA" w:rsidRDefault="00BE5CDA">
      <w:pPr>
        <w:rPr>
          <w:lang w:val="en-GB"/>
        </w:rPr>
      </w:pPr>
    </w:p>
    <w:p w14:paraId="3B1FFD8C" w14:textId="77777777" w:rsidR="00BE5CDA" w:rsidRPr="00E351AA" w:rsidRDefault="00BE5CDA">
      <w:pPr>
        <w:rPr>
          <w:lang w:val="en-GB"/>
        </w:rPr>
      </w:pPr>
    </w:p>
    <w:p w14:paraId="554EC797" w14:textId="63E04071" w:rsidR="00BE5CDA" w:rsidRPr="00E351AA" w:rsidRDefault="00215C69">
      <w:pPr>
        <w:jc w:val="center"/>
        <w:rPr>
          <w:b/>
          <w:sz w:val="28"/>
          <w:szCs w:val="28"/>
        </w:rPr>
      </w:pPr>
      <w:r>
        <w:rPr>
          <w:b/>
          <w:sz w:val="28"/>
        </w:rPr>
        <w:t>ATZINUMS</w:t>
      </w:r>
    </w:p>
    <w:p w14:paraId="4A4BBCA1" w14:textId="77777777" w:rsidR="00BE5CDA" w:rsidRPr="00E351AA" w:rsidRDefault="00BE5CDA">
      <w:pPr>
        <w:jc w:val="center"/>
        <w:rPr>
          <w:lang w:val="en-GB"/>
        </w:rPr>
      </w:pPr>
    </w:p>
    <w:p w14:paraId="56903EFC" w14:textId="77777777" w:rsidR="00BE5CDA" w:rsidRPr="00E351AA" w:rsidRDefault="00215C69">
      <w:pPr>
        <w:jc w:val="center"/>
      </w:pPr>
      <w:r>
        <w:t>Nodarbinātības, sociālo lietu un pilsoniskuma specializētā nodaļa</w:t>
      </w:r>
    </w:p>
    <w:p w14:paraId="76CD22DC" w14:textId="77777777" w:rsidR="00BE5CDA" w:rsidRPr="00E351AA" w:rsidRDefault="00BE5CDA">
      <w:pPr>
        <w:jc w:val="center"/>
        <w:rPr>
          <w:lang w:val="en-GB"/>
        </w:rPr>
      </w:pPr>
    </w:p>
    <w:p w14:paraId="36BF3F8B" w14:textId="77777777" w:rsidR="00BE5CDA" w:rsidRPr="00E351AA" w:rsidRDefault="00215C69">
      <w:pPr>
        <w:tabs>
          <w:tab w:val="left" w:pos="7938"/>
        </w:tabs>
        <w:ind w:left="1247" w:right="1247"/>
        <w:jc w:val="center"/>
        <w:rPr>
          <w:b/>
        </w:rPr>
      </w:pPr>
      <w:r>
        <w:rPr>
          <w:b/>
        </w:rPr>
        <w:t>Žurnālistu un mediju speciālistu darba tiesības kā neatkarības un patiesas informācijas garantija</w:t>
      </w:r>
    </w:p>
    <w:p w14:paraId="2359F2FD" w14:textId="594A89F6" w:rsidR="00BE5CDA" w:rsidRPr="00E351AA" w:rsidRDefault="00215C69">
      <w:pPr>
        <w:jc w:val="center"/>
      </w:pPr>
      <w:r>
        <w:rPr>
          <w:b/>
        </w:rPr>
        <w:t>(pašiniciatīvas atzinums)</w:t>
      </w:r>
    </w:p>
    <w:tbl>
      <w:tblPr>
        <w:tblStyle w:val="af4"/>
        <w:tblpPr w:leftFromText="181" w:rightFromText="181" w:horzAnchor="margin" w:tblpXSpec="right" w:tblpYSpec="bottom"/>
        <w:tblW w:w="9073" w:type="dxa"/>
        <w:tblLayout w:type="fixed"/>
        <w:tblLook w:val="0400" w:firstRow="0" w:lastRow="0" w:firstColumn="0" w:lastColumn="0" w:noHBand="0" w:noVBand="1"/>
      </w:tblPr>
      <w:tblGrid>
        <w:gridCol w:w="3092"/>
        <w:gridCol w:w="5981"/>
      </w:tblGrid>
      <w:tr w:rsidR="00BE5CDA" w:rsidRPr="00220959" w14:paraId="380CE784" w14:textId="77777777" w:rsidTr="002C58D5">
        <w:tc>
          <w:tcPr>
            <w:tcW w:w="9073" w:type="dxa"/>
            <w:gridSpan w:val="2"/>
          </w:tcPr>
          <w:p w14:paraId="4CCB8DD4" w14:textId="411A2529" w:rsidR="00BE5CDA" w:rsidRPr="00E351AA" w:rsidRDefault="00BE5CDA" w:rsidP="00ED431D">
            <w:pPr>
              <w:jc w:val="left"/>
              <w:rPr>
                <w:lang w:val="en-GB"/>
              </w:rPr>
            </w:pPr>
          </w:p>
        </w:tc>
      </w:tr>
      <w:tr w:rsidR="00BE5CDA" w:rsidRPr="00220959" w14:paraId="2E2829F9" w14:textId="77777777" w:rsidTr="002C58D5">
        <w:tc>
          <w:tcPr>
            <w:tcW w:w="9073" w:type="dxa"/>
            <w:gridSpan w:val="2"/>
          </w:tcPr>
          <w:p w14:paraId="621A8333" w14:textId="77777777" w:rsidR="00BE5CDA" w:rsidRPr="00220959" w:rsidRDefault="00BE5CDA" w:rsidP="00ED431D">
            <w:pPr>
              <w:jc w:val="left"/>
              <w:rPr>
                <w:lang w:val="en-GB"/>
              </w:rPr>
            </w:pPr>
          </w:p>
        </w:tc>
      </w:tr>
      <w:tr w:rsidR="00BE5CDA" w:rsidRPr="00220959" w14:paraId="1D1B3E33" w14:textId="77777777" w:rsidTr="002C58D5">
        <w:tc>
          <w:tcPr>
            <w:tcW w:w="3092" w:type="dxa"/>
          </w:tcPr>
          <w:p w14:paraId="070AE9E7" w14:textId="49B5044B" w:rsidR="00BE5CDA" w:rsidRPr="00E351AA" w:rsidRDefault="00BE5CDA" w:rsidP="00ED431D">
            <w:pPr>
              <w:jc w:val="left"/>
              <w:rPr>
                <w:lang w:val="en-GB"/>
              </w:rPr>
            </w:pPr>
          </w:p>
          <w:p w14:paraId="55DF0541" w14:textId="40729CC5" w:rsidR="00CD24AA" w:rsidRPr="00E351AA" w:rsidRDefault="00CD24AA" w:rsidP="00ED431D">
            <w:pPr>
              <w:jc w:val="left"/>
              <w:rPr>
                <w:lang w:val="en-GB"/>
              </w:rPr>
            </w:pPr>
          </w:p>
        </w:tc>
        <w:tc>
          <w:tcPr>
            <w:tcW w:w="5981" w:type="dxa"/>
          </w:tcPr>
          <w:p w14:paraId="0B577A23" w14:textId="72459054" w:rsidR="00BE5CDA" w:rsidRPr="00E351AA" w:rsidRDefault="00BE5CDA" w:rsidP="00ED431D">
            <w:pPr>
              <w:jc w:val="left"/>
              <w:rPr>
                <w:lang w:val="en-GB"/>
              </w:rPr>
            </w:pPr>
          </w:p>
          <w:p w14:paraId="67D9799C" w14:textId="71BEE751" w:rsidR="00CD24AA" w:rsidRPr="00E351AA" w:rsidRDefault="00CD24AA" w:rsidP="00ED431D">
            <w:pPr>
              <w:jc w:val="left"/>
              <w:rPr>
                <w:b/>
                <w:bCs/>
                <w:lang w:val="en-GB"/>
              </w:rPr>
            </w:pPr>
          </w:p>
        </w:tc>
      </w:tr>
      <w:tr w:rsidR="00BE5CDA" w:rsidRPr="00220959" w14:paraId="7839E8E6" w14:textId="77777777" w:rsidTr="002C58D5">
        <w:tc>
          <w:tcPr>
            <w:tcW w:w="3092" w:type="dxa"/>
          </w:tcPr>
          <w:p w14:paraId="392DECEA" w14:textId="77777777" w:rsidR="00BE5CDA" w:rsidRPr="00173645" w:rsidRDefault="00215C69" w:rsidP="00ED431D">
            <w:pPr>
              <w:jc w:val="left"/>
            </w:pPr>
            <w:r>
              <w:rPr>
                <w:b/>
              </w:rPr>
              <w:t>Kontaktinformācija</w:t>
            </w:r>
          </w:p>
        </w:tc>
        <w:tc>
          <w:tcPr>
            <w:tcW w:w="5981" w:type="dxa"/>
          </w:tcPr>
          <w:p w14:paraId="31E6A44D" w14:textId="38232E4B" w:rsidR="00BE5CDA" w:rsidRPr="00220959" w:rsidRDefault="0090416C" w:rsidP="00ED431D">
            <w:pPr>
              <w:jc w:val="left"/>
            </w:pPr>
            <w:hyperlink r:id="rId13" w:history="1">
              <w:r w:rsidR="007536DA">
                <w:rPr>
                  <w:rStyle w:val="Hyperlink"/>
                </w:rPr>
                <w:t>SOC@eesc.europa.eu</w:t>
              </w:r>
            </w:hyperlink>
          </w:p>
        </w:tc>
      </w:tr>
      <w:tr w:rsidR="00BE5CDA" w:rsidRPr="00220959" w14:paraId="690A1A2E" w14:textId="77777777" w:rsidTr="002C58D5">
        <w:tc>
          <w:tcPr>
            <w:tcW w:w="3092" w:type="dxa"/>
          </w:tcPr>
          <w:p w14:paraId="60A8B1F8" w14:textId="77777777" w:rsidR="00BE5CDA" w:rsidRPr="00173645" w:rsidRDefault="00215C69" w:rsidP="00ED431D">
            <w:pPr>
              <w:jc w:val="left"/>
            </w:pPr>
            <w:r>
              <w:t>Administratore</w:t>
            </w:r>
          </w:p>
        </w:tc>
        <w:tc>
          <w:tcPr>
            <w:tcW w:w="5981" w:type="dxa"/>
          </w:tcPr>
          <w:p w14:paraId="42C05F05" w14:textId="77777777" w:rsidR="00BE5CDA" w:rsidRPr="00E351AA" w:rsidRDefault="00215C69" w:rsidP="00ED431D">
            <w:pPr>
              <w:jc w:val="left"/>
            </w:pPr>
            <w:proofErr w:type="spellStart"/>
            <w:r>
              <w:t>June</w:t>
            </w:r>
            <w:proofErr w:type="spellEnd"/>
            <w:r>
              <w:t xml:space="preserve"> </w:t>
            </w:r>
            <w:proofErr w:type="spellStart"/>
            <w:r>
              <w:t>Bedaton</w:t>
            </w:r>
            <w:proofErr w:type="spellEnd"/>
          </w:p>
        </w:tc>
      </w:tr>
      <w:tr w:rsidR="00BE5CDA" w:rsidRPr="00220959" w14:paraId="5B64B430" w14:textId="77777777" w:rsidTr="002C58D5">
        <w:tc>
          <w:tcPr>
            <w:tcW w:w="3092" w:type="dxa"/>
          </w:tcPr>
          <w:p w14:paraId="439B4EF9" w14:textId="77777777" w:rsidR="00BE5CDA" w:rsidRPr="00173645" w:rsidRDefault="00215C69" w:rsidP="00ED431D">
            <w:pPr>
              <w:jc w:val="left"/>
            </w:pPr>
            <w:r>
              <w:t>Dokumenta datums</w:t>
            </w:r>
          </w:p>
        </w:tc>
        <w:tc>
          <w:tcPr>
            <w:tcW w:w="5981" w:type="dxa"/>
          </w:tcPr>
          <w:p w14:paraId="38316E64" w14:textId="659C27F6" w:rsidR="00BE5CDA" w:rsidRPr="00E351AA" w:rsidRDefault="009754EA" w:rsidP="00ED431D">
            <w:pPr>
              <w:jc w:val="left"/>
            </w:pPr>
            <w:r>
              <w:t>12/11/2025</w:t>
            </w:r>
          </w:p>
        </w:tc>
      </w:tr>
    </w:tbl>
    <w:p w14:paraId="416188AD" w14:textId="77777777" w:rsidR="00BE5CDA" w:rsidRPr="00220959" w:rsidRDefault="00BE5CDA">
      <w:pPr>
        <w:jc w:val="center"/>
        <w:rPr>
          <w:lang w:val="en-GB"/>
        </w:rPr>
      </w:pPr>
    </w:p>
    <w:p w14:paraId="55C53C9F" w14:textId="77777777" w:rsidR="00BE5CDA" w:rsidRPr="00E351AA" w:rsidRDefault="00215C69">
      <w:pPr>
        <w:jc w:val="center"/>
      </w:pPr>
      <w:r>
        <w:t xml:space="preserve">Ziņotājs: </w:t>
      </w:r>
      <w:proofErr w:type="spellStart"/>
      <w:r>
        <w:rPr>
          <w:b/>
          <w:i/>
        </w:rPr>
        <w:t>José</w:t>
      </w:r>
      <w:proofErr w:type="spellEnd"/>
      <w:r>
        <w:rPr>
          <w:b/>
          <w:i/>
        </w:rPr>
        <w:t xml:space="preserve"> Antonio MORENO DÍAZ</w:t>
      </w:r>
    </w:p>
    <w:p w14:paraId="0AB38F8F" w14:textId="31B70CEB" w:rsidR="00BE5CDA" w:rsidRDefault="00215C69" w:rsidP="009C61FF">
      <w:pPr>
        <w:widowControl w:val="0"/>
        <w:pBdr>
          <w:top w:val="nil"/>
          <w:left w:val="nil"/>
          <w:bottom w:val="nil"/>
          <w:right w:val="nil"/>
          <w:between w:val="nil"/>
        </w:pBdr>
        <w:jc w:val="center"/>
        <w:rPr>
          <w:b/>
        </w:rPr>
      </w:pPr>
      <w:r>
        <w:t xml:space="preserve">Līdzziņotājs: </w:t>
      </w:r>
      <w:r>
        <w:rPr>
          <w:b/>
          <w:i/>
        </w:rPr>
        <w:t>Christian MOOS</w:t>
      </w:r>
    </w:p>
    <w:p w14:paraId="5677517C" w14:textId="3A7DF224" w:rsidR="00173645" w:rsidRPr="002C4A2A" w:rsidRDefault="00173645" w:rsidP="00E351AA">
      <w:pPr>
        <w:widowControl w:val="0"/>
        <w:pBdr>
          <w:top w:val="nil"/>
          <w:left w:val="nil"/>
          <w:bottom w:val="nil"/>
          <w:right w:val="nil"/>
          <w:between w:val="nil"/>
        </w:pBdr>
        <w:jc w:val="center"/>
        <w:rPr>
          <w:bCs/>
          <w:lang w:val="en-GB"/>
        </w:rPr>
      </w:pPr>
    </w:p>
    <w:p w14:paraId="0CBF1EBB" w14:textId="77777777" w:rsidR="00173645" w:rsidRPr="002C4A2A" w:rsidRDefault="00173645" w:rsidP="002C4A2A">
      <w:pPr>
        <w:widowControl w:val="0"/>
        <w:pBdr>
          <w:top w:val="nil"/>
          <w:left w:val="nil"/>
          <w:bottom w:val="nil"/>
          <w:right w:val="nil"/>
          <w:between w:val="nil"/>
        </w:pBdr>
        <w:jc w:val="left"/>
        <w:rPr>
          <w:bCs/>
          <w:lang w:val="en-GB"/>
        </w:rPr>
      </w:pPr>
    </w:p>
    <w:p w14:paraId="259714BA" w14:textId="349DDAA5" w:rsidR="00BE5CDA" w:rsidRPr="00E351AA" w:rsidRDefault="00BE5CDA" w:rsidP="009C61FF">
      <w:pPr>
        <w:widowControl w:val="0"/>
        <w:pBdr>
          <w:top w:val="nil"/>
          <w:left w:val="nil"/>
          <w:bottom w:val="nil"/>
          <w:right w:val="nil"/>
          <w:between w:val="nil"/>
        </w:pBdr>
        <w:rPr>
          <w:bCs/>
          <w:lang w:val="en-GB"/>
        </w:rPr>
      </w:pPr>
    </w:p>
    <w:p w14:paraId="7B798F82" w14:textId="77777777" w:rsidR="00EA6711" w:rsidRPr="00E351AA" w:rsidRDefault="00EA6711" w:rsidP="009C61FF">
      <w:pPr>
        <w:widowControl w:val="0"/>
        <w:pBdr>
          <w:top w:val="nil"/>
          <w:left w:val="nil"/>
          <w:bottom w:val="nil"/>
          <w:right w:val="nil"/>
          <w:between w:val="nil"/>
        </w:pBdr>
        <w:rPr>
          <w:bCs/>
          <w:lang w:val="en-GB"/>
        </w:rPr>
        <w:sectPr w:rsidR="00EA6711" w:rsidRPr="00E351AA" w:rsidSect="009754EA">
          <w:headerReference w:type="even" r:id="rId14"/>
          <w:headerReference w:type="default" r:id="rId15"/>
          <w:footerReference w:type="even" r:id="rId16"/>
          <w:footerReference w:type="default" r:id="rId17"/>
          <w:headerReference w:type="first" r:id="rId18"/>
          <w:footerReference w:type="first" r:id="rId19"/>
          <w:pgSz w:w="11907" w:h="16839"/>
          <w:pgMar w:top="1417" w:right="1417" w:bottom="1417" w:left="1417" w:header="709" w:footer="709" w:gutter="0"/>
          <w:pgNumType w:start="1"/>
          <w:cols w:space="720"/>
          <w:docGrid w:linePitch="299"/>
        </w:sectPr>
      </w:pPr>
    </w:p>
    <w:p w14:paraId="275606B0" w14:textId="77777777" w:rsidR="00BE5CDA" w:rsidRPr="00220959" w:rsidRDefault="00BE5CDA">
      <w:pPr>
        <w:rPr>
          <w:lang w:val="en-GB"/>
        </w:rPr>
      </w:pPr>
    </w:p>
    <w:tbl>
      <w:tblPr>
        <w:tblStyle w:val="af6"/>
        <w:tblW w:w="9073" w:type="dxa"/>
        <w:tblInd w:w="115" w:type="dxa"/>
        <w:tblLayout w:type="fixed"/>
        <w:tblLook w:val="0400" w:firstRow="0" w:lastRow="0" w:firstColumn="0" w:lastColumn="0" w:noHBand="0" w:noVBand="1"/>
      </w:tblPr>
      <w:tblGrid>
        <w:gridCol w:w="3261"/>
        <w:gridCol w:w="5812"/>
      </w:tblGrid>
      <w:tr w:rsidR="00BE5CDA" w:rsidRPr="00220959" w14:paraId="35CCBF51" w14:textId="77777777" w:rsidTr="009C61FF">
        <w:trPr>
          <w:trHeight w:val="251"/>
        </w:trPr>
        <w:tc>
          <w:tcPr>
            <w:tcW w:w="3261" w:type="dxa"/>
          </w:tcPr>
          <w:p w14:paraId="2A4B5DBD" w14:textId="0EB64652" w:rsidR="00BE5CDA" w:rsidRPr="00E351AA" w:rsidRDefault="00215C69">
            <w:pPr>
              <w:jc w:val="left"/>
            </w:pPr>
            <w:r>
              <w:t>Padomnieki</w:t>
            </w:r>
          </w:p>
        </w:tc>
        <w:tc>
          <w:tcPr>
            <w:tcW w:w="5812" w:type="dxa"/>
          </w:tcPr>
          <w:p w14:paraId="2857E04C" w14:textId="1F6F9577" w:rsidR="00BE5CDA" w:rsidRPr="00E351AA" w:rsidRDefault="00215C69">
            <w:pPr>
              <w:jc w:val="left"/>
            </w:pPr>
            <w:proofErr w:type="spellStart"/>
            <w:r>
              <w:t>Ricardo</w:t>
            </w:r>
            <w:proofErr w:type="spellEnd"/>
            <w:r>
              <w:t xml:space="preserve"> </w:t>
            </w:r>
            <w:r>
              <w:rPr>
                <w:smallCaps/>
              </w:rPr>
              <w:t>GUTIÉRREZ</w:t>
            </w:r>
            <w:r>
              <w:t xml:space="preserve"> (ziņotāja padomnieks, II grupa)</w:t>
            </w:r>
          </w:p>
          <w:p w14:paraId="4E4485C5" w14:textId="77777777" w:rsidR="00BE5CDA" w:rsidRPr="00E351AA" w:rsidRDefault="00215C69">
            <w:pPr>
              <w:jc w:val="left"/>
            </w:pPr>
            <w:proofErr w:type="spellStart"/>
            <w:r>
              <w:t>Julian</w:t>
            </w:r>
            <w:proofErr w:type="spellEnd"/>
            <w:r>
              <w:t xml:space="preserve"> PLOTTKA </w:t>
            </w:r>
            <w:r>
              <w:rPr>
                <w:smallCaps/>
              </w:rPr>
              <w:t>(</w:t>
            </w:r>
            <w:r>
              <w:t>līdzziņotāja padomnieks, III grupa)</w:t>
            </w:r>
          </w:p>
        </w:tc>
      </w:tr>
      <w:tr w:rsidR="00BE5CDA" w:rsidRPr="00220959" w14:paraId="230845FC" w14:textId="77777777" w:rsidTr="009C61FF">
        <w:trPr>
          <w:trHeight w:val="251"/>
        </w:trPr>
        <w:tc>
          <w:tcPr>
            <w:tcW w:w="3261" w:type="dxa"/>
          </w:tcPr>
          <w:p w14:paraId="0AD45DB9" w14:textId="77777777" w:rsidR="00BE5CDA" w:rsidRPr="00220959" w:rsidRDefault="00BE5CDA">
            <w:pPr>
              <w:jc w:val="left"/>
              <w:rPr>
                <w:lang w:val="en-GB"/>
              </w:rPr>
            </w:pPr>
          </w:p>
        </w:tc>
        <w:tc>
          <w:tcPr>
            <w:tcW w:w="5812" w:type="dxa"/>
          </w:tcPr>
          <w:p w14:paraId="101C26C6" w14:textId="77777777" w:rsidR="00BE5CDA" w:rsidRPr="00E351AA" w:rsidRDefault="00BE5CDA">
            <w:pPr>
              <w:jc w:val="left"/>
              <w:rPr>
                <w:lang w:val="en-GB"/>
              </w:rPr>
            </w:pPr>
          </w:p>
        </w:tc>
      </w:tr>
      <w:tr w:rsidR="00BE5CDA" w:rsidRPr="00220959" w14:paraId="6F4E2123" w14:textId="77777777" w:rsidTr="009C61FF">
        <w:tc>
          <w:tcPr>
            <w:tcW w:w="3261" w:type="dxa"/>
          </w:tcPr>
          <w:p w14:paraId="0F71960A" w14:textId="77777777" w:rsidR="00BE5CDA" w:rsidRPr="00E351AA" w:rsidRDefault="00215C69">
            <w:pPr>
              <w:jc w:val="left"/>
            </w:pPr>
            <w:r>
              <w:t>Plenārsesijas lēmums</w:t>
            </w:r>
          </w:p>
        </w:tc>
        <w:tc>
          <w:tcPr>
            <w:tcW w:w="5812" w:type="dxa"/>
          </w:tcPr>
          <w:p w14:paraId="1395A7AC" w14:textId="77777777" w:rsidR="00BE5CDA" w:rsidRPr="00E351AA" w:rsidRDefault="00215C69">
            <w:pPr>
              <w:jc w:val="left"/>
            </w:pPr>
            <w:r>
              <w:t>23/1/2025</w:t>
            </w:r>
          </w:p>
        </w:tc>
      </w:tr>
      <w:tr w:rsidR="00BE5CDA" w:rsidRPr="00220959" w14:paraId="35FAF79B" w14:textId="77777777" w:rsidTr="009C61FF">
        <w:tc>
          <w:tcPr>
            <w:tcW w:w="3261" w:type="dxa"/>
          </w:tcPr>
          <w:p w14:paraId="235A29A3" w14:textId="77777777" w:rsidR="00BE5CDA" w:rsidRPr="00E351AA" w:rsidRDefault="00215C69">
            <w:pPr>
              <w:jc w:val="left"/>
            </w:pPr>
            <w:r>
              <w:t>Juridiskais pamats</w:t>
            </w:r>
          </w:p>
        </w:tc>
        <w:tc>
          <w:tcPr>
            <w:tcW w:w="5812" w:type="dxa"/>
          </w:tcPr>
          <w:p w14:paraId="54FC17AC" w14:textId="77777777" w:rsidR="00BE5CDA" w:rsidRPr="00E351AA" w:rsidRDefault="00215C69">
            <w:pPr>
              <w:jc w:val="left"/>
            </w:pPr>
            <w:r>
              <w:t>Reglamenta 52. panta 2. punkts</w:t>
            </w:r>
          </w:p>
          <w:p w14:paraId="662509EF" w14:textId="77777777" w:rsidR="00BE5CDA" w:rsidRPr="00E351AA" w:rsidRDefault="00215C69">
            <w:pPr>
              <w:jc w:val="left"/>
            </w:pPr>
            <w:r>
              <w:t>(pašiniciatīvas atzinums)</w:t>
            </w:r>
          </w:p>
        </w:tc>
      </w:tr>
      <w:tr w:rsidR="00BE5CDA" w:rsidRPr="00220959" w14:paraId="4E07EF7D" w14:textId="77777777" w:rsidTr="009C61FF">
        <w:tc>
          <w:tcPr>
            <w:tcW w:w="3261" w:type="dxa"/>
          </w:tcPr>
          <w:p w14:paraId="77F9D0B8" w14:textId="77777777" w:rsidR="00BE5CDA" w:rsidRPr="00E351AA" w:rsidRDefault="00215C69">
            <w:pPr>
              <w:jc w:val="left"/>
            </w:pPr>
            <w:r>
              <w:t>Atbildīgā specializētā nodaļa</w:t>
            </w:r>
          </w:p>
        </w:tc>
        <w:tc>
          <w:tcPr>
            <w:tcW w:w="5812" w:type="dxa"/>
          </w:tcPr>
          <w:p w14:paraId="45C913C3" w14:textId="77777777" w:rsidR="00BE5CDA" w:rsidRPr="00E351AA" w:rsidRDefault="00215C69">
            <w:pPr>
              <w:jc w:val="left"/>
            </w:pPr>
            <w:r>
              <w:t>Nodarbinātības, sociālo lietu un pilsoniskuma specializētā nodaļa</w:t>
            </w:r>
          </w:p>
        </w:tc>
      </w:tr>
      <w:tr w:rsidR="00BE5CDA" w:rsidRPr="00220959" w14:paraId="4944706C" w14:textId="77777777" w:rsidTr="009C61FF">
        <w:tc>
          <w:tcPr>
            <w:tcW w:w="3261" w:type="dxa"/>
          </w:tcPr>
          <w:p w14:paraId="217B6B79" w14:textId="77777777" w:rsidR="00BE5CDA" w:rsidRPr="00E351AA" w:rsidRDefault="00215C69">
            <w:pPr>
              <w:jc w:val="left"/>
            </w:pPr>
            <w:r>
              <w:t>Pieņemts specializētās nodaļas sanāksmē</w:t>
            </w:r>
          </w:p>
        </w:tc>
        <w:tc>
          <w:tcPr>
            <w:tcW w:w="5812" w:type="dxa"/>
          </w:tcPr>
          <w:p w14:paraId="3196B5EB" w14:textId="77777777" w:rsidR="00C00D56" w:rsidRDefault="00C00D56">
            <w:pPr>
              <w:jc w:val="left"/>
            </w:pPr>
          </w:p>
          <w:p w14:paraId="16D6CB5D" w14:textId="49433009" w:rsidR="00BE5CDA" w:rsidRPr="00E351AA" w:rsidRDefault="00721B09">
            <w:pPr>
              <w:jc w:val="left"/>
            </w:pPr>
            <w:r>
              <w:t>6/11/2025</w:t>
            </w:r>
          </w:p>
        </w:tc>
      </w:tr>
      <w:tr w:rsidR="00BE5CDA" w:rsidRPr="00220959" w14:paraId="41D7B53B" w14:textId="77777777" w:rsidTr="009C61FF">
        <w:tc>
          <w:tcPr>
            <w:tcW w:w="3261" w:type="dxa"/>
          </w:tcPr>
          <w:p w14:paraId="6199BD91" w14:textId="77777777" w:rsidR="00BE5CDA" w:rsidRPr="00E351AA" w:rsidRDefault="00215C69">
            <w:pPr>
              <w:jc w:val="left"/>
            </w:pPr>
            <w:r>
              <w:t>Balsojuma rezultāts</w:t>
            </w:r>
            <w:r>
              <w:br/>
              <w:t>(par / pret / atturas)</w:t>
            </w:r>
          </w:p>
        </w:tc>
        <w:tc>
          <w:tcPr>
            <w:tcW w:w="5812" w:type="dxa"/>
            <w:vAlign w:val="bottom"/>
          </w:tcPr>
          <w:p w14:paraId="620A57D0" w14:textId="7F85330A" w:rsidR="00BE5CDA" w:rsidRPr="00E351AA" w:rsidRDefault="00721B09">
            <w:pPr>
              <w:jc w:val="left"/>
            </w:pPr>
            <w:r>
              <w:t>87/2/1</w:t>
            </w:r>
          </w:p>
        </w:tc>
      </w:tr>
      <w:tr w:rsidR="00BE5CDA" w:rsidRPr="00220959" w14:paraId="3277EDFB" w14:textId="77777777" w:rsidTr="009C61FF">
        <w:tc>
          <w:tcPr>
            <w:tcW w:w="3261" w:type="dxa"/>
          </w:tcPr>
          <w:p w14:paraId="0B507D24" w14:textId="77777777" w:rsidR="00BE5CDA" w:rsidRPr="00E351AA" w:rsidRDefault="00215C69">
            <w:pPr>
              <w:jc w:val="left"/>
            </w:pPr>
            <w:r>
              <w:t>Pieņemts plenārsesijā</w:t>
            </w:r>
          </w:p>
        </w:tc>
        <w:tc>
          <w:tcPr>
            <w:tcW w:w="5812" w:type="dxa"/>
          </w:tcPr>
          <w:p w14:paraId="29DD865A" w14:textId="77777777" w:rsidR="00BE5CDA" w:rsidRPr="00E351AA" w:rsidRDefault="00215C69">
            <w:pPr>
              <w:jc w:val="left"/>
            </w:pPr>
            <w:r>
              <w:t>D/M/YYYY</w:t>
            </w:r>
          </w:p>
        </w:tc>
      </w:tr>
      <w:tr w:rsidR="00BE5CDA" w:rsidRPr="00220959" w14:paraId="5E410D3E" w14:textId="77777777" w:rsidTr="009C61FF">
        <w:tc>
          <w:tcPr>
            <w:tcW w:w="3261" w:type="dxa"/>
          </w:tcPr>
          <w:p w14:paraId="3DF1945E" w14:textId="77777777" w:rsidR="00BE5CDA" w:rsidRPr="00E351AA" w:rsidRDefault="00215C69">
            <w:pPr>
              <w:jc w:val="left"/>
            </w:pPr>
            <w:r>
              <w:t>Plenārsesija Nr.</w:t>
            </w:r>
          </w:p>
        </w:tc>
        <w:tc>
          <w:tcPr>
            <w:tcW w:w="5812" w:type="dxa"/>
          </w:tcPr>
          <w:p w14:paraId="77D5C059" w14:textId="77777777" w:rsidR="00BE5CDA" w:rsidRPr="00E351AA" w:rsidRDefault="00215C69">
            <w:pPr>
              <w:jc w:val="left"/>
            </w:pPr>
            <w:r>
              <w:t>...</w:t>
            </w:r>
          </w:p>
        </w:tc>
      </w:tr>
      <w:tr w:rsidR="00BE5CDA" w:rsidRPr="00220959" w14:paraId="5B484506" w14:textId="77777777" w:rsidTr="009C61FF">
        <w:tc>
          <w:tcPr>
            <w:tcW w:w="3261" w:type="dxa"/>
          </w:tcPr>
          <w:p w14:paraId="00A5E78F" w14:textId="77777777" w:rsidR="00BE5CDA" w:rsidRPr="00E351AA" w:rsidRDefault="00215C69">
            <w:pPr>
              <w:jc w:val="left"/>
            </w:pPr>
            <w:r>
              <w:t>Balsojuma rezultāts</w:t>
            </w:r>
            <w:r>
              <w:br/>
              <w:t>(par / pret / atturas)</w:t>
            </w:r>
          </w:p>
        </w:tc>
        <w:tc>
          <w:tcPr>
            <w:tcW w:w="5812" w:type="dxa"/>
            <w:vAlign w:val="bottom"/>
          </w:tcPr>
          <w:p w14:paraId="77B0F8DE" w14:textId="77777777" w:rsidR="00BE5CDA" w:rsidRPr="00E351AA" w:rsidRDefault="00215C69">
            <w:pPr>
              <w:jc w:val="left"/>
            </w:pPr>
            <w:r>
              <w:t>…/…/…</w:t>
            </w:r>
          </w:p>
        </w:tc>
      </w:tr>
    </w:tbl>
    <w:p w14:paraId="0748D960" w14:textId="77777777" w:rsidR="00173645" w:rsidRDefault="00173645">
      <w:pPr>
        <w:rPr>
          <w:lang w:val="en-GB"/>
        </w:rPr>
      </w:pPr>
    </w:p>
    <w:p w14:paraId="7E8CDD9A" w14:textId="6B07049D" w:rsidR="00BE5CDA" w:rsidRPr="00E351AA" w:rsidRDefault="00215C69">
      <w:r>
        <w:br w:type="page"/>
      </w:r>
    </w:p>
    <w:p w14:paraId="7D1E68C2" w14:textId="77777777" w:rsidR="00BE5CDA" w:rsidRPr="00C00D56" w:rsidRDefault="00215C69" w:rsidP="00C00D56">
      <w:pPr>
        <w:pStyle w:val="Heading1"/>
        <w:rPr>
          <w:b/>
          <w:bCs/>
        </w:rPr>
      </w:pPr>
      <w:r w:rsidRPr="00C00D56">
        <w:rPr>
          <w:b/>
          <w:bCs/>
        </w:rPr>
        <w:lastRenderedPageBreak/>
        <w:t>Secinājumi un ieteikumi</w:t>
      </w:r>
    </w:p>
    <w:p w14:paraId="12A5D895" w14:textId="77777777" w:rsidR="00BE5CDA" w:rsidRPr="00E351AA" w:rsidRDefault="00BE5CDA">
      <w:pPr>
        <w:rPr>
          <w:lang w:val="en-GB"/>
        </w:rPr>
      </w:pPr>
    </w:p>
    <w:p w14:paraId="7F729A93" w14:textId="48DC2DAA" w:rsidR="00BE5CDA" w:rsidRPr="00E351AA" w:rsidRDefault="00215C69" w:rsidP="00C00D56">
      <w:pPr>
        <w:pStyle w:val="Heading2"/>
      </w:pPr>
      <w:r>
        <w:t>Vide, kurā žurnālisti darbojas Eiropā, kļūst arvien naidīgāka. Tas apdraud iedzīvotāju tiesības uz uzticamu, plurālistisku un neatkarīgu informāciju. Ņemot vērā risku demokrātijai, ko rada pieaugošā žurnālistu nedrošība, publiskā sektora iestādēm ir jāveic steidzami aizsardzības pasākumi.</w:t>
      </w:r>
    </w:p>
    <w:p w14:paraId="6AA1006C" w14:textId="77777777" w:rsidR="00BE5CDA" w:rsidRPr="00E351AA" w:rsidRDefault="00BE5CDA">
      <w:pPr>
        <w:rPr>
          <w:lang w:val="en-GB"/>
        </w:rPr>
      </w:pPr>
    </w:p>
    <w:p w14:paraId="3D9A155D" w14:textId="59319FEE" w:rsidR="00BE5CDA" w:rsidRPr="00E351AA" w:rsidRDefault="00215C69">
      <w:pPr>
        <w:pStyle w:val="Heading2"/>
        <w:rPr>
          <w:bCs/>
        </w:rPr>
      </w:pPr>
      <w:r>
        <w:t>EESK atzinīgi vērtē Eiropas Mediju brīvības akta (</w:t>
      </w:r>
      <w:proofErr w:type="spellStart"/>
      <w:r>
        <w:rPr>
          <w:i/>
        </w:rPr>
        <w:t>European</w:t>
      </w:r>
      <w:proofErr w:type="spellEnd"/>
      <w:r>
        <w:rPr>
          <w:i/>
        </w:rPr>
        <w:t xml:space="preserve"> </w:t>
      </w:r>
      <w:proofErr w:type="spellStart"/>
      <w:r>
        <w:rPr>
          <w:i/>
        </w:rPr>
        <w:t>Media</w:t>
      </w:r>
      <w:proofErr w:type="spellEnd"/>
      <w:r>
        <w:rPr>
          <w:i/>
        </w:rPr>
        <w:t xml:space="preserve"> </w:t>
      </w:r>
      <w:proofErr w:type="spellStart"/>
      <w:r>
        <w:rPr>
          <w:i/>
        </w:rPr>
        <w:t>Freedom</w:t>
      </w:r>
      <w:proofErr w:type="spellEnd"/>
      <w:r>
        <w:rPr>
          <w:i/>
        </w:rPr>
        <w:t xml:space="preserve"> </w:t>
      </w:r>
      <w:proofErr w:type="spellStart"/>
      <w:r>
        <w:rPr>
          <w:i/>
        </w:rPr>
        <w:t>Act</w:t>
      </w:r>
      <w:proofErr w:type="spellEnd"/>
      <w:r>
        <w:rPr>
          <w:i/>
        </w:rPr>
        <w:t xml:space="preserve"> – EMFA</w:t>
      </w:r>
      <w:r>
        <w:t>) stāšanos spēkā un aicina Eiropas Komisiju nodrošināt tā pilnīgu piemērošanu dalībvalstīs.</w:t>
      </w:r>
    </w:p>
    <w:p w14:paraId="5B325A5D" w14:textId="77777777" w:rsidR="00BE5CDA" w:rsidRPr="00E351AA" w:rsidRDefault="00BE5CDA">
      <w:pPr>
        <w:rPr>
          <w:lang w:val="en-GB"/>
        </w:rPr>
      </w:pPr>
    </w:p>
    <w:p w14:paraId="35C189DD" w14:textId="38055645" w:rsidR="00BE5CDA" w:rsidRPr="00E351AA" w:rsidRDefault="00215C69">
      <w:pPr>
        <w:pStyle w:val="Heading2"/>
        <w:rPr>
          <w:bCs/>
        </w:rPr>
      </w:pPr>
      <w:r>
        <w:t>ASV ļoti lielo tiešsaistes platformu dominējošais stāvoklis, kas aptver 80 % no digitālās reklāmas ieņēmumiem, apdraud Eiropas mediju nozares ilgtspēju. Tāpēc EESK aicina Eiropas Komisiju un dalībvalstis papildus esošajām subsīdijām izveidot neatkarīgu atbalstu mediju kanāliem. Šie pasākumi varētu ietvert PVN samazināšanu.</w:t>
      </w:r>
    </w:p>
    <w:p w14:paraId="5CD2A239" w14:textId="77777777" w:rsidR="00BE5CDA" w:rsidRPr="00220959" w:rsidRDefault="00BE5CDA">
      <w:pPr>
        <w:rPr>
          <w:lang w:val="en-GB"/>
        </w:rPr>
      </w:pPr>
    </w:p>
    <w:p w14:paraId="17A654BA" w14:textId="34040EA1" w:rsidR="00BE5CDA" w:rsidRPr="00E351AA" w:rsidRDefault="00215C69">
      <w:pPr>
        <w:pStyle w:val="Heading2"/>
        <w:rPr>
          <w:bCs/>
        </w:rPr>
      </w:pPr>
      <w:r>
        <w:t>EESK pauž bažas arī par to, ka koncentrācijas procesi mediju nozarē var apdraudēt to plurālismu Eiropā. Tāpēc EESK aicina Eiropas Komisiju izmantot savu kompetenci konkurences tiesību jomā, lai nodrošinātu konkurenci un tātad arī mediju plurālismu šajā nozarē.</w:t>
      </w:r>
    </w:p>
    <w:p w14:paraId="630D2C40" w14:textId="77777777" w:rsidR="00BE5CDA" w:rsidRPr="00E351AA" w:rsidRDefault="00BE5CDA">
      <w:pPr>
        <w:pBdr>
          <w:top w:val="nil"/>
          <w:left w:val="nil"/>
          <w:bottom w:val="nil"/>
          <w:right w:val="nil"/>
          <w:between w:val="nil"/>
        </w:pBdr>
        <w:rPr>
          <w:lang w:val="en-GB"/>
        </w:rPr>
      </w:pPr>
    </w:p>
    <w:p w14:paraId="0B67746F" w14:textId="4B656D44" w:rsidR="00BE5CDA" w:rsidRPr="00E351AA" w:rsidRDefault="009238DD">
      <w:pPr>
        <w:pStyle w:val="Heading2"/>
        <w:rPr>
          <w:bCs/>
        </w:rPr>
      </w:pPr>
      <w:r>
        <w:t>EESK aicina ievērojami palielināt līdzekļus, lai aizsargātu stabilu informācijas ekosistēmu, kas žurnālistiem var nodrošināt apmierinošus darba apstākļus.</w:t>
      </w:r>
    </w:p>
    <w:p w14:paraId="1AEA905B" w14:textId="77777777" w:rsidR="00BE5CDA" w:rsidRPr="00220959" w:rsidRDefault="00BE5CDA">
      <w:pPr>
        <w:pBdr>
          <w:top w:val="nil"/>
          <w:left w:val="nil"/>
          <w:bottom w:val="nil"/>
          <w:right w:val="nil"/>
          <w:between w:val="nil"/>
        </w:pBdr>
        <w:rPr>
          <w:lang w:val="en-GB"/>
        </w:rPr>
      </w:pPr>
    </w:p>
    <w:p w14:paraId="33B0B838" w14:textId="3A51CD66" w:rsidR="00BE5CDA" w:rsidRPr="00E351AA" w:rsidRDefault="002C3C66">
      <w:pPr>
        <w:pStyle w:val="Heading2"/>
        <w:rPr>
          <w:bCs/>
        </w:rPr>
      </w:pPr>
      <w:r>
        <w:t>EESK it īpaši aicina Eiropas Komisiju nākt klajā ar vērienīgu politikas pasākumu un ieguldījumu paketi, lai atbalstītu kvalitatīvas darbvietas mediju nozarē.</w:t>
      </w:r>
    </w:p>
    <w:p w14:paraId="1D9808EC" w14:textId="77777777" w:rsidR="00BE5CDA" w:rsidRPr="00220959" w:rsidRDefault="00BE5CDA">
      <w:pPr>
        <w:rPr>
          <w:lang w:val="en-GB"/>
        </w:rPr>
      </w:pPr>
    </w:p>
    <w:p w14:paraId="7073EEA0" w14:textId="0B3CDA79" w:rsidR="00BE5CDA" w:rsidRPr="00173645" w:rsidRDefault="00215C69">
      <w:pPr>
        <w:pStyle w:val="Heading2"/>
        <w:rPr>
          <w:bCs/>
        </w:rPr>
      </w:pPr>
      <w:r>
        <w:t>EESK aicina valdības veicināt sociālo dialogu un koplīguma sarunas visiem žurnālistiem, tostarp ārštata darbiniekiem, attiecīgā gadījumā transponējot direktīvu par adekvātu minimālo algu</w:t>
      </w:r>
      <w:r w:rsidRPr="00220959">
        <w:rPr>
          <w:sz w:val="24"/>
          <w:szCs w:val="24"/>
          <w:vertAlign w:val="superscript"/>
          <w:lang w:val="en-GB"/>
        </w:rPr>
        <w:footnoteReference w:id="2"/>
      </w:r>
      <w:r>
        <w:t xml:space="preserve"> un Pamatnostādnes par Savienības konkurences tiesību piemērošanu koplīgumiem, kuros paredzēti individuālo </w:t>
      </w:r>
      <w:proofErr w:type="spellStart"/>
      <w:r>
        <w:t>pašnodarbināto</w:t>
      </w:r>
      <w:proofErr w:type="spellEnd"/>
      <w:r>
        <w:t xml:space="preserve"> personu darba nosacījumi</w:t>
      </w:r>
      <w:r w:rsidRPr="00220959">
        <w:rPr>
          <w:sz w:val="24"/>
          <w:szCs w:val="24"/>
          <w:vertAlign w:val="superscript"/>
          <w:lang w:val="en-GB"/>
        </w:rPr>
        <w:footnoteReference w:id="3"/>
      </w:r>
      <w:r>
        <w:t xml:space="preserve">. Komiteja arī aicina Eiropas Komisiju un dalībvalstis cīnīties pret fiktīvu </w:t>
      </w:r>
      <w:proofErr w:type="spellStart"/>
      <w:r>
        <w:t>pašnodarbinātību</w:t>
      </w:r>
      <w:proofErr w:type="spellEnd"/>
      <w:r>
        <w:t>.</w:t>
      </w:r>
    </w:p>
    <w:p w14:paraId="2A966BC2" w14:textId="77777777" w:rsidR="00BE5CDA" w:rsidRPr="00E351AA" w:rsidRDefault="00BE5CDA">
      <w:pPr>
        <w:rPr>
          <w:lang w:val="en-GB"/>
        </w:rPr>
      </w:pPr>
    </w:p>
    <w:p w14:paraId="67B0C039" w14:textId="793D7392" w:rsidR="00BE5CDA" w:rsidRPr="00173645" w:rsidRDefault="00215C69">
      <w:pPr>
        <w:pStyle w:val="Heading2"/>
        <w:rPr>
          <w:bCs/>
        </w:rPr>
      </w:pPr>
      <w:r>
        <w:t>EESK aicina mediju nozares darba devējus piemērot ES pamatdirektīvu (89/391/EEK). Ir jādara vairāk, lai pilnībā un efektīvi piemērotu tās noteikumus, kā arī saistīto direktīvu noteikumus uz vietas</w:t>
      </w:r>
      <w:r w:rsidR="00532B94" w:rsidRPr="00FC5B57">
        <w:rPr>
          <w:sz w:val="24"/>
          <w:szCs w:val="24"/>
          <w:vertAlign w:val="superscript"/>
          <w:lang w:val="en-GB"/>
        </w:rPr>
        <w:footnoteReference w:id="4"/>
      </w:r>
      <w:r>
        <w:t>, kā uzsvērts 2023. gadā notikušajā darba aizsardzības (DDVA) izvērtēšanas samitā</w:t>
      </w:r>
      <w:r w:rsidR="00532B94" w:rsidRPr="00FC5B57">
        <w:rPr>
          <w:sz w:val="24"/>
          <w:szCs w:val="24"/>
          <w:vertAlign w:val="superscript"/>
          <w:lang w:val="en-GB"/>
        </w:rPr>
        <w:footnoteReference w:id="5"/>
      </w:r>
      <w:r>
        <w:t>.</w:t>
      </w:r>
    </w:p>
    <w:p w14:paraId="02CB473E" w14:textId="77777777" w:rsidR="00BE5CDA" w:rsidRPr="00E351AA" w:rsidRDefault="00BE5CDA">
      <w:pPr>
        <w:rPr>
          <w:rFonts w:eastAsia="Arial"/>
          <w:bCs/>
          <w:color w:val="000000"/>
          <w:lang w:val="en-GB"/>
        </w:rPr>
      </w:pPr>
    </w:p>
    <w:p w14:paraId="4B78C4A7" w14:textId="2767DB12" w:rsidR="00BE5CDA" w:rsidRPr="00E351AA" w:rsidRDefault="00215C69">
      <w:pPr>
        <w:pStyle w:val="Heading2"/>
      </w:pPr>
      <w:r>
        <w:lastRenderedPageBreak/>
        <w:t>EESK aicina Eiropas Komisiju veikt turpmākus pasākumus saistībā ar Ieteikumu par aizsardzības, drošības un pilnvērtīgu iespēju nodrošināšanu žurnālistiem</w:t>
      </w:r>
      <w:r w:rsidRPr="00220959">
        <w:rPr>
          <w:sz w:val="24"/>
          <w:szCs w:val="24"/>
          <w:vertAlign w:val="superscript"/>
          <w:lang w:val="en-GB"/>
        </w:rPr>
        <w:footnoteReference w:id="6"/>
      </w:r>
      <w:r>
        <w:t xml:space="preserve">, ņemot vērā pētījumā par dalībvalstu īstenoto praksi </w:t>
      </w:r>
      <w:r>
        <w:rPr>
          <w:i/>
        </w:rPr>
        <w:t>(</w:t>
      </w:r>
      <w:proofErr w:type="spellStart"/>
      <w:r>
        <w:rPr>
          <w:i/>
        </w:rPr>
        <w:t>Study</w:t>
      </w:r>
      <w:proofErr w:type="spellEnd"/>
      <w:r>
        <w:rPr>
          <w:i/>
        </w:rPr>
        <w:t xml:space="preserve"> </w:t>
      </w:r>
      <w:proofErr w:type="spellStart"/>
      <w:r>
        <w:rPr>
          <w:i/>
        </w:rPr>
        <w:t>on</w:t>
      </w:r>
      <w:proofErr w:type="spellEnd"/>
      <w:r>
        <w:rPr>
          <w:i/>
        </w:rPr>
        <w:t xml:space="preserve"> </w:t>
      </w:r>
      <w:proofErr w:type="spellStart"/>
      <w:r>
        <w:rPr>
          <w:i/>
        </w:rPr>
        <w:t>Putting</w:t>
      </w:r>
      <w:proofErr w:type="spellEnd"/>
      <w:r>
        <w:rPr>
          <w:i/>
        </w:rPr>
        <w:t xml:space="preserve"> </w:t>
      </w:r>
      <w:proofErr w:type="spellStart"/>
      <w:r>
        <w:rPr>
          <w:i/>
        </w:rPr>
        <w:t>in</w:t>
      </w:r>
      <w:proofErr w:type="spellEnd"/>
      <w:r>
        <w:rPr>
          <w:i/>
        </w:rPr>
        <w:t xml:space="preserve"> </w:t>
      </w:r>
      <w:proofErr w:type="spellStart"/>
      <w:r>
        <w:rPr>
          <w:i/>
        </w:rPr>
        <w:t>Practice</w:t>
      </w:r>
      <w:proofErr w:type="spellEnd"/>
      <w:r>
        <w:rPr>
          <w:i/>
        </w:rPr>
        <w:t xml:space="preserve"> </w:t>
      </w:r>
      <w:proofErr w:type="spellStart"/>
      <w:r>
        <w:rPr>
          <w:i/>
        </w:rPr>
        <w:t>by</w:t>
      </w:r>
      <w:proofErr w:type="spellEnd"/>
      <w:r>
        <w:rPr>
          <w:i/>
        </w:rPr>
        <w:t xml:space="preserve"> </w:t>
      </w:r>
      <w:proofErr w:type="spellStart"/>
      <w:r>
        <w:rPr>
          <w:i/>
        </w:rPr>
        <w:t>Member</w:t>
      </w:r>
      <w:proofErr w:type="spellEnd"/>
      <w:r>
        <w:rPr>
          <w:i/>
        </w:rPr>
        <w:t xml:space="preserve"> </w:t>
      </w:r>
      <w:proofErr w:type="spellStart"/>
      <w:r>
        <w:rPr>
          <w:i/>
        </w:rPr>
        <w:t>States</w:t>
      </w:r>
      <w:proofErr w:type="spellEnd"/>
      <w:r>
        <w:rPr>
          <w:i/>
        </w:rPr>
        <w:t>)</w:t>
      </w:r>
      <w:r w:rsidR="00A33CB3" w:rsidRPr="00220959">
        <w:rPr>
          <w:rStyle w:val="FootnoteReference"/>
          <w:i/>
          <w:lang w:val="en-GB"/>
        </w:rPr>
        <w:footnoteReference w:id="7"/>
      </w:r>
      <w:r>
        <w:t xml:space="preserve"> sniegto novērtējumu. EESK uzsver, ka ir vajadzīga ciešāka sadarbība ar žurnālistu organizācijām, lai izveidotu struktūras, kas varētu nodrošināt žurnālistu drošību.</w:t>
      </w:r>
    </w:p>
    <w:p w14:paraId="731D1E2C" w14:textId="77777777" w:rsidR="00BE5CDA" w:rsidRPr="00220959" w:rsidRDefault="00BE5CDA">
      <w:pPr>
        <w:rPr>
          <w:bCs/>
          <w:lang w:val="en-GB"/>
        </w:rPr>
      </w:pPr>
    </w:p>
    <w:p w14:paraId="3F1B7738" w14:textId="1EE37AFC" w:rsidR="00BE5CDA" w:rsidRPr="00E351AA" w:rsidRDefault="00215C69">
      <w:pPr>
        <w:pStyle w:val="Heading2"/>
      </w:pPr>
      <w:r>
        <w:t xml:space="preserve">Žurnālisti ir darba ņēmēji, kas ir ievērojami pakļauti stresam, izdegšanai, vajāšanai tiešsaistē un digitālajai pārslodzei. Nestabilitāte, garas darba stundas, termiņi un darba un privātās dzīves nelīdzsvarotība var tieši ietekmēt veselību. EESK jau iepriekš ir norādījusi, ka būtu lietderīgi apsvērt, kā veikt turpmākus pasākumus saistībā ar Eiropas Parlamenta 2022. gada 10. marta rezolūciju, kurā aicināts pieņemt direktīvu par </w:t>
      </w:r>
      <w:proofErr w:type="spellStart"/>
      <w:r>
        <w:t>psihosociālajiem</w:t>
      </w:r>
      <w:proofErr w:type="spellEnd"/>
      <w:r>
        <w:t xml:space="preserve"> riskiem. EESK ir gatava izstrādāt atzinumu par šo tematu</w:t>
      </w:r>
      <w:r w:rsidR="00893451" w:rsidRPr="002C4A2A">
        <w:rPr>
          <w:rStyle w:val="FootnoteReference"/>
          <w:lang w:val="en-GB"/>
        </w:rPr>
        <w:footnoteReference w:id="8"/>
      </w:r>
      <w:r>
        <w:t>.</w:t>
      </w:r>
    </w:p>
    <w:p w14:paraId="1BB9754A" w14:textId="77777777" w:rsidR="00BE5CDA" w:rsidRPr="00E351AA" w:rsidRDefault="00BE5CDA">
      <w:pPr>
        <w:rPr>
          <w:lang w:val="en-GB"/>
        </w:rPr>
      </w:pPr>
    </w:p>
    <w:p w14:paraId="34D55879" w14:textId="0FB0264C" w:rsidR="00BE5CDA" w:rsidRPr="00E351AA" w:rsidRDefault="00215C69">
      <w:pPr>
        <w:pStyle w:val="Heading2"/>
      </w:pPr>
      <w:r>
        <w:t>EESK aicina Eiropas Komisiju uzraudzīt, kā tiek piemērots ES tiesiskais regulējums par mākslīgā intelekta (MI) izmantošanu, lai nodrošinātu taisnīgu līdzsvaru starp MI pakalpojumu sniedzēju piekļuvi Eiropas datiem un žurnālistu aizsardzības nodrošināšanu.</w:t>
      </w:r>
    </w:p>
    <w:p w14:paraId="77AFE375" w14:textId="77777777" w:rsidR="00BE5CDA" w:rsidRPr="00E351AA" w:rsidRDefault="00BE5CDA">
      <w:pPr>
        <w:rPr>
          <w:bCs/>
          <w:lang w:val="en-GB"/>
        </w:rPr>
      </w:pPr>
    </w:p>
    <w:p w14:paraId="31B606FA" w14:textId="3D12149D" w:rsidR="00BE5CDA" w:rsidRPr="00E351AA" w:rsidRDefault="00215C69">
      <w:pPr>
        <w:pStyle w:val="Heading2"/>
      </w:pPr>
      <w:r>
        <w:t>EESK mudina žurnālistu biedrības un mediju organizācijas sociālā dialoga ietvaros risināt jautājumus, kas saistīti ar MI izmantošanu ziņu redakcijās, lai nodrošinātu, ka MI kalpo faktiskai ziņu sagatavošanai, aizsargā preses brīvību un saglabā darbavietas.</w:t>
      </w:r>
    </w:p>
    <w:p w14:paraId="2F3667E2" w14:textId="77777777" w:rsidR="00BE5CDA" w:rsidRPr="00E351AA" w:rsidRDefault="00BE5CDA">
      <w:pPr>
        <w:pBdr>
          <w:top w:val="nil"/>
          <w:left w:val="nil"/>
          <w:bottom w:val="nil"/>
          <w:right w:val="nil"/>
          <w:between w:val="nil"/>
        </w:pBdr>
        <w:rPr>
          <w:bCs/>
          <w:lang w:val="en-GB"/>
        </w:rPr>
      </w:pPr>
    </w:p>
    <w:p w14:paraId="553C1261" w14:textId="4E5C9438" w:rsidR="00BE5CDA" w:rsidRPr="00E351AA" w:rsidRDefault="00215C69">
      <w:pPr>
        <w:pStyle w:val="Heading2"/>
      </w:pPr>
      <w:r>
        <w:t xml:space="preserve">EESK aicina Eiropas Komisiju izveidot finansēšanas shēmu projektiem, kas attīsta žurnālistu MI </w:t>
      </w:r>
      <w:proofErr w:type="spellStart"/>
      <w:r>
        <w:t>pratību</w:t>
      </w:r>
      <w:proofErr w:type="spellEnd"/>
      <w:r>
        <w:t>. Komisijai būtu jāapsver iespējas līdzfinansēt Eiropas žurnālistikas akadēmijas, kas piedāvā duālo apmācību žurnālistiem, un noskaidrot, vai apmācības periodā daļu no jauno žurnālistu algas būtu iespējams subsidēt no mediju uzņēmumiem, kuri atbilst augstiem standartiem attiecībā uz kvalitatīvu žurnālistiku un darba apstākļiem.</w:t>
      </w:r>
    </w:p>
    <w:p w14:paraId="7C9A05CD" w14:textId="77777777" w:rsidR="00BE5CDA" w:rsidRPr="00E351AA" w:rsidRDefault="00BE5CDA">
      <w:pPr>
        <w:rPr>
          <w:lang w:val="en-GB"/>
        </w:rPr>
      </w:pPr>
    </w:p>
    <w:p w14:paraId="3BDD7F43" w14:textId="77777777" w:rsidR="00BE5CDA" w:rsidRPr="00E351AA" w:rsidRDefault="00215C69">
      <w:pPr>
        <w:pStyle w:val="Heading1"/>
        <w:keepNext/>
      </w:pPr>
      <w:r>
        <w:rPr>
          <w:b/>
        </w:rPr>
        <w:t>Vispārīgas piezīmes</w:t>
      </w:r>
    </w:p>
    <w:p w14:paraId="3B67F57F" w14:textId="77777777" w:rsidR="00BE5CDA" w:rsidRPr="00E351AA" w:rsidRDefault="00BE5CDA">
      <w:pPr>
        <w:keepNext/>
        <w:rPr>
          <w:lang w:val="en-GB"/>
        </w:rPr>
      </w:pPr>
    </w:p>
    <w:p w14:paraId="1E41DFE8" w14:textId="77777777" w:rsidR="00BE5CDA" w:rsidRPr="00E351AA" w:rsidRDefault="00215C69">
      <w:pPr>
        <w:pStyle w:val="Heading2"/>
        <w:keepNext/>
      </w:pPr>
      <w:r>
        <w:rPr>
          <w:b/>
        </w:rPr>
        <w:t>Ievads un vispārīga informācija</w:t>
      </w:r>
    </w:p>
    <w:p w14:paraId="603787CB" w14:textId="77777777" w:rsidR="00BE5CDA" w:rsidRPr="00E351AA" w:rsidRDefault="00BE5CDA">
      <w:pPr>
        <w:keepNext/>
        <w:rPr>
          <w:lang w:val="en-GB"/>
        </w:rPr>
      </w:pPr>
    </w:p>
    <w:p w14:paraId="4D615FA5" w14:textId="324F3621" w:rsidR="00BE5CDA" w:rsidRPr="00E351AA" w:rsidRDefault="00215C69" w:rsidP="00C00D56">
      <w:pPr>
        <w:pStyle w:val="Heading3"/>
      </w:pPr>
      <w:r>
        <w:t>Žurnālistikas profesija Eiropā ir pakļauta spēcīgam spiedienam. Papildus tam, ka tiek ierobežota preses brīvība, kuras pārkāpumus (fizisku vardarbību, iebiedēšanu, tiesu iestāžu īstenotu vajāšanu, naidīgus tiesību aktus utt.) dokumentē Eiropas Padomes</w:t>
      </w:r>
      <w:r w:rsidRPr="00220959">
        <w:rPr>
          <w:sz w:val="24"/>
          <w:szCs w:val="24"/>
          <w:vertAlign w:val="superscript"/>
          <w:lang w:val="en-GB"/>
        </w:rPr>
        <w:footnoteReference w:id="9"/>
      </w:r>
      <w:r>
        <w:t xml:space="preserve"> un Eiropas Savienības</w:t>
      </w:r>
      <w:r w:rsidRPr="00220959">
        <w:rPr>
          <w:sz w:val="24"/>
          <w:szCs w:val="24"/>
          <w:vertAlign w:val="superscript"/>
          <w:lang w:val="en-GB"/>
        </w:rPr>
        <w:footnoteReference w:id="10"/>
      </w:r>
      <w:r>
        <w:t xml:space="preserve"> platformas, žurnālisti saskaras arī ar “nožēlojamiem darba apstākļiem lielākajā daļā ES </w:t>
      </w:r>
      <w:r>
        <w:lastRenderedPageBreak/>
        <w:t xml:space="preserve">dalībvalstu”, kā to apliecina </w:t>
      </w:r>
      <w:r>
        <w:rPr>
          <w:i/>
          <w:iCs/>
        </w:rPr>
        <w:t>MPM</w:t>
      </w:r>
      <w:r>
        <w:t>2025</w:t>
      </w:r>
      <w:r w:rsidRPr="00220959">
        <w:rPr>
          <w:sz w:val="24"/>
          <w:szCs w:val="24"/>
          <w:vertAlign w:val="superscript"/>
          <w:lang w:val="en-GB"/>
        </w:rPr>
        <w:footnoteReference w:id="11"/>
      </w:r>
      <w:r>
        <w:t xml:space="preserve"> ziņojums. Pētījumi liecina, ka žurnālistikas spēja saukt pie atbildības varas pārstāvjus samazinās: “Žurnālistika tās pašreizējā attīstības virzienā nepilda savu ceturtās varas jeb “sargsuņa” funkciju, un tas būtiski ietekmē cilvēku izpratni par sabiedrību</w:t>
      </w:r>
      <w:r w:rsidRPr="00220959">
        <w:rPr>
          <w:sz w:val="24"/>
          <w:szCs w:val="24"/>
          <w:vertAlign w:val="superscript"/>
          <w:lang w:val="en-GB"/>
        </w:rPr>
        <w:footnoteReference w:id="12"/>
      </w:r>
      <w:r>
        <w:t>.”</w:t>
      </w:r>
    </w:p>
    <w:p w14:paraId="2B9F222C" w14:textId="77777777" w:rsidR="00BE5CDA" w:rsidRPr="00E351AA" w:rsidRDefault="00BE5CDA">
      <w:pPr>
        <w:rPr>
          <w:lang w:val="en-GB"/>
        </w:rPr>
      </w:pPr>
    </w:p>
    <w:p w14:paraId="12EEB4AC" w14:textId="3811BDDA" w:rsidR="00BE5CDA" w:rsidRPr="00E351AA" w:rsidRDefault="00215C69">
      <w:pPr>
        <w:pStyle w:val="Heading3"/>
      </w:pPr>
      <w:r>
        <w:t>Kā norādīts Eiropas Padomes Žurnālistikas aizsardzības un žurnālistu drošības veicināšanas platformas gada ziņojumā, “demokrātiskā sabiedrībā ir svarīgi, lai žurnālisti darbotos neatkarīgi no politiskās, komerciālās vai korporatīvās ietekmes. Šāda neatkarība ir atkarīga no pienācīgiem darba apstākļiem, stingras aizsardzības pret juridiskiem draudiem, mediju īpašnieku un politisko struktūru redakcionālās autonomijas un žurnālistu brīvības apvienoties arodbiedrībās vai profesionālās apvienībās</w:t>
      </w:r>
      <w:r w:rsidRPr="00220959">
        <w:rPr>
          <w:sz w:val="24"/>
          <w:szCs w:val="24"/>
          <w:vertAlign w:val="superscript"/>
          <w:lang w:val="en-GB"/>
        </w:rPr>
        <w:footnoteReference w:id="13"/>
      </w:r>
      <w:r>
        <w:t>.”</w:t>
      </w:r>
    </w:p>
    <w:p w14:paraId="6A95F749" w14:textId="77777777" w:rsidR="00BE5CDA" w:rsidRPr="00E351AA" w:rsidRDefault="00BE5CDA">
      <w:pPr>
        <w:rPr>
          <w:lang w:val="en-GB"/>
        </w:rPr>
      </w:pPr>
    </w:p>
    <w:p w14:paraId="163C8C54" w14:textId="357A1B64" w:rsidR="00BE5CDA" w:rsidRPr="00E351AA" w:rsidRDefault="00215C69">
      <w:pPr>
        <w:pStyle w:val="Heading3"/>
      </w:pPr>
      <w:r>
        <w:t>Eiropas Padomes Ieteikumā CM/Rec(2016)4</w:t>
      </w:r>
      <w:r w:rsidRPr="00220959">
        <w:rPr>
          <w:sz w:val="24"/>
          <w:szCs w:val="24"/>
          <w:vertAlign w:val="superscript"/>
          <w:lang w:val="en-GB"/>
        </w:rPr>
        <w:footnoteReference w:id="14"/>
      </w:r>
      <w:r>
        <w:t xml:space="preserve"> ir uzsvērta darba un nodarbinātības tiesību aktu nozīme žurnālistu aizsardzībā pret patvaļīgu atlaišanu, represijām un nestabiliem darba apstākļiem, kas var pakļaut viņus nepamatotam spiedienam un ētiskiem kompromisiem. Tomēr 2025. gada mediju plurālisma uzraudzības instrumentā</w:t>
      </w:r>
      <w:r w:rsidRPr="00220959">
        <w:rPr>
          <w:sz w:val="24"/>
          <w:szCs w:val="24"/>
          <w:vertAlign w:val="superscript"/>
          <w:lang w:val="en-GB"/>
        </w:rPr>
        <w:footnoteReference w:id="15"/>
      </w:r>
      <w:r>
        <w:t xml:space="preserve"> ir uzsvērta iestāžu nolaidību attiecībā uz nestabilu apstākļu novēršanu vairumā ES dalībvalstu.</w:t>
      </w:r>
    </w:p>
    <w:p w14:paraId="2BE04011" w14:textId="77777777" w:rsidR="00BE5CDA" w:rsidRPr="00220959" w:rsidRDefault="00BE5CDA">
      <w:pPr>
        <w:rPr>
          <w:lang w:val="en-GB"/>
        </w:rPr>
      </w:pPr>
    </w:p>
    <w:p w14:paraId="5506A5F0" w14:textId="55B43FD9" w:rsidR="00BE5CDA" w:rsidRPr="00E351AA" w:rsidRDefault="00215C69">
      <w:pPr>
        <w:pStyle w:val="Heading3"/>
      </w:pPr>
      <w:r>
        <w:t>Saskaņā ar MPM2025</w:t>
      </w:r>
      <w:r w:rsidRPr="00220959">
        <w:rPr>
          <w:sz w:val="24"/>
          <w:szCs w:val="24"/>
          <w:vertAlign w:val="superscript"/>
          <w:lang w:val="en-GB"/>
        </w:rPr>
        <w:footnoteReference w:id="16"/>
      </w:r>
      <w:r>
        <w:t xml:space="preserve"> tikai 7 no 34 analizētajām Eiropas valstīm – Dānija, Vācija, Beļģija, Igaunija, Somija, Nīderlande un Zviedrija – nodrošina labus darba apstākļus žurnālistiem. Ziņojumā teikts, ka žurnālistu darba apstākļi ir nožēlojami lielākajā daļā ES dalībvalstu, proti, zemas algas un vājas vai neesošas sociālā nodrošinājuma shēmas.</w:t>
      </w:r>
    </w:p>
    <w:p w14:paraId="7B18D940" w14:textId="77777777" w:rsidR="00BE5CDA" w:rsidRPr="00E351AA" w:rsidRDefault="00BE5CDA">
      <w:pPr>
        <w:rPr>
          <w:lang w:val="en-GB"/>
        </w:rPr>
      </w:pPr>
    </w:p>
    <w:p w14:paraId="03537021" w14:textId="77777777" w:rsidR="00BE5CDA" w:rsidRPr="00E351AA" w:rsidRDefault="00215C69">
      <w:pPr>
        <w:pStyle w:val="Heading1"/>
        <w:keepNext/>
      </w:pPr>
      <w:r>
        <w:rPr>
          <w:b/>
        </w:rPr>
        <w:t>Atzinuma konteksts</w:t>
      </w:r>
    </w:p>
    <w:p w14:paraId="3301497A" w14:textId="77777777" w:rsidR="00BE5CDA" w:rsidRPr="00E351AA" w:rsidRDefault="00BE5CDA">
      <w:pPr>
        <w:keepNext/>
        <w:rPr>
          <w:lang w:val="en-GB"/>
        </w:rPr>
      </w:pPr>
    </w:p>
    <w:p w14:paraId="536C9C99" w14:textId="3FEEB7E0" w:rsidR="00BE5CDA" w:rsidRPr="00E351AA" w:rsidRDefault="00190EA3">
      <w:pPr>
        <w:pStyle w:val="Heading2"/>
      </w:pPr>
      <w:r>
        <w:rPr>
          <w:b/>
        </w:rPr>
        <w:t>Iniciatīva pret ļaunprātīgu tiesvedību, kas vērsta pret žurnālistiem un tiesību aizstāvjiem</w:t>
      </w:r>
    </w:p>
    <w:p w14:paraId="08C06ACF" w14:textId="77777777" w:rsidR="00BE5CDA" w:rsidRPr="00E351AA" w:rsidRDefault="00215C69">
      <w:pPr>
        <w:ind w:left="567"/>
      </w:pPr>
      <w:r>
        <w:t>Šajā atzinumā</w:t>
      </w:r>
      <w:r w:rsidRPr="00220959">
        <w:rPr>
          <w:sz w:val="24"/>
          <w:szCs w:val="24"/>
          <w:vertAlign w:val="superscript"/>
          <w:lang w:val="en-GB"/>
        </w:rPr>
        <w:footnoteReference w:id="17"/>
      </w:r>
      <w:r>
        <w:t xml:space="preserve"> EESK norāda, ka žurnālisti ir visneaizsargātākie pret draudiem, ko rada stratēģiska tiesvedība pret sabiedrības līdzdalību (</w:t>
      </w:r>
      <w:proofErr w:type="spellStart"/>
      <w:r>
        <w:rPr>
          <w:i/>
          <w:iCs/>
        </w:rPr>
        <w:t>strategic</w:t>
      </w:r>
      <w:proofErr w:type="spellEnd"/>
      <w:r>
        <w:rPr>
          <w:i/>
          <w:iCs/>
        </w:rPr>
        <w:t xml:space="preserve"> </w:t>
      </w:r>
      <w:proofErr w:type="spellStart"/>
      <w:r>
        <w:rPr>
          <w:i/>
          <w:iCs/>
        </w:rPr>
        <w:t>lawsuit</w:t>
      </w:r>
      <w:proofErr w:type="spellEnd"/>
      <w:r>
        <w:rPr>
          <w:i/>
          <w:iCs/>
        </w:rPr>
        <w:t xml:space="preserve"> </w:t>
      </w:r>
      <w:proofErr w:type="spellStart"/>
      <w:r>
        <w:rPr>
          <w:i/>
          <w:iCs/>
        </w:rPr>
        <w:t>against</w:t>
      </w:r>
      <w:proofErr w:type="spellEnd"/>
      <w:r>
        <w:rPr>
          <w:i/>
          <w:iCs/>
        </w:rPr>
        <w:t xml:space="preserve"> </w:t>
      </w:r>
      <w:proofErr w:type="spellStart"/>
      <w:r>
        <w:rPr>
          <w:i/>
          <w:iCs/>
        </w:rPr>
        <w:t>public</w:t>
      </w:r>
      <w:proofErr w:type="spellEnd"/>
      <w:r>
        <w:rPr>
          <w:i/>
          <w:iCs/>
        </w:rPr>
        <w:t xml:space="preserve"> </w:t>
      </w:r>
      <w:proofErr w:type="spellStart"/>
      <w:r>
        <w:rPr>
          <w:i/>
          <w:iCs/>
        </w:rPr>
        <w:t>participation</w:t>
      </w:r>
      <w:proofErr w:type="spellEnd"/>
      <w:r>
        <w:t xml:space="preserve"> — </w:t>
      </w:r>
      <w:r>
        <w:rPr>
          <w:i/>
          <w:iCs/>
        </w:rPr>
        <w:t>SLAPP</w:t>
      </w:r>
      <w:r>
        <w:t xml:space="preserve">). Ņemot vērā pret </w:t>
      </w:r>
      <w:r>
        <w:rPr>
          <w:i/>
        </w:rPr>
        <w:t>SLAPP</w:t>
      </w:r>
      <w:r>
        <w:t xml:space="preserve"> vērstās direktīvas ierobežoto darbības jomu, tā sniedz tikai ļoti nepilnīgu atbildi uz šiem apdraudējumiem.</w:t>
      </w:r>
    </w:p>
    <w:p w14:paraId="58CE36C7" w14:textId="77777777" w:rsidR="00BE5CDA" w:rsidRPr="00E351AA" w:rsidRDefault="00BE5CDA">
      <w:pPr>
        <w:rPr>
          <w:lang w:val="en-GB"/>
        </w:rPr>
      </w:pPr>
    </w:p>
    <w:p w14:paraId="12D7D565" w14:textId="1643E0F9" w:rsidR="00BE5CDA" w:rsidRPr="00220959" w:rsidRDefault="0090416C">
      <w:pPr>
        <w:pStyle w:val="Heading2"/>
        <w:keepNext/>
      </w:pPr>
      <w:hyperlink r:id="rId20">
        <w:r w:rsidR="007536DA">
          <w:rPr>
            <w:b/>
          </w:rPr>
          <w:t>Mediju brīvības un daudzveidības aizsardzība Eiropā</w:t>
        </w:r>
      </w:hyperlink>
    </w:p>
    <w:p w14:paraId="7D223E82" w14:textId="77777777" w:rsidR="00BE5CDA" w:rsidRPr="00E351AA" w:rsidRDefault="00215C69">
      <w:pPr>
        <w:ind w:left="567"/>
        <w:rPr>
          <w:rFonts w:eastAsia="Arial"/>
          <w:u w:val="single"/>
        </w:rPr>
      </w:pPr>
      <w:r>
        <w:t>Šajā pašiniciatīvas atzinumā</w:t>
      </w:r>
      <w:r w:rsidRPr="00220959">
        <w:rPr>
          <w:sz w:val="24"/>
          <w:szCs w:val="24"/>
          <w:vertAlign w:val="superscript"/>
          <w:lang w:val="en-GB"/>
        </w:rPr>
        <w:footnoteReference w:id="18"/>
      </w:r>
      <w:r>
        <w:t xml:space="preserve"> EESK norāda uz žurnālistu pieaugošo sociālo nedrošību un neaizsargātību pret </w:t>
      </w:r>
      <w:r>
        <w:rPr>
          <w:i/>
          <w:iCs/>
        </w:rPr>
        <w:t>SLAPP</w:t>
      </w:r>
      <w:r>
        <w:t>.</w:t>
      </w:r>
    </w:p>
    <w:p w14:paraId="25C4F19F" w14:textId="77777777" w:rsidR="00BE5CDA" w:rsidRPr="00E351AA" w:rsidRDefault="00BE5CDA">
      <w:pPr>
        <w:rPr>
          <w:highlight w:val="cyan"/>
          <w:lang w:val="en-GB"/>
        </w:rPr>
      </w:pPr>
    </w:p>
    <w:p w14:paraId="0F7625EC" w14:textId="77777777" w:rsidR="00BE5CDA" w:rsidRPr="00E351AA" w:rsidRDefault="00215C69">
      <w:pPr>
        <w:pStyle w:val="Heading2"/>
        <w:keepNext/>
      </w:pPr>
      <w:r>
        <w:rPr>
          <w:b/>
        </w:rPr>
        <w:t>Nodarbinātības statuss</w:t>
      </w:r>
    </w:p>
    <w:p w14:paraId="42999B50" w14:textId="77777777" w:rsidR="00BE5CDA" w:rsidRPr="00E351AA" w:rsidRDefault="00BE5CDA">
      <w:pPr>
        <w:keepNext/>
        <w:rPr>
          <w:lang w:val="en-GB"/>
        </w:rPr>
      </w:pPr>
    </w:p>
    <w:p w14:paraId="19E817F8" w14:textId="12EDC99D" w:rsidR="00BE5CDA" w:rsidRPr="00E351AA" w:rsidRDefault="00215C69">
      <w:pPr>
        <w:pStyle w:val="Heading3"/>
      </w:pPr>
      <w:r>
        <w:t>Saskaņā ar jaunākajiem statistikas datiem</w:t>
      </w:r>
      <w:r w:rsidRPr="00220959">
        <w:rPr>
          <w:sz w:val="24"/>
          <w:szCs w:val="24"/>
          <w:vertAlign w:val="superscript"/>
          <w:lang w:val="en-GB"/>
        </w:rPr>
        <w:footnoteReference w:id="19"/>
      </w:r>
      <w:r>
        <w:t xml:space="preserve"> ES dalībvalstīs ir vismaz 400 000 žurnālistu, kas veido 0,2 % no kopējā nodarbinātības līmeņa ES. Ārštata žurnālisti veido no 20 % līdz 30 % no kopējā skaita</w:t>
      </w:r>
      <w:r w:rsidRPr="00220959">
        <w:rPr>
          <w:sz w:val="24"/>
          <w:szCs w:val="24"/>
          <w:vertAlign w:val="superscript"/>
          <w:lang w:val="en-GB"/>
        </w:rPr>
        <w:footnoteReference w:id="20"/>
      </w:r>
      <w:r>
        <w:t>. Ārštata žurnālisti joprojām ir viens no visneaizsargātākajiem nozares pārstāvjiem</w:t>
      </w:r>
      <w:r w:rsidR="009962C4" w:rsidRPr="00220959">
        <w:rPr>
          <w:vertAlign w:val="superscript"/>
          <w:lang w:val="en-GB"/>
        </w:rPr>
        <w:footnoteReference w:id="21"/>
      </w:r>
      <w:r>
        <w:t>. Tomēr pieaugošā nedrošība ietekmē arī nodarbinātos žurnālistus: koplīgumu skaitam, jo īpaši nozaru līmenī, ir tendence samazināties</w:t>
      </w:r>
      <w:r w:rsidR="00EA5234" w:rsidRPr="00220959">
        <w:rPr>
          <w:rStyle w:val="FootnoteReference"/>
          <w:lang w:val="en-GB"/>
        </w:rPr>
        <w:footnoteReference w:id="22"/>
      </w:r>
      <w:r>
        <w:t>.</w:t>
      </w:r>
    </w:p>
    <w:p w14:paraId="77EC38A4" w14:textId="77777777" w:rsidR="00BE5CDA" w:rsidRPr="00E351AA" w:rsidRDefault="00BE5CDA">
      <w:pPr>
        <w:rPr>
          <w:lang w:val="en-GB"/>
        </w:rPr>
      </w:pPr>
    </w:p>
    <w:p w14:paraId="3C45EA95" w14:textId="3867DCFD" w:rsidR="00BE5CDA" w:rsidRPr="00E351AA" w:rsidRDefault="00C360D1">
      <w:pPr>
        <w:pStyle w:val="Heading3"/>
      </w:pPr>
      <w:r>
        <w:t>Konkrētās valstīs mediju kanāli ļaunprātīgi izmanto ārštata darbinieka statusu, lai samazinātu izmaksas un atbildību pret saviem darbiniekiem</w:t>
      </w:r>
      <w:r w:rsidR="00CB144A" w:rsidRPr="00220959">
        <w:rPr>
          <w:rStyle w:val="FootnoteReference"/>
          <w:lang w:val="en-GB"/>
        </w:rPr>
        <w:footnoteReference w:id="23"/>
      </w:r>
      <w:r>
        <w:t xml:space="preserve">. Viltus </w:t>
      </w:r>
      <w:proofErr w:type="spellStart"/>
      <w:r>
        <w:t>pašnodarbinātība</w:t>
      </w:r>
      <w:proofErr w:type="spellEnd"/>
      <w:r>
        <w:t xml:space="preserve"> ir arvien pieaugoša problēma šajā nozarē dažās valstīs, jo šiem žurnālistiem trūkst sociālā nodrošinājuma, piemēram, slimības atvaļinājuma, apmaksāta grūtniecības un dzemdību atvaļinājuma un pensijas</w:t>
      </w:r>
      <w:r w:rsidR="00215C69" w:rsidRPr="00220959">
        <w:rPr>
          <w:sz w:val="24"/>
          <w:szCs w:val="24"/>
          <w:vertAlign w:val="superscript"/>
          <w:lang w:val="en-GB"/>
        </w:rPr>
        <w:footnoteReference w:id="24"/>
      </w:r>
      <w:r>
        <w:t>.</w:t>
      </w:r>
    </w:p>
    <w:p w14:paraId="61452B78" w14:textId="77777777" w:rsidR="00BE5CDA" w:rsidRPr="00E351AA" w:rsidRDefault="00BE5CDA">
      <w:pPr>
        <w:rPr>
          <w:lang w:val="en-GB"/>
        </w:rPr>
      </w:pPr>
    </w:p>
    <w:p w14:paraId="35A19687" w14:textId="7B84AC74" w:rsidR="00BE5CDA" w:rsidRPr="00E351AA" w:rsidRDefault="00215C69">
      <w:pPr>
        <w:pStyle w:val="Heading3"/>
      </w:pPr>
      <w:r>
        <w:t xml:space="preserve">Viena no </w:t>
      </w:r>
      <w:proofErr w:type="spellStart"/>
      <w:r>
        <w:t>nedaudzajām</w:t>
      </w:r>
      <w:proofErr w:type="spellEnd"/>
      <w:r>
        <w:t xml:space="preserve"> valstīm, kurās ir uzlabojušies ārštata darbinieku darba apstākļi, ir Nīderlande, kur darba koplīgums palielināja žurnālistu algas, tostarp to ārštata darbinieku honorārus, kuri strādā lielākos laikrakstos.</w:t>
      </w:r>
    </w:p>
    <w:p w14:paraId="13187D28" w14:textId="77777777" w:rsidR="00BE5CDA" w:rsidRPr="00E351AA" w:rsidRDefault="00BE5CDA">
      <w:pPr>
        <w:rPr>
          <w:lang w:val="en-GB"/>
        </w:rPr>
      </w:pPr>
    </w:p>
    <w:p w14:paraId="2D861F48" w14:textId="77777777" w:rsidR="00BE5CDA" w:rsidRPr="00E351AA" w:rsidRDefault="00215C69" w:rsidP="009C61FF">
      <w:pPr>
        <w:pStyle w:val="Heading2"/>
        <w:rPr>
          <w:b/>
          <w:bCs/>
        </w:rPr>
      </w:pPr>
      <w:r>
        <w:rPr>
          <w:b/>
        </w:rPr>
        <w:t>Nedrošība par darbavietu</w:t>
      </w:r>
    </w:p>
    <w:p w14:paraId="0D6AC608" w14:textId="77777777" w:rsidR="00BE5CDA" w:rsidRPr="00E351AA" w:rsidRDefault="00BE5CDA">
      <w:pPr>
        <w:keepNext/>
        <w:rPr>
          <w:lang w:val="en-GB"/>
        </w:rPr>
      </w:pPr>
    </w:p>
    <w:p w14:paraId="543BCF36" w14:textId="7852ABC7" w:rsidR="00BE5CDA" w:rsidRPr="00220959" w:rsidRDefault="00215C69">
      <w:pPr>
        <w:pStyle w:val="Heading3"/>
      </w:pPr>
      <w:r>
        <w:t>Žurnālistika ir pazīstama ar augstu emocionālo slodzi un spriedzes pilniem darba apstākļiem</w:t>
      </w:r>
      <w:r w:rsidRPr="00220959">
        <w:rPr>
          <w:sz w:val="24"/>
          <w:szCs w:val="24"/>
          <w:vertAlign w:val="superscript"/>
          <w:lang w:val="en-GB"/>
        </w:rPr>
        <w:footnoteReference w:id="25"/>
      </w:r>
      <w:r>
        <w:t xml:space="preserve">. </w:t>
      </w:r>
      <w:proofErr w:type="spellStart"/>
      <w:r>
        <w:rPr>
          <w:i/>
        </w:rPr>
        <w:t>OSHWiki</w:t>
      </w:r>
      <w:proofErr w:type="spellEnd"/>
      <w:r>
        <w:t xml:space="preserve"> sniegtie pierādījumi liecina, ka nedrošība par darbavietu ir viens no faktoriem, kas var būt saistīts ar darba ņēmēju veselību un </w:t>
      </w:r>
      <w:proofErr w:type="spellStart"/>
      <w:r>
        <w:t>labbūtību</w:t>
      </w:r>
      <w:proofErr w:type="spellEnd"/>
      <w:r>
        <w:t>. Darbinieki, kuri raizējas par savas darbavietas saglabāšanu, biežāk ziņo par stresu, izdegšanu un depresiju</w:t>
      </w:r>
      <w:r w:rsidRPr="00220959">
        <w:rPr>
          <w:sz w:val="24"/>
          <w:szCs w:val="24"/>
          <w:vertAlign w:val="superscript"/>
          <w:lang w:val="en-GB"/>
        </w:rPr>
        <w:footnoteReference w:id="26"/>
      </w:r>
      <w:r>
        <w:t xml:space="preserve">. Tā kā izmaiņas mediju vidē ir likušas daudziem mediju darba devējiem samazināt darbinieku skaitu, no palikušajiem darbiniekiem var sagaidīt, ka viņi pārņems savu kolēģu darbu, tādējādi palielinot </w:t>
      </w:r>
      <w:r>
        <w:lastRenderedPageBreak/>
        <w:t>individuālo darba slodzi. Saskaņā ar EAI analīzi</w:t>
      </w:r>
      <w:r w:rsidR="004A1C00" w:rsidRPr="00220959">
        <w:rPr>
          <w:sz w:val="24"/>
          <w:szCs w:val="24"/>
          <w:vertAlign w:val="superscript"/>
          <w:lang w:val="en-GB"/>
        </w:rPr>
        <w:footnoteReference w:id="27"/>
      </w:r>
      <w:r>
        <w:t xml:space="preserve"> un nesen veikto Eiropas aptauju</w:t>
      </w:r>
      <w:r w:rsidR="004A1C00" w:rsidRPr="00220959">
        <w:rPr>
          <w:vertAlign w:val="superscript"/>
          <w:lang w:val="en-GB"/>
        </w:rPr>
        <w:footnoteReference w:id="28"/>
      </w:r>
      <w:r>
        <w:t xml:space="preserve"> žurnālistu izdegšana ir nopietna problēma, jo liela daļa žurnālistu ziņo par garīgās veselības problēmām un apsver iespēju pamest profesiju</w:t>
      </w:r>
      <w:r w:rsidR="000045C2" w:rsidRPr="00220959">
        <w:rPr>
          <w:rStyle w:val="FootnoteReference"/>
          <w:lang w:val="en-GB"/>
        </w:rPr>
        <w:footnoteReference w:id="29"/>
      </w:r>
      <w:r>
        <w:t>.</w:t>
      </w:r>
    </w:p>
    <w:p w14:paraId="15892E33" w14:textId="77777777" w:rsidR="00BE5CDA" w:rsidRPr="00E351AA" w:rsidRDefault="00BE5CDA">
      <w:pPr>
        <w:rPr>
          <w:lang w:val="en-GB"/>
        </w:rPr>
      </w:pPr>
    </w:p>
    <w:p w14:paraId="4ABE1D5D" w14:textId="03D84D03" w:rsidR="00BE5CDA" w:rsidRPr="00173645" w:rsidRDefault="00215C69">
      <w:pPr>
        <w:pStyle w:val="Heading3"/>
      </w:pPr>
      <w:r>
        <w:t>Pētījumi, uz kuriem atsaucas Limerikas Universitātes veiktā izpēte</w:t>
      </w:r>
      <w:r w:rsidR="00D120B8" w:rsidRPr="00220959">
        <w:rPr>
          <w:rStyle w:val="FootnoteReference"/>
          <w:lang w:val="en-GB"/>
        </w:rPr>
        <w:footnoteReference w:id="30"/>
      </w:r>
      <w:r>
        <w:t>, liecina, ka darbs ziņu redakcijās kļūst arvien intensīvāks. Tiek minēts, ka bažas rada arī digitālās pārkārtošanās izraisītās pārmaiņas, un daudzi baidās, ka viņu darbvietas aizstās mākslīgais intelekts</w:t>
      </w:r>
      <w:r w:rsidRPr="00220959">
        <w:rPr>
          <w:sz w:val="24"/>
          <w:szCs w:val="24"/>
          <w:vertAlign w:val="superscript"/>
          <w:lang w:val="en-GB"/>
        </w:rPr>
        <w:footnoteReference w:id="31"/>
      </w:r>
      <w:r>
        <w:t>. Daudziem žurnālistiem, kuri bieži saskaras ar algas iesaldēšanu, algas un darbinieku skaita samazināšanu, izmaksu samazināšanas pasākumi ir kļuvuši par ikdienu</w:t>
      </w:r>
      <w:r w:rsidR="007123CB" w:rsidRPr="00220959">
        <w:rPr>
          <w:rStyle w:val="FootnoteReference"/>
          <w:lang w:val="en-GB"/>
        </w:rPr>
        <w:footnoteReference w:id="32"/>
      </w:r>
      <w:r>
        <w:t>.</w:t>
      </w:r>
    </w:p>
    <w:p w14:paraId="7A795385" w14:textId="77777777" w:rsidR="00BE5CDA" w:rsidRPr="00E351AA" w:rsidRDefault="00BE5CDA">
      <w:pPr>
        <w:rPr>
          <w:lang w:val="en-GB"/>
        </w:rPr>
      </w:pPr>
    </w:p>
    <w:p w14:paraId="1B86143F" w14:textId="7646D248" w:rsidR="00BE5CDA" w:rsidRPr="00E351AA" w:rsidRDefault="00215C69">
      <w:pPr>
        <w:pStyle w:val="Heading2"/>
        <w:keepNext/>
        <w:keepLines/>
        <w:rPr>
          <w:b/>
          <w:bCs/>
        </w:rPr>
      </w:pPr>
      <w:r>
        <w:rPr>
          <w:b/>
        </w:rPr>
        <w:t>Darba laiks un darba intensitāte</w:t>
      </w:r>
    </w:p>
    <w:p w14:paraId="01C38357" w14:textId="77777777" w:rsidR="00BE5CDA" w:rsidRPr="00E351AA" w:rsidRDefault="00BE5CDA">
      <w:pPr>
        <w:keepNext/>
        <w:keepLines/>
        <w:rPr>
          <w:lang w:val="en-GB"/>
        </w:rPr>
      </w:pPr>
    </w:p>
    <w:p w14:paraId="44925AE6" w14:textId="23519053" w:rsidR="00BE5CDA" w:rsidRPr="00173645" w:rsidRDefault="00215C69">
      <w:pPr>
        <w:pStyle w:val="Heading3"/>
      </w:pPr>
      <w:r>
        <w:t>Valstu</w:t>
      </w:r>
      <w:r w:rsidR="007123CB" w:rsidRPr="00220959">
        <w:rPr>
          <w:rStyle w:val="FootnoteReference"/>
          <w:lang w:val="en-GB"/>
        </w:rPr>
        <w:footnoteReference w:id="33"/>
      </w:r>
      <w:r>
        <w:t xml:space="preserve"> un Eiropas</w:t>
      </w:r>
      <w:r w:rsidR="007123CB" w:rsidRPr="00220959">
        <w:rPr>
          <w:rStyle w:val="FootnoteReference"/>
          <w:lang w:val="en-GB"/>
        </w:rPr>
        <w:footnoteReference w:id="34"/>
      </w:r>
      <w:r>
        <w:t xml:space="preserve"> aptaujas liecina, ka vairumam žurnālistu ir nācies uzņemties papildu pienākumus un atbildību, taču lielākā daļa no viņiem nav saņēmuši atbilstošu algas paaugstinājumu. Pārmērīga darba slodze ir kļuvusi par normu: žurnālisti bieži vien strādā pie vairākiem materiāliem ar saspringtiem termiņiem, kas var izraisīt pārmērīgu spriedzi</w:t>
      </w:r>
      <w:r w:rsidR="000C7776" w:rsidRPr="00220959">
        <w:rPr>
          <w:rStyle w:val="FootnoteReference"/>
          <w:lang w:val="en-GB"/>
        </w:rPr>
        <w:footnoteReference w:id="35"/>
      </w:r>
      <w:r>
        <w:t>.</w:t>
      </w:r>
    </w:p>
    <w:p w14:paraId="3DB60F89" w14:textId="77777777" w:rsidR="00BE5CDA" w:rsidRPr="00E351AA" w:rsidRDefault="00BE5CDA">
      <w:pPr>
        <w:rPr>
          <w:lang w:val="en-GB"/>
        </w:rPr>
      </w:pPr>
    </w:p>
    <w:p w14:paraId="0C7ECD6B" w14:textId="462692DE" w:rsidR="00BE5CDA" w:rsidRPr="00173645" w:rsidRDefault="00215C69">
      <w:pPr>
        <w:pStyle w:val="Heading3"/>
      </w:pPr>
      <w:r>
        <w:t>Daudzi ārštata darbinieki ir spiesti uzņemties darbu, kas nav saistīts ar žurnālistiku, lai spētu segt izdevumus ar ienākumiem. Liela daļa žurnālistu ir apsvēruši iespēju pamest žurnālistiku, lai strādātu labāk apmaksātā profesijā, tādējādi saīsinot žurnālistu karjeru</w:t>
      </w:r>
      <w:r w:rsidRPr="00220959">
        <w:rPr>
          <w:sz w:val="24"/>
          <w:szCs w:val="24"/>
          <w:vertAlign w:val="superscript"/>
          <w:lang w:val="en-GB"/>
        </w:rPr>
        <w:footnoteReference w:id="36"/>
      </w:r>
      <w:r>
        <w:t>.</w:t>
      </w:r>
    </w:p>
    <w:p w14:paraId="779B42C2" w14:textId="77777777" w:rsidR="00BE5CDA" w:rsidRPr="00220959" w:rsidRDefault="00BE5CDA">
      <w:pPr>
        <w:rPr>
          <w:lang w:val="en-GB"/>
        </w:rPr>
      </w:pPr>
    </w:p>
    <w:p w14:paraId="1A5CF1DB" w14:textId="7F024557" w:rsidR="00BE5CDA" w:rsidRPr="00173645" w:rsidRDefault="00215C69">
      <w:pPr>
        <w:pStyle w:val="Heading3"/>
      </w:pPr>
      <w:r>
        <w:t>Vietējie un reģionālie žurnālisti ir neizdevīgā situācijā, bieži saņemot zemākas algas. Ārštata darbiniekiem var būt ierobežota piekļuve vai vispār nav piekļuves sociālā nodrošinājuma sistēmām. Visās dalībvalstīs vērojama tendence, ka vietējos plašsaziņas līdzekļus vairāk ietekmē reklāmas ieņēmumu samazināšanās un neobjektīvs valsts reklāmas un subsīdiju sadalījums</w:t>
      </w:r>
      <w:r w:rsidRPr="00220959">
        <w:rPr>
          <w:sz w:val="24"/>
          <w:szCs w:val="24"/>
          <w:vertAlign w:val="superscript"/>
          <w:lang w:val="en-GB"/>
        </w:rPr>
        <w:footnoteReference w:id="37"/>
      </w:r>
      <w:r>
        <w:t>.</w:t>
      </w:r>
    </w:p>
    <w:p w14:paraId="7AB72F41" w14:textId="77777777" w:rsidR="00BE5CDA" w:rsidRPr="00E351AA" w:rsidRDefault="00BE5CDA">
      <w:pPr>
        <w:rPr>
          <w:lang w:val="en-GB"/>
        </w:rPr>
      </w:pPr>
    </w:p>
    <w:p w14:paraId="609CC281" w14:textId="2321D540" w:rsidR="00BE5CDA" w:rsidRPr="00173645" w:rsidRDefault="00215C69">
      <w:pPr>
        <w:pStyle w:val="Heading3"/>
      </w:pPr>
      <w:r>
        <w:rPr>
          <w:i/>
          <w:iCs/>
        </w:rPr>
        <w:lastRenderedPageBreak/>
        <w:t>MPM</w:t>
      </w:r>
      <w:r>
        <w:t xml:space="preserve"> 2024. gada ziņojumā</w:t>
      </w:r>
      <w:r w:rsidRPr="00220959">
        <w:rPr>
          <w:sz w:val="24"/>
          <w:szCs w:val="24"/>
          <w:vertAlign w:val="superscript"/>
          <w:lang w:val="en-GB"/>
        </w:rPr>
        <w:footnoteReference w:id="38"/>
      </w:r>
      <w:r>
        <w:t xml:space="preserve"> norādīts, ka sarunas par koplīgumiem kļūst arvien sarežģītākas. Tāpēc žurnālisti kļūst arvien neaizsargātāki pret ārējiem faktoriem, piemēram, komerciālu vai politisku spiedienu</w:t>
      </w:r>
      <w:r w:rsidRPr="00220959">
        <w:rPr>
          <w:sz w:val="24"/>
          <w:szCs w:val="24"/>
          <w:vertAlign w:val="superscript"/>
          <w:lang w:val="en-GB"/>
        </w:rPr>
        <w:footnoteReference w:id="39"/>
      </w:r>
      <w:r>
        <w:t>.</w:t>
      </w:r>
    </w:p>
    <w:p w14:paraId="78DEAC4C" w14:textId="77777777" w:rsidR="00BE5CDA" w:rsidRPr="00E351AA" w:rsidRDefault="00BE5CDA">
      <w:pPr>
        <w:rPr>
          <w:lang w:val="en-GB"/>
        </w:rPr>
      </w:pPr>
    </w:p>
    <w:p w14:paraId="1184CCDC" w14:textId="7C26664C" w:rsidR="00BE5CDA" w:rsidRPr="00173645" w:rsidRDefault="00215C69">
      <w:pPr>
        <w:pStyle w:val="Heading3"/>
      </w:pPr>
      <w:r>
        <w:t>Francijā arodbiedrības ir nosodījušas jauno žurnālistu “</w:t>
      </w:r>
      <w:proofErr w:type="spellStart"/>
      <w:r>
        <w:t>uberizāciju</w:t>
      </w:r>
      <w:proofErr w:type="spellEnd"/>
      <w:r>
        <w:t xml:space="preserve">” un mediju kanālus, kas izmanto dažādus īstermiņa līgumus, </w:t>
      </w:r>
      <w:proofErr w:type="spellStart"/>
      <w:r>
        <w:t>pašnodarbinātību</w:t>
      </w:r>
      <w:proofErr w:type="spellEnd"/>
      <w:r>
        <w:t>, autoratlīdzības maksājumus un stažēšanos</w:t>
      </w:r>
      <w:r w:rsidRPr="00220959">
        <w:rPr>
          <w:sz w:val="24"/>
          <w:szCs w:val="24"/>
          <w:vertAlign w:val="superscript"/>
          <w:lang w:val="en-GB"/>
        </w:rPr>
        <w:footnoteReference w:id="40"/>
      </w:r>
      <w:r>
        <w:t>.</w:t>
      </w:r>
    </w:p>
    <w:p w14:paraId="2EB3C11B" w14:textId="77777777" w:rsidR="00BE5CDA" w:rsidRPr="00E351AA" w:rsidRDefault="00BE5CDA">
      <w:pPr>
        <w:rPr>
          <w:lang w:val="en-GB"/>
        </w:rPr>
      </w:pPr>
    </w:p>
    <w:p w14:paraId="4103F097" w14:textId="77777777" w:rsidR="00BE5CDA" w:rsidRPr="00E351AA" w:rsidRDefault="00215C69">
      <w:pPr>
        <w:pStyle w:val="Heading2"/>
        <w:keepNext/>
        <w:rPr>
          <w:b/>
          <w:bCs/>
        </w:rPr>
      </w:pPr>
      <w:r>
        <w:rPr>
          <w:b/>
        </w:rPr>
        <w:t>Darba attiecības</w:t>
      </w:r>
    </w:p>
    <w:p w14:paraId="4F31AB25" w14:textId="77777777" w:rsidR="00BE5CDA" w:rsidRPr="00E351AA" w:rsidRDefault="00BE5CDA">
      <w:pPr>
        <w:keepNext/>
        <w:rPr>
          <w:lang w:val="en-GB"/>
        </w:rPr>
      </w:pPr>
    </w:p>
    <w:p w14:paraId="3F7F7F8F" w14:textId="598DD5A8" w:rsidR="00BE5CDA" w:rsidRPr="00173645" w:rsidRDefault="00215C69">
      <w:pPr>
        <w:pStyle w:val="Heading3"/>
      </w:pPr>
      <w:r>
        <w:t>Darba intensitātes palielināšanās ziņu redakcijās var novest pie nepieņemamas uzvedības. Iespējami iebiedēšanas un vajāšanas gadījumi ar nopietnām sekām, tostarp stresu, depresiju, pazeminātu pašapziņu, sevis vainošanu un miega traucējumiem</w:t>
      </w:r>
      <w:r w:rsidRPr="00220959">
        <w:rPr>
          <w:sz w:val="24"/>
          <w:szCs w:val="24"/>
          <w:vertAlign w:val="superscript"/>
          <w:lang w:val="en-GB"/>
        </w:rPr>
        <w:footnoteReference w:id="41"/>
      </w:r>
      <w:r>
        <w:t>. Iespējama arī seksuāla uzmākšanās. Pētījumos ir arī uzsvērta izdegšanas izplatība profesijā un pieaugošais stress.</w:t>
      </w:r>
      <w:r w:rsidRPr="00220959">
        <w:rPr>
          <w:sz w:val="24"/>
          <w:szCs w:val="24"/>
          <w:vertAlign w:val="superscript"/>
          <w:lang w:val="en-GB"/>
        </w:rPr>
        <w:footnoteReference w:id="42"/>
      </w:r>
      <w:r>
        <w:t xml:space="preserve"> Žurnālisti, kuriem visvairāk draud izdegšana, ir jaunākas sievietes ar mazāku darba pieredzi mazas tirāžas laikrakstos. Eiropas aptauja liecina, ka 60 % aptaujāto žurnālistu ir piedzīvojuši izdegšanu</w:t>
      </w:r>
      <w:r w:rsidRPr="00220959">
        <w:rPr>
          <w:sz w:val="24"/>
          <w:szCs w:val="24"/>
          <w:vertAlign w:val="superscript"/>
          <w:lang w:val="en-GB"/>
        </w:rPr>
        <w:footnoteReference w:id="43"/>
      </w:r>
      <w:r>
        <w:t>.</w:t>
      </w:r>
    </w:p>
    <w:p w14:paraId="194D77FA" w14:textId="77777777" w:rsidR="00BE5CDA" w:rsidRPr="00E351AA" w:rsidRDefault="00BE5CDA">
      <w:pPr>
        <w:rPr>
          <w:lang w:val="en-GB"/>
        </w:rPr>
      </w:pPr>
    </w:p>
    <w:p w14:paraId="4C00824B" w14:textId="7485AA76" w:rsidR="00BE5CDA" w:rsidRPr="00E351AA" w:rsidRDefault="00215C69">
      <w:pPr>
        <w:pStyle w:val="Heading2"/>
        <w:keepNext/>
      </w:pPr>
      <w:r>
        <w:rPr>
          <w:b/>
        </w:rPr>
        <w:t>Trešo personu vardarbība un draudi tiešsaistē</w:t>
      </w:r>
    </w:p>
    <w:p w14:paraId="4A93543B" w14:textId="77777777" w:rsidR="00BE5CDA" w:rsidRPr="00E351AA" w:rsidRDefault="00BE5CDA">
      <w:pPr>
        <w:keepNext/>
        <w:rPr>
          <w:lang w:val="en-GB"/>
        </w:rPr>
      </w:pPr>
    </w:p>
    <w:p w14:paraId="1113453C" w14:textId="644F4CC3" w:rsidR="0038426A" w:rsidRPr="00173645" w:rsidRDefault="00215C69" w:rsidP="009C61FF">
      <w:pPr>
        <w:pStyle w:val="Heading3"/>
        <w:numPr>
          <w:ilvl w:val="0"/>
          <w:numId w:val="0"/>
        </w:numPr>
        <w:ind w:left="567"/>
      </w:pPr>
      <w:r>
        <w:t>Eiropā ir palielinājies pret žurnālistiem vērstu vardarbības gadījumu skaits</w:t>
      </w:r>
      <w:r w:rsidRPr="00220959">
        <w:rPr>
          <w:sz w:val="24"/>
          <w:szCs w:val="24"/>
          <w:vertAlign w:val="superscript"/>
          <w:lang w:val="en-GB"/>
        </w:rPr>
        <w:footnoteReference w:id="44"/>
      </w:r>
      <w:r>
        <w:t xml:space="preserve">. Jaunākajā </w:t>
      </w:r>
      <w:r>
        <w:rPr>
          <w:i/>
          <w:iCs/>
        </w:rPr>
        <w:t>MFRR</w:t>
      </w:r>
      <w:r>
        <w:t xml:space="preserve"> uzraudzības ziņojumā tika dokumentēti 1548 preses brīvības pārkāpumi 2024. gadā, kas bija vērsti pret 2567 ar medijiem saistītām personām vai vienībām</w:t>
      </w:r>
      <w:r w:rsidR="008F1DA0" w:rsidRPr="00220959">
        <w:rPr>
          <w:sz w:val="24"/>
          <w:szCs w:val="24"/>
          <w:vertAlign w:val="superscript"/>
          <w:lang w:val="en-GB"/>
        </w:rPr>
        <w:footnoteReference w:id="45"/>
      </w:r>
      <w:r>
        <w:t>.</w:t>
      </w:r>
    </w:p>
    <w:p w14:paraId="2B53D48F" w14:textId="77777777" w:rsidR="00BE5CDA" w:rsidRPr="00E351AA" w:rsidRDefault="00BE5CDA">
      <w:pPr>
        <w:rPr>
          <w:lang w:val="en-GB"/>
        </w:rPr>
      </w:pPr>
    </w:p>
    <w:p w14:paraId="4A0E298C" w14:textId="5140C90E" w:rsidR="00BE5CDA" w:rsidRPr="00173645" w:rsidRDefault="00215C69">
      <w:pPr>
        <w:pStyle w:val="Heading3"/>
      </w:pPr>
      <w:r>
        <w:t xml:space="preserve">Žurnālistu </w:t>
      </w:r>
      <w:proofErr w:type="spellStart"/>
      <w:r>
        <w:t>psihoemocionālo</w:t>
      </w:r>
      <w:proofErr w:type="spellEnd"/>
      <w:r>
        <w:t xml:space="preserve"> veselību var ietekmēt tiešsaistes draudu un uzbrukumu (uzmākšanās, iebiedēšana, </w:t>
      </w:r>
      <w:proofErr w:type="spellStart"/>
      <w:r>
        <w:t>doksings</w:t>
      </w:r>
      <w:proofErr w:type="spellEnd"/>
      <w:r>
        <w:t>, diskreditēšana, izmantojot viltus kontus u. c.) eksponenciālais pieaugums, kas īpaši vērsts pret žurnālistēm un žurnālistiem ar minoritāšu izcelsmi. EDSO 2023. gada beigās izdeva vadlīnijas</w:t>
      </w:r>
      <w:r w:rsidRPr="00220959">
        <w:rPr>
          <w:sz w:val="24"/>
          <w:szCs w:val="24"/>
          <w:vertAlign w:val="superscript"/>
          <w:lang w:val="en-GB"/>
        </w:rPr>
        <w:footnoteReference w:id="46"/>
      </w:r>
      <w:r>
        <w:t xml:space="preserve">, lai palīdzētu žurnālistēm labāk tikt galā </w:t>
      </w:r>
      <w:r>
        <w:lastRenderedPageBreak/>
        <w:t>ar šo jauno spiediena veidu. Eiropas Padomes platformā</w:t>
      </w:r>
      <w:r w:rsidR="00DC45D2" w:rsidRPr="00220959">
        <w:rPr>
          <w:rStyle w:val="FootnoteReference"/>
          <w:lang w:val="en-GB"/>
        </w:rPr>
        <w:footnoteReference w:id="47"/>
      </w:r>
      <w:r>
        <w:t xml:space="preserve"> 2024. gadā tika identificēti jauni digitālo uzbrukumu veidi, izmantojot </w:t>
      </w:r>
      <w:proofErr w:type="spellStart"/>
      <w:r>
        <w:t>dziļviltojumus</w:t>
      </w:r>
      <w:proofErr w:type="spellEnd"/>
      <w:r>
        <w:t xml:space="preserve"> ar žurnālistiem.</w:t>
      </w:r>
    </w:p>
    <w:p w14:paraId="1C5CB129" w14:textId="77777777" w:rsidR="00BE5CDA" w:rsidRPr="00E351AA" w:rsidRDefault="00BE5CDA">
      <w:pPr>
        <w:rPr>
          <w:lang w:val="en-GB"/>
        </w:rPr>
      </w:pPr>
    </w:p>
    <w:p w14:paraId="2B052872" w14:textId="77777777" w:rsidR="00BE5CDA" w:rsidRPr="00E351AA" w:rsidRDefault="00215C69">
      <w:pPr>
        <w:pStyle w:val="Heading2"/>
        <w:keepNext/>
      </w:pPr>
      <w:r>
        <w:rPr>
          <w:b/>
        </w:rPr>
        <w:t>Mākslīgais intelekts</w:t>
      </w:r>
    </w:p>
    <w:p w14:paraId="7FED59E1" w14:textId="77777777" w:rsidR="00BE5CDA" w:rsidRPr="00E351AA" w:rsidRDefault="00BE5CDA">
      <w:pPr>
        <w:keepNext/>
        <w:rPr>
          <w:lang w:val="en-GB"/>
        </w:rPr>
      </w:pPr>
    </w:p>
    <w:p w14:paraId="4F9DFCFB" w14:textId="3D6DED5C" w:rsidR="00BE5CDA" w:rsidRPr="00E351AA" w:rsidRDefault="00215C69">
      <w:pPr>
        <w:pStyle w:val="Heading3"/>
      </w:pPr>
      <w:r>
        <w:t xml:space="preserve">MI gan paver jaunas iespējas žurnālistiem, gan apdraud viņu lomu. Ģeneratīva MI rīki, piemēram, </w:t>
      </w:r>
      <w:proofErr w:type="spellStart"/>
      <w:r>
        <w:rPr>
          <w:i/>
        </w:rPr>
        <w:t>ChatGPT</w:t>
      </w:r>
      <w:proofErr w:type="spellEnd"/>
      <w:r>
        <w:t xml:space="preserve">, apdraud žurnālistu pozīcijas, un daudzi baidās, ka viņus aizstās MI. </w:t>
      </w:r>
      <w:r>
        <w:rPr>
          <w:i/>
          <w:iCs/>
        </w:rPr>
        <w:t xml:space="preserve">OFF Radio </w:t>
      </w:r>
      <w:proofErr w:type="spellStart"/>
      <w:r>
        <w:rPr>
          <w:i/>
          <w:iCs/>
        </w:rPr>
        <w:t>Krakow</w:t>
      </w:r>
      <w:proofErr w:type="spellEnd"/>
      <w:r>
        <w:t xml:space="preserve"> Polijā 2024. gada oktobrī izraisīja strīdus, aizstājot savus žurnālistus ar MI ģenerētiem raidījumu vadītājiem</w:t>
      </w:r>
      <w:r w:rsidRPr="00220959">
        <w:rPr>
          <w:sz w:val="24"/>
          <w:szCs w:val="24"/>
          <w:vertAlign w:val="superscript"/>
          <w:lang w:val="en-GB"/>
        </w:rPr>
        <w:footnoteReference w:id="48"/>
      </w:r>
      <w:r>
        <w:t xml:space="preserve">. Beļģijas sabiedriskās raidorganizācijas </w:t>
      </w:r>
      <w:r>
        <w:rPr>
          <w:i/>
          <w:iCs/>
        </w:rPr>
        <w:t xml:space="preserve">VRT </w:t>
      </w:r>
      <w:proofErr w:type="spellStart"/>
      <w:r>
        <w:rPr>
          <w:i/>
          <w:iCs/>
        </w:rPr>
        <w:t>News</w:t>
      </w:r>
      <w:proofErr w:type="spellEnd"/>
      <w:r>
        <w:t xml:space="preserve"> veiktā izmeklēšana</w:t>
      </w:r>
      <w:r w:rsidR="00450C28" w:rsidRPr="00220959">
        <w:rPr>
          <w:vertAlign w:val="superscript"/>
          <w:lang w:val="en-GB"/>
        </w:rPr>
        <w:footnoteReference w:id="49"/>
      </w:r>
      <w:r>
        <w:t xml:space="preserve"> parādīja, ka vairāk nekā puse modes žurnāla </w:t>
      </w:r>
      <w:r>
        <w:rPr>
          <w:i/>
          <w:iCs/>
        </w:rPr>
        <w:t>Elle</w:t>
      </w:r>
      <w:r>
        <w:t xml:space="preserve"> tīmekļa vietnē publicēto rakstu bija attiecināmi uz MI ģenerētiem žurnālistiem. MI modeļi, kas apmācīti, izmantojot lielas žurnālistikas satura datu kopas, var radīt rezultātus, kas ir ļoti līdzīgi ar autortiesībām aizsargātiem materiāliem, un tas var novest pie autortiesību pārkāpuma.</w:t>
      </w:r>
    </w:p>
    <w:p w14:paraId="7AFF06EA" w14:textId="77777777" w:rsidR="00BE5CDA" w:rsidRPr="00E351AA" w:rsidRDefault="00BE5CDA">
      <w:pPr>
        <w:rPr>
          <w:lang w:val="en-GB"/>
        </w:rPr>
      </w:pPr>
    </w:p>
    <w:p w14:paraId="24B94821" w14:textId="5A93C5F6" w:rsidR="00BE5CDA" w:rsidRPr="00E351AA" w:rsidRDefault="00215C69">
      <w:pPr>
        <w:pStyle w:val="Heading2"/>
        <w:keepNext/>
        <w:rPr>
          <w:b/>
          <w:bCs/>
        </w:rPr>
      </w:pPr>
      <w:r>
        <w:rPr>
          <w:b/>
        </w:rPr>
        <w:t>Dezinformācija</w:t>
      </w:r>
    </w:p>
    <w:p w14:paraId="7310DD0C" w14:textId="77777777" w:rsidR="00BE5CDA" w:rsidRPr="00E351AA" w:rsidRDefault="00BE5CDA">
      <w:pPr>
        <w:keepNext/>
        <w:rPr>
          <w:lang w:val="en-GB"/>
        </w:rPr>
      </w:pPr>
    </w:p>
    <w:p w14:paraId="68FD0500" w14:textId="16530EA4" w:rsidR="00BE5CDA" w:rsidRPr="00173645" w:rsidRDefault="00215C69">
      <w:pPr>
        <w:pStyle w:val="Heading3"/>
      </w:pPr>
      <w:r>
        <w:t>Masveida dezinformācijas izplatīšana sociālajos medijos, neatkarīgi no tās izcelsmes (ārvalstu vai iekšzemes), liek žurnālistiem būt pastāvīgi modriem, arī ārpus darba laika. Šis spiediens papildina jau tāpat palielināto darba slodzi. Tiesības uz labāku darba un privātās dzīves līdzsvaru un iespēju atslēgties tiek uzskatītas par jaunu izaicinājumu. Dažas ES dalībvalstis ir pieņēmušas tiesību aktus, kas ļauj darba ņēmējiem atslēgties no darba, kā tas ir Dānijā, Beļģijā, Īrijā, Portugālē, Francijā, Spānijā un Itālijā</w:t>
      </w:r>
      <w:r w:rsidRPr="00220959">
        <w:rPr>
          <w:sz w:val="24"/>
          <w:szCs w:val="24"/>
          <w:vertAlign w:val="superscript"/>
          <w:lang w:val="en-GB"/>
        </w:rPr>
        <w:footnoteReference w:id="50"/>
      </w:r>
      <w:r>
        <w:t>.</w:t>
      </w:r>
    </w:p>
    <w:p w14:paraId="4DB5C3B7" w14:textId="77777777" w:rsidR="00BE5CDA" w:rsidRPr="00E351AA" w:rsidRDefault="00BE5CDA">
      <w:pPr>
        <w:rPr>
          <w:lang w:val="en-GB"/>
        </w:rPr>
      </w:pPr>
    </w:p>
    <w:p w14:paraId="512220D7" w14:textId="0CD8433A" w:rsidR="00BE5CDA" w:rsidRPr="00E351AA" w:rsidRDefault="00215C69">
      <w:pPr>
        <w:pStyle w:val="Heading3"/>
      </w:pPr>
      <w:r>
        <w:t>Ziņojumi liecina par aizvien lielāku uzticības zudumu medijiem, ko veicina plaši izplatītā dezinformācija. Šī uzticamības zudums ietekmē žurnālistu morāli un pašcieņu. Aptaujā tika konstatēts, ka tikai 40 % respondentu 47 aptaujātajos tirgos atzīst, ka uzticas lielākajai daļai ziņu</w:t>
      </w:r>
      <w:r w:rsidRPr="00220959">
        <w:rPr>
          <w:sz w:val="24"/>
          <w:szCs w:val="24"/>
          <w:vertAlign w:val="superscript"/>
          <w:lang w:val="en-GB"/>
        </w:rPr>
        <w:footnoteReference w:id="51"/>
      </w:r>
      <w:r>
        <w:t>. Saskaroties ar publisko debašu saindēšanu, izmantojot dezinformāciju, daudzi žurnālisti jūtas bezspēcīgi pret draudiem, ka profesija var zaudēt savas pamatfunkcijas — atbildību un uzraudzību.</w:t>
      </w:r>
    </w:p>
    <w:p w14:paraId="2552BE62" w14:textId="77777777" w:rsidR="00BE5CDA" w:rsidRPr="00E351AA" w:rsidRDefault="00BE5CDA">
      <w:pPr>
        <w:rPr>
          <w:lang w:val="en-GB"/>
        </w:rPr>
      </w:pPr>
    </w:p>
    <w:p w14:paraId="725E8D1D" w14:textId="77777777" w:rsidR="00BE5CDA" w:rsidRPr="00E351AA" w:rsidRDefault="00215C69">
      <w:pPr>
        <w:pStyle w:val="Heading2"/>
        <w:keepNext/>
        <w:rPr>
          <w:b/>
          <w:bCs/>
        </w:rPr>
      </w:pPr>
      <w:r>
        <w:rPr>
          <w:b/>
        </w:rPr>
        <w:t>Sabiedriskie mediju pakalpojumi</w:t>
      </w:r>
    </w:p>
    <w:p w14:paraId="305897BC" w14:textId="77777777" w:rsidR="00BE5CDA" w:rsidRPr="00E351AA" w:rsidRDefault="00BE5CDA">
      <w:pPr>
        <w:keepNext/>
        <w:rPr>
          <w:lang w:val="en-GB"/>
        </w:rPr>
      </w:pPr>
    </w:p>
    <w:p w14:paraId="51C1C70F" w14:textId="1D4CBA49" w:rsidR="00BE5CDA" w:rsidRPr="00E351AA" w:rsidRDefault="00215C69">
      <w:pPr>
        <w:pStyle w:val="Heading3"/>
      </w:pPr>
      <w:r>
        <w:t>Lai gan žurnālistiem sabiedriskās apraides nozarē kopumā ir labāki darba apstākļi un lielāka darba stabilitāte, viņi arvien vairāk saskaras ar finansiāliem ierobežojumiem, pārstrukturēšanu un politisku iejaukšanos</w:t>
      </w:r>
      <w:r w:rsidR="00791F33" w:rsidRPr="00220959">
        <w:rPr>
          <w:sz w:val="24"/>
          <w:szCs w:val="24"/>
          <w:vertAlign w:val="superscript"/>
          <w:lang w:val="en-GB"/>
        </w:rPr>
        <w:footnoteReference w:id="52"/>
      </w:r>
      <w:r>
        <w:t xml:space="preserve">. Gandrīz puse ES dalībvalstu negarantē savu sabiedrisko mediju </w:t>
      </w:r>
      <w:r>
        <w:lastRenderedPageBreak/>
        <w:t>(SM) pārvaldību un finansiālo neatkarību</w:t>
      </w:r>
      <w:r w:rsidRPr="00220959">
        <w:rPr>
          <w:sz w:val="24"/>
          <w:szCs w:val="24"/>
          <w:vertAlign w:val="superscript"/>
          <w:lang w:val="en-GB"/>
        </w:rPr>
        <w:footnoteReference w:id="53"/>
      </w:r>
      <w:r>
        <w:t>. Tikai 14 valstīs ir pilnīgi neatkarīgas sabiedriskās raidorganizācijas: Zviedrijā, Lietuvā, Luksemburgā, Nīderlandē, Beļģijā, Vācijā, Portugālē, Dānijā, Latvijā, Somijā, Īrijā, Austrijā, Čehijā un Igaunijā.</w:t>
      </w:r>
    </w:p>
    <w:p w14:paraId="11FE7A65" w14:textId="315D83E6" w:rsidR="00BE5CDA" w:rsidRPr="00E351AA" w:rsidRDefault="00BE5CDA">
      <w:pPr>
        <w:rPr>
          <w:lang w:val="en-GB"/>
        </w:rPr>
      </w:pPr>
    </w:p>
    <w:p w14:paraId="6AAA3667" w14:textId="2393352C" w:rsidR="00BE5CDA" w:rsidRPr="00E351AA" w:rsidRDefault="00215C69">
      <w:pPr>
        <w:pStyle w:val="Heading3"/>
      </w:pPr>
      <w:r>
        <w:t>EESK aicina Eiropas Komisiju nodrošināt stingru un savlaicīgu Eiropas Mediju brīvības akta īstenošanu un izpildi, lai nodrošinātu SM pārvaldības neatkarību, kā arī tā finansējuma ilgtermiņa ilgtspēju. Darbības neatkarība un ilgtspējīgs finansējums tieši ietekmē SM žurnālistu darba apstākļus.</w:t>
      </w:r>
    </w:p>
    <w:p w14:paraId="1EF5F2B9" w14:textId="77777777" w:rsidR="00BE5CDA" w:rsidRPr="00E351AA" w:rsidRDefault="00BE5CDA" w:rsidP="00FC5B57">
      <w:pPr>
        <w:rPr>
          <w:lang w:val="en-GB"/>
        </w:rPr>
      </w:pPr>
    </w:p>
    <w:p w14:paraId="5C6D6CDC" w14:textId="44B3BBE6" w:rsidR="00BE5CDA" w:rsidRPr="00E351AA" w:rsidRDefault="00215C69">
      <w:pPr>
        <w:pStyle w:val="Heading3"/>
      </w:pPr>
      <w:r>
        <w:t>EESK atbalsta aicinājumu, kuru pauž 14 ES dalībvalstis, kas iestājas par ilgtspējīgu finansiālu atbalstu Radio Brīvā Eiropa/Radio Brīvība, un atzinīgi vērtē lēmumu par ES ārkārtas atbalstu pēc tam, kad ASV valdība ir apturējusi dotāciju piešķiršanu</w:t>
      </w:r>
      <w:r w:rsidRPr="00FC5B57">
        <w:rPr>
          <w:sz w:val="24"/>
          <w:szCs w:val="24"/>
          <w:vertAlign w:val="superscript"/>
          <w:lang w:val="en-GB"/>
        </w:rPr>
        <w:footnoteReference w:id="54"/>
      </w:r>
      <w:r>
        <w:t xml:space="preserve">. Radio Brīvā Eiropa/Radio Brīvība var pildīt savu būtisko uzdevumu, nodrošinot </w:t>
      </w:r>
      <w:proofErr w:type="spellStart"/>
      <w:r>
        <w:t>daudzvalodu</w:t>
      </w:r>
      <w:proofErr w:type="spellEnd"/>
      <w:r>
        <w:t xml:space="preserve"> neatkarīgu žurnālistiku autokrātiskās valstīs, tikai tad, ja tās cenšas nodrošināt žurnālistiem pienācīgas darbvietas un labus darba apstākļus.</w:t>
      </w:r>
    </w:p>
    <w:p w14:paraId="6CF622F7" w14:textId="77777777" w:rsidR="00BE5CDA" w:rsidRPr="00E351AA" w:rsidRDefault="00BE5CDA">
      <w:pPr>
        <w:rPr>
          <w:lang w:val="en-GB"/>
        </w:rPr>
      </w:pPr>
    </w:p>
    <w:p w14:paraId="39A83EEA" w14:textId="77777777" w:rsidR="00BE5CDA" w:rsidRPr="00E351AA" w:rsidRDefault="00215C69">
      <w:pPr>
        <w:pStyle w:val="Heading2"/>
        <w:keepNext/>
        <w:keepLines/>
        <w:rPr>
          <w:b/>
          <w:bCs/>
        </w:rPr>
      </w:pPr>
      <w:r>
        <w:rPr>
          <w:b/>
        </w:rPr>
        <w:t>Pašcenzūra</w:t>
      </w:r>
    </w:p>
    <w:p w14:paraId="0682611E" w14:textId="77777777" w:rsidR="00BE5CDA" w:rsidRPr="00E351AA" w:rsidRDefault="00BE5CDA">
      <w:pPr>
        <w:keepNext/>
        <w:keepLines/>
        <w:rPr>
          <w:b/>
          <w:lang w:val="en-GB"/>
        </w:rPr>
      </w:pPr>
    </w:p>
    <w:p w14:paraId="52D461A9" w14:textId="52CD2E5F" w:rsidR="00BE5CDA" w:rsidRPr="00E351AA" w:rsidRDefault="00215C69">
      <w:pPr>
        <w:pStyle w:val="Heading3"/>
      </w:pPr>
      <w:r>
        <w:t>Eiropas Padomes pasūtītā pētījumā</w:t>
      </w:r>
      <w:r w:rsidR="00631532" w:rsidRPr="00FC5B57">
        <w:rPr>
          <w:sz w:val="24"/>
          <w:szCs w:val="24"/>
          <w:vertAlign w:val="superscript"/>
          <w:lang w:val="en-GB"/>
        </w:rPr>
        <w:footnoteReference w:id="55"/>
      </w:r>
      <w:r>
        <w:t xml:space="preserve"> 37 % aptaujas respondentu no 47 Eiropas Padomes dalībvalstīm un Baltkrievijas apgalvoja, ka “nepamatota iejaukšanās” ietekmē viņu darba veidu, un pašcenzūra bija ļoti izplatīts temats. 69 % respondentu apgalvoja, ka ir piedzīvojuši psiholoģisku vardarbību, galvenokārt no publisko iestāžu puses. Psiholoģiskā vardarbība galvenokārt ietvēra publisko iestāžu veiktu noniecināšanu un pazemošanu (48 %), publisko iestāžu veiktu iebiedēšanu (56 %), publisko iestāžu izteiktus draudus nodarīt kaitējumu (41 %) un publisko iestāžu īstenotas neslavas celšanas vai nomelnošanas kampaņas (43 %).</w:t>
      </w:r>
    </w:p>
    <w:p w14:paraId="05473CBB" w14:textId="77777777" w:rsidR="00637424" w:rsidRPr="00E351AA" w:rsidRDefault="00637424">
      <w:pPr>
        <w:overflowPunct w:val="0"/>
        <w:autoSpaceDE w:val="0"/>
        <w:autoSpaceDN w:val="0"/>
        <w:adjustRightInd w:val="0"/>
        <w:jc w:val="center"/>
        <w:textAlignment w:val="baseline"/>
        <w:rPr>
          <w:lang w:val="en-GB"/>
        </w:rPr>
      </w:pPr>
    </w:p>
    <w:p w14:paraId="3C0C072B" w14:textId="4214A535" w:rsidR="00E01DAA" w:rsidRPr="002C4A2A" w:rsidRDefault="00E01DAA" w:rsidP="00E01DAA">
      <w:r>
        <w:t>Briselē, 2025. gada 6. novembrī</w:t>
      </w:r>
    </w:p>
    <w:p w14:paraId="347BD842" w14:textId="77777777" w:rsidR="00E01DAA" w:rsidRPr="002C4A2A" w:rsidRDefault="00E01DAA" w:rsidP="00E01DAA">
      <w:pPr>
        <w:rPr>
          <w:lang w:val="en-GB"/>
        </w:rPr>
      </w:pPr>
    </w:p>
    <w:p w14:paraId="0E243B70" w14:textId="77777777" w:rsidR="00E01DAA" w:rsidRPr="002C4A2A" w:rsidRDefault="00E01DAA" w:rsidP="00E01DAA">
      <w:pPr>
        <w:rPr>
          <w:lang w:val="en-GB"/>
        </w:rPr>
      </w:pPr>
    </w:p>
    <w:p w14:paraId="1F08FAE7" w14:textId="77777777" w:rsidR="00E01DAA" w:rsidRPr="002C4A2A" w:rsidRDefault="00E01DAA" w:rsidP="00E01DAA">
      <w:pPr>
        <w:rPr>
          <w:i/>
          <w:iCs/>
        </w:rPr>
      </w:pPr>
      <w:r>
        <w:rPr>
          <w:i/>
        </w:rPr>
        <w:t>Nodarbinātības, sociālo lietu un pilsoniskuma specializētās nodaļas priekšsēdētāja</w:t>
      </w:r>
    </w:p>
    <w:p w14:paraId="4CE09B62" w14:textId="1D2A57A6" w:rsidR="00E01DAA" w:rsidRPr="002C4A2A" w:rsidRDefault="00E01DAA" w:rsidP="00810547">
      <w:proofErr w:type="spellStart"/>
      <w:r>
        <w:t>Cinzia</w:t>
      </w:r>
      <w:proofErr w:type="spellEnd"/>
      <w:r>
        <w:t xml:space="preserve"> DEL RIO</w:t>
      </w:r>
    </w:p>
    <w:p w14:paraId="4027375E" w14:textId="77777777" w:rsidR="00810547" w:rsidRPr="002C4A2A" w:rsidRDefault="00810547" w:rsidP="00810547">
      <w:pPr>
        <w:rPr>
          <w:lang w:val="en-GB"/>
        </w:rPr>
      </w:pPr>
    </w:p>
    <w:p w14:paraId="11D99730" w14:textId="6FFD4454" w:rsidR="00810547" w:rsidRPr="002C4A2A" w:rsidRDefault="00810547" w:rsidP="002C4A2A">
      <w:pPr>
        <w:jc w:val="center"/>
      </w:pPr>
      <w:r>
        <w:t>_____________</w:t>
      </w:r>
    </w:p>
    <w:p w14:paraId="1BE93F3E" w14:textId="152B0ED2" w:rsidR="00E96D24" w:rsidRPr="00E351AA" w:rsidRDefault="00E96D24" w:rsidP="00E351AA">
      <w:pPr>
        <w:overflowPunct w:val="0"/>
        <w:autoSpaceDE w:val="0"/>
        <w:autoSpaceDN w:val="0"/>
        <w:adjustRightInd w:val="0"/>
        <w:jc w:val="center"/>
        <w:textAlignment w:val="baseline"/>
        <w:rPr>
          <w:lang w:val="en-GB"/>
        </w:rPr>
      </w:pPr>
    </w:p>
    <w:sectPr w:rsidR="00E96D24" w:rsidRPr="00E351AA" w:rsidSect="009754EA">
      <w:headerReference w:type="even" r:id="rId21"/>
      <w:headerReference w:type="default" r:id="rId22"/>
      <w:footerReference w:type="even" r:id="rId23"/>
      <w:footerReference w:type="default" r:id="rId24"/>
      <w:headerReference w:type="first" r:id="rId25"/>
      <w:footerReference w:type="first" r:id="rId26"/>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6AA29" w14:textId="77777777" w:rsidR="008C1BFC" w:rsidRDefault="008C1BFC" w:rsidP="00076D45">
      <w:pPr>
        <w:spacing w:line="240" w:lineRule="auto"/>
      </w:pPr>
      <w:r>
        <w:separator/>
      </w:r>
    </w:p>
    <w:p w14:paraId="2F2ACFDF" w14:textId="77777777" w:rsidR="008C1BFC" w:rsidRDefault="008C1BFC"/>
  </w:endnote>
  <w:endnote w:type="continuationSeparator" w:id="0">
    <w:p w14:paraId="6A843A65" w14:textId="77777777" w:rsidR="008C1BFC" w:rsidRDefault="008C1BFC" w:rsidP="00076D45">
      <w:pPr>
        <w:spacing w:line="240" w:lineRule="auto"/>
      </w:pPr>
      <w:r>
        <w:continuationSeparator/>
      </w:r>
    </w:p>
    <w:p w14:paraId="6DC1283A" w14:textId="77777777" w:rsidR="008C1BFC" w:rsidRDefault="008C1BFC"/>
  </w:endnote>
  <w:endnote w:type="continuationNotice" w:id="1">
    <w:p w14:paraId="49F33E3A" w14:textId="77777777" w:rsidR="008C1BFC" w:rsidRDefault="008C1BFC">
      <w:pPr>
        <w:spacing w:line="240" w:lineRule="auto"/>
      </w:pPr>
    </w:p>
    <w:p w14:paraId="13A719AE" w14:textId="77777777" w:rsidR="008C1BFC" w:rsidRDefault="008C1B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A6848" w14:textId="77777777" w:rsidR="00F071D3" w:rsidRPr="009754EA" w:rsidRDefault="00F071D3" w:rsidP="009754E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6F110" w14:textId="541F7552" w:rsidR="00E32DC6" w:rsidRPr="009754EA" w:rsidRDefault="009754EA" w:rsidP="009754EA">
    <w:pPr>
      <w:pStyle w:val="Footer"/>
    </w:pPr>
    <w:r>
      <w:t xml:space="preserve">SOC/828 – EESC-2025-01400-00-00-AS-TRA (EN) </w:t>
    </w:r>
    <w:r>
      <w:fldChar w:fldCharType="begin"/>
    </w:r>
    <w:r>
      <w:instrText xml:space="preserve"> PAGE  \* Arabic  \* MERGEFORMAT </w:instrText>
    </w:r>
    <w:r>
      <w:fldChar w:fldCharType="separate"/>
    </w:r>
    <w:r w:rsidR="0046334E">
      <w:t>1</w:t>
    </w:r>
    <w:r>
      <w:fldChar w:fldCharType="end"/>
    </w:r>
    <w:r>
      <w:t>/</w:t>
    </w:r>
    <w:r w:rsidR="0090416C">
      <w:fldChar w:fldCharType="begin"/>
    </w:r>
    <w:r w:rsidR="0090416C">
      <w:instrText xml:space="preserve"> NUMPAGES </w:instrText>
    </w:r>
    <w:r w:rsidR="0090416C">
      <w:fldChar w:fldCharType="separate"/>
    </w:r>
    <w:r w:rsidR="0046334E">
      <w:t>1</w:t>
    </w:r>
    <w:r w:rsidR="0090416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243D3" w14:textId="77777777" w:rsidR="00F071D3" w:rsidRPr="009754EA" w:rsidRDefault="00F071D3" w:rsidP="009754E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75009" w14:textId="77777777" w:rsidR="00BE5CDA" w:rsidRPr="009754EA" w:rsidRDefault="00BE5CDA" w:rsidP="009754E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43896" w14:textId="0BF955C0" w:rsidR="00BE5CDA" w:rsidRPr="009754EA" w:rsidRDefault="009754EA" w:rsidP="009754EA">
    <w:pPr>
      <w:pStyle w:val="Footer"/>
    </w:pPr>
    <w:r>
      <w:t xml:space="preserve">SOC/828 – EESC-2025-01400-00-00-AS-TRA (EN) </w:t>
    </w:r>
    <w:r>
      <w:fldChar w:fldCharType="begin"/>
    </w:r>
    <w:r>
      <w:instrText xml:space="preserve"> PAGE  \* Arabic  \* MERGEFORMAT </w:instrText>
    </w:r>
    <w:r>
      <w:fldChar w:fldCharType="separate"/>
    </w:r>
    <w:r>
      <w:t>2</w:t>
    </w:r>
    <w:r>
      <w:fldChar w:fldCharType="end"/>
    </w:r>
    <w:r>
      <w:t>/</w:t>
    </w:r>
    <w:r w:rsidR="0090416C">
      <w:fldChar w:fldCharType="begin"/>
    </w:r>
    <w:r w:rsidR="0090416C">
      <w:instrText xml:space="preserve"> NUMPAGES </w:instrText>
    </w:r>
    <w:r w:rsidR="0090416C">
      <w:fldChar w:fldCharType="separate"/>
    </w:r>
    <w:r>
      <w:t>10</w:t>
    </w:r>
    <w:r w:rsidR="0090416C">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EF358" w14:textId="77777777" w:rsidR="00BE5CDA" w:rsidRPr="009754EA" w:rsidRDefault="00BE5CDA" w:rsidP="009754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9FB0AF" w14:textId="77777777" w:rsidR="008C1BFC" w:rsidRDefault="008C1BFC" w:rsidP="00076D45">
      <w:pPr>
        <w:spacing w:line="240" w:lineRule="auto"/>
      </w:pPr>
      <w:r>
        <w:separator/>
      </w:r>
    </w:p>
    <w:p w14:paraId="4949F314" w14:textId="77777777" w:rsidR="008C1BFC" w:rsidRDefault="008C1BFC"/>
  </w:footnote>
  <w:footnote w:type="continuationSeparator" w:id="0">
    <w:p w14:paraId="3B9650F0" w14:textId="77777777" w:rsidR="008C1BFC" w:rsidRDefault="008C1BFC" w:rsidP="00076D45">
      <w:pPr>
        <w:spacing w:line="240" w:lineRule="auto"/>
      </w:pPr>
      <w:r>
        <w:continuationSeparator/>
      </w:r>
    </w:p>
    <w:p w14:paraId="10ABD078" w14:textId="77777777" w:rsidR="008C1BFC" w:rsidRDefault="008C1BFC"/>
  </w:footnote>
  <w:footnote w:type="continuationNotice" w:id="1">
    <w:p w14:paraId="2659FC89" w14:textId="77777777" w:rsidR="008C1BFC" w:rsidRDefault="008C1BFC">
      <w:pPr>
        <w:spacing w:line="240" w:lineRule="auto"/>
      </w:pPr>
    </w:p>
    <w:p w14:paraId="6539DBEC" w14:textId="77777777" w:rsidR="008C1BFC" w:rsidRDefault="008C1BFC"/>
  </w:footnote>
  <w:footnote w:id="2">
    <w:p w14:paraId="2B8779F4" w14:textId="3F492609"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
        <w:r>
          <w:rPr>
            <w:color w:val="0000FF"/>
            <w:sz w:val="16"/>
            <w:u w:val="single"/>
          </w:rPr>
          <w:t>https://eur-lex.europa.eu/legal-content/LV/TXT/?uri=legissum:4623532</w:t>
        </w:r>
      </w:hyperlink>
      <w:r>
        <w:rPr>
          <w:sz w:val="16"/>
        </w:rPr>
        <w:t>.</w:t>
      </w:r>
    </w:p>
  </w:footnote>
  <w:footnote w:id="3">
    <w:p w14:paraId="031211AE" w14:textId="702C2A3C" w:rsidR="00ED3E39" w:rsidRPr="00ED3E39" w:rsidRDefault="00215C69" w:rsidP="00FC5B57">
      <w:pPr>
        <w:keepLines/>
        <w:spacing w:after="60" w:line="240" w:lineRule="auto"/>
        <w:ind w:left="567" w:hanging="567"/>
      </w:pPr>
      <w:r>
        <w:rPr>
          <w:rStyle w:val="FootnoteReference"/>
        </w:rPr>
        <w:footnoteRef/>
      </w:r>
      <w:r>
        <w:rPr>
          <w:sz w:val="16"/>
        </w:rPr>
        <w:tab/>
      </w:r>
      <w:hyperlink r:id="rId2">
        <w:r>
          <w:rPr>
            <w:color w:val="0000FF"/>
            <w:sz w:val="16"/>
            <w:u w:val="single"/>
          </w:rPr>
          <w:t>https://eur-lex.europa.eu/legal-content/LV/TXT/?uri=CELEX%3A52022XC0930%2802%29</w:t>
        </w:r>
      </w:hyperlink>
      <w:r>
        <w:rPr>
          <w:sz w:val="16"/>
        </w:rPr>
        <w:t>.</w:t>
      </w:r>
    </w:p>
  </w:footnote>
  <w:footnote w:id="4">
    <w:p w14:paraId="307AF53B" w14:textId="12396380" w:rsidR="00532B94" w:rsidRDefault="00532B94" w:rsidP="00FC5B57">
      <w:pPr>
        <w:keepLines/>
        <w:spacing w:after="60" w:line="240" w:lineRule="auto"/>
        <w:ind w:left="567" w:hanging="567"/>
        <w:rPr>
          <w:sz w:val="20"/>
          <w:szCs w:val="20"/>
        </w:rPr>
      </w:pPr>
      <w:r>
        <w:rPr>
          <w:rStyle w:val="FootnoteReference"/>
        </w:rPr>
        <w:footnoteRef/>
      </w:r>
      <w:r>
        <w:rPr>
          <w:sz w:val="16"/>
        </w:rPr>
        <w:tab/>
      </w:r>
      <w:hyperlink r:id="rId3">
        <w:r>
          <w:rPr>
            <w:color w:val="0000FF"/>
            <w:sz w:val="16"/>
            <w:u w:val="single"/>
          </w:rPr>
          <w:t>Darba aizsardzības izvērtēšanas samita secinājumi – Eiropas Komisija</w:t>
        </w:r>
      </w:hyperlink>
      <w:r>
        <w:rPr>
          <w:sz w:val="16"/>
        </w:rPr>
        <w:t>.</w:t>
      </w:r>
    </w:p>
  </w:footnote>
  <w:footnote w:id="5">
    <w:p w14:paraId="781EB3C5" w14:textId="3EAACF3C" w:rsidR="00532B94" w:rsidRPr="009C61FF" w:rsidRDefault="00532B94" w:rsidP="00FC5B57">
      <w:pPr>
        <w:keepLines/>
        <w:spacing w:after="60" w:line="240" w:lineRule="auto"/>
        <w:ind w:left="567" w:hanging="567"/>
        <w:rPr>
          <w:sz w:val="16"/>
          <w:szCs w:val="16"/>
        </w:rPr>
      </w:pPr>
      <w:r>
        <w:rPr>
          <w:rStyle w:val="FootnoteReference"/>
        </w:rPr>
        <w:footnoteRef/>
      </w:r>
      <w:r>
        <w:rPr>
          <w:sz w:val="20"/>
        </w:rPr>
        <w:tab/>
      </w:r>
      <w:hyperlink r:id="rId4" w:history="1">
        <w:r>
          <w:rPr>
            <w:color w:val="0000FF"/>
            <w:sz w:val="16"/>
            <w:u w:val="single"/>
          </w:rPr>
          <w:t>OV C, C/2025/2958, 16.6.2025.</w:t>
        </w:r>
      </w:hyperlink>
      <w:r>
        <w:rPr>
          <w:sz w:val="16"/>
        </w:rPr>
        <w:t>, 1.1. punkts.</w:t>
      </w:r>
    </w:p>
  </w:footnote>
  <w:footnote w:id="6">
    <w:p w14:paraId="475FC770" w14:textId="0C4CAE44" w:rsidR="00BE5CDA" w:rsidRPr="0023267D" w:rsidRDefault="00215C69" w:rsidP="00FC5B57">
      <w:pPr>
        <w:keepLines/>
        <w:spacing w:after="60" w:line="240" w:lineRule="auto"/>
        <w:ind w:left="567" w:hanging="567"/>
        <w:rPr>
          <w:color w:val="0000FF"/>
          <w:sz w:val="16"/>
          <w:szCs w:val="16"/>
        </w:rPr>
      </w:pPr>
      <w:r>
        <w:rPr>
          <w:rStyle w:val="FootnoteReference"/>
        </w:rPr>
        <w:footnoteRef/>
      </w:r>
      <w:r>
        <w:rPr>
          <w:sz w:val="16"/>
        </w:rPr>
        <w:tab/>
      </w:r>
      <w:hyperlink r:id="rId5">
        <w:r>
          <w:rPr>
            <w:color w:val="0000FF"/>
            <w:sz w:val="16"/>
            <w:u w:val="single"/>
          </w:rPr>
          <w:t>https://digital-strategy.ec.europa.eu/en/library/recommendation-protection-safety-and-empowerment-journalists</w:t>
        </w:r>
      </w:hyperlink>
      <w:r>
        <w:rPr>
          <w:sz w:val="16"/>
        </w:rPr>
        <w:t>.</w:t>
      </w:r>
    </w:p>
  </w:footnote>
  <w:footnote w:id="7">
    <w:p w14:paraId="76E7FD1D" w14:textId="39DD114E" w:rsidR="00A33CB3" w:rsidRPr="00C447B1" w:rsidRDefault="00A33CB3" w:rsidP="00FC5B57">
      <w:pPr>
        <w:keepLines/>
        <w:spacing w:after="60" w:line="240" w:lineRule="auto"/>
        <w:ind w:left="567" w:hanging="567"/>
        <w:rPr>
          <w:szCs w:val="16"/>
        </w:rPr>
      </w:pPr>
      <w:r>
        <w:rPr>
          <w:rStyle w:val="FootnoteReference"/>
        </w:rPr>
        <w:footnoteRef/>
      </w:r>
      <w:r>
        <w:rPr>
          <w:color w:val="1155CC"/>
          <w:sz w:val="18"/>
        </w:rPr>
        <w:tab/>
      </w:r>
      <w:hyperlink r:id="rId6" w:history="1">
        <w:r>
          <w:rPr>
            <w:color w:val="0000FF"/>
            <w:sz w:val="16"/>
            <w:u w:val="single"/>
          </w:rPr>
          <w:t>https://op.europa.eu/en/publication-detail/-/publication/bca5a5bd-090a-11ef-a251-01aa75ed71a1/language-en</w:t>
        </w:r>
      </w:hyperlink>
      <w:r>
        <w:rPr>
          <w:sz w:val="16"/>
        </w:rPr>
        <w:t>.</w:t>
      </w:r>
    </w:p>
  </w:footnote>
  <w:footnote w:id="8">
    <w:p w14:paraId="5A397CA4" w14:textId="2AA7A716" w:rsidR="00893451" w:rsidRPr="002C4A2A" w:rsidRDefault="00893451" w:rsidP="00FC5B57">
      <w:pPr>
        <w:pStyle w:val="FootnoteText"/>
      </w:pPr>
      <w:r>
        <w:rPr>
          <w:rStyle w:val="FootnoteReference"/>
        </w:rPr>
        <w:footnoteRef/>
      </w:r>
      <w:r>
        <w:t xml:space="preserve"> </w:t>
      </w:r>
      <w:r>
        <w:tab/>
      </w:r>
      <w:r>
        <w:t xml:space="preserve">OV C, C/2025/114, 10.1.2025., ELI: </w:t>
      </w:r>
      <w:hyperlink r:id="rId7" w:history="1">
        <w:r>
          <w:rPr>
            <w:rStyle w:val="Hyperlink"/>
          </w:rPr>
          <w:t>http://data.europa.eu/eli/C/2025/114/oj</w:t>
        </w:r>
      </w:hyperlink>
      <w:r>
        <w:t>.</w:t>
      </w:r>
    </w:p>
  </w:footnote>
  <w:footnote w:id="9">
    <w:p w14:paraId="4072EBF4" w14:textId="60E8B3F3" w:rsidR="00BE5CDA" w:rsidRPr="002C4A2A" w:rsidRDefault="00215C69" w:rsidP="00FC5B57">
      <w:pPr>
        <w:keepLines/>
        <w:spacing w:after="60" w:line="240" w:lineRule="auto"/>
        <w:ind w:left="567" w:hanging="567"/>
        <w:rPr>
          <w:sz w:val="16"/>
          <w:szCs w:val="16"/>
        </w:rPr>
      </w:pPr>
      <w:r>
        <w:rPr>
          <w:rStyle w:val="FootnoteReference"/>
        </w:rPr>
        <w:footnoteRef/>
      </w:r>
      <w:r>
        <w:rPr>
          <w:sz w:val="16"/>
        </w:rPr>
        <w:tab/>
      </w:r>
      <w:hyperlink r:id="rId8">
        <w:r>
          <w:rPr>
            <w:color w:val="0000FF"/>
            <w:sz w:val="16"/>
            <w:u w:val="single"/>
          </w:rPr>
          <w:t>https://fom.coe.int/en/accueil</w:t>
        </w:r>
      </w:hyperlink>
      <w:r>
        <w:rPr>
          <w:sz w:val="16"/>
        </w:rPr>
        <w:t>.</w:t>
      </w:r>
    </w:p>
  </w:footnote>
  <w:footnote w:id="10">
    <w:p w14:paraId="13D2C86F" w14:textId="3BC53141"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9">
        <w:r>
          <w:rPr>
            <w:color w:val="0000FF"/>
            <w:sz w:val="16"/>
            <w:u w:val="single"/>
          </w:rPr>
          <w:t>https://www.mfrr.eu/</w:t>
        </w:r>
      </w:hyperlink>
      <w:r>
        <w:rPr>
          <w:sz w:val="16"/>
        </w:rPr>
        <w:t>.</w:t>
      </w:r>
    </w:p>
  </w:footnote>
  <w:footnote w:id="11">
    <w:p w14:paraId="1860072B" w14:textId="6A540E1F"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0">
        <w:r>
          <w:rPr>
            <w:color w:val="0000FF"/>
            <w:sz w:val="16"/>
            <w:u w:val="single"/>
          </w:rPr>
          <w:t xml:space="preserve">Monitoring </w:t>
        </w:r>
        <w:proofErr w:type="spellStart"/>
        <w:r>
          <w:rPr>
            <w:color w:val="0000FF"/>
            <w:sz w:val="16"/>
            <w:u w:val="single"/>
          </w:rPr>
          <w:t>Media</w:t>
        </w:r>
        <w:proofErr w:type="spellEnd"/>
        <w:r>
          <w:rPr>
            <w:color w:val="0000FF"/>
            <w:sz w:val="16"/>
            <w:u w:val="single"/>
          </w:rPr>
          <w:t xml:space="preserve"> </w:t>
        </w:r>
        <w:proofErr w:type="spellStart"/>
        <w:r>
          <w:rPr>
            <w:color w:val="0000FF"/>
            <w:sz w:val="16"/>
            <w:u w:val="single"/>
          </w:rPr>
          <w:t>Pluralism</w:t>
        </w:r>
        <w:proofErr w:type="spellEnd"/>
        <w:r>
          <w:rPr>
            <w:color w:val="0000FF"/>
            <w:sz w:val="16"/>
            <w:u w:val="single"/>
          </w:rPr>
          <w:t xml:space="preserve"> </w:t>
        </w:r>
        <w:proofErr w:type="spellStart"/>
        <w:r>
          <w:rPr>
            <w:color w:val="0000FF"/>
            <w:sz w:val="16"/>
            <w:u w:val="single"/>
          </w:rPr>
          <w:t>in</w:t>
        </w:r>
        <w:proofErr w:type="spellEnd"/>
        <w:r>
          <w:rPr>
            <w:color w:val="0000FF"/>
            <w:sz w:val="16"/>
            <w:u w:val="single"/>
          </w:rPr>
          <w:t xml:space="preserve"> </w:t>
        </w:r>
        <w:proofErr w:type="spellStart"/>
        <w:r>
          <w:rPr>
            <w:color w:val="0000FF"/>
            <w:sz w:val="16"/>
            <w:u w:val="single"/>
          </w:rPr>
          <w:t>the</w:t>
        </w:r>
        <w:proofErr w:type="spellEnd"/>
        <w:r>
          <w:rPr>
            <w:color w:val="0000FF"/>
            <w:sz w:val="16"/>
            <w:u w:val="single"/>
          </w:rPr>
          <w:t xml:space="preserve"> EU</w:t>
        </w:r>
      </w:hyperlink>
      <w:r>
        <w:rPr>
          <w:sz w:val="16"/>
        </w:rPr>
        <w:t>, 2025, 6. lpp.</w:t>
      </w:r>
    </w:p>
  </w:footnote>
  <w:footnote w:id="12">
    <w:p w14:paraId="36FFC2FB" w14:textId="77777777" w:rsidR="00BE5CDA" w:rsidRPr="00525737" w:rsidRDefault="00215C69" w:rsidP="00FC5B57">
      <w:pPr>
        <w:keepLines/>
        <w:spacing w:after="60" w:line="240" w:lineRule="auto"/>
        <w:ind w:left="567" w:hanging="567"/>
        <w:rPr>
          <w:sz w:val="16"/>
          <w:szCs w:val="16"/>
        </w:rPr>
      </w:pPr>
      <w:r>
        <w:rPr>
          <w:rStyle w:val="FootnoteReference"/>
        </w:rPr>
        <w:footnoteRef/>
      </w:r>
      <w:r>
        <w:rPr>
          <w:sz w:val="16"/>
        </w:rPr>
        <w:tab/>
      </w:r>
      <w:proofErr w:type="spellStart"/>
      <w:r>
        <w:rPr>
          <w:i/>
          <w:iCs/>
        </w:rPr>
        <w:t>The</w:t>
      </w:r>
      <w:proofErr w:type="spellEnd"/>
      <w:r>
        <w:rPr>
          <w:i/>
          <w:iCs/>
        </w:rPr>
        <w:t xml:space="preserve"> </w:t>
      </w:r>
      <w:proofErr w:type="spellStart"/>
      <w:r>
        <w:rPr>
          <w:i/>
          <w:iCs/>
        </w:rPr>
        <w:t>Impact</w:t>
      </w:r>
      <w:proofErr w:type="spellEnd"/>
      <w:r>
        <w:rPr>
          <w:i/>
          <w:iCs/>
        </w:rPr>
        <w:t xml:space="preserve"> </w:t>
      </w:r>
      <w:proofErr w:type="spellStart"/>
      <w:r>
        <w:rPr>
          <w:i/>
          <w:iCs/>
        </w:rPr>
        <w:t>of</w:t>
      </w:r>
      <w:proofErr w:type="spellEnd"/>
      <w:r>
        <w:rPr>
          <w:i/>
          <w:iCs/>
        </w:rPr>
        <w:t xml:space="preserve"> </w:t>
      </w:r>
      <w:proofErr w:type="spellStart"/>
      <w:r>
        <w:rPr>
          <w:i/>
          <w:iCs/>
        </w:rPr>
        <w:t>Changing</w:t>
      </w:r>
      <w:proofErr w:type="spellEnd"/>
      <w:r>
        <w:rPr>
          <w:i/>
          <w:iCs/>
        </w:rPr>
        <w:t xml:space="preserve"> </w:t>
      </w:r>
      <w:proofErr w:type="spellStart"/>
      <w:r>
        <w:rPr>
          <w:i/>
          <w:iCs/>
        </w:rPr>
        <w:t>Work</w:t>
      </w:r>
      <w:proofErr w:type="spellEnd"/>
      <w:r>
        <w:rPr>
          <w:i/>
          <w:iCs/>
        </w:rPr>
        <w:t xml:space="preserve"> </w:t>
      </w:r>
      <w:proofErr w:type="spellStart"/>
      <w:r>
        <w:rPr>
          <w:i/>
          <w:iCs/>
        </w:rPr>
        <w:t>Practices</w:t>
      </w:r>
      <w:proofErr w:type="spellEnd"/>
      <w:r>
        <w:rPr>
          <w:i/>
          <w:iCs/>
        </w:rPr>
        <w:t xml:space="preserve"> </w:t>
      </w:r>
      <w:proofErr w:type="spellStart"/>
      <w:r>
        <w:rPr>
          <w:i/>
          <w:iCs/>
        </w:rPr>
        <w:t>in</w:t>
      </w:r>
      <w:proofErr w:type="spellEnd"/>
      <w:r>
        <w:rPr>
          <w:i/>
          <w:iCs/>
        </w:rPr>
        <w:t xml:space="preserve"> </w:t>
      </w:r>
      <w:proofErr w:type="spellStart"/>
      <w:r>
        <w:rPr>
          <w:i/>
          <w:iCs/>
        </w:rPr>
        <w:t>Journalism</w:t>
      </w:r>
      <w:proofErr w:type="spellEnd"/>
      <w:r>
        <w:rPr>
          <w:i/>
          <w:iCs/>
        </w:rPr>
        <w:t xml:space="preserve"> </w:t>
      </w:r>
      <w:proofErr w:type="spellStart"/>
      <w:r>
        <w:rPr>
          <w:i/>
          <w:iCs/>
        </w:rPr>
        <w:t>in</w:t>
      </w:r>
      <w:proofErr w:type="spellEnd"/>
      <w:r>
        <w:rPr>
          <w:i/>
          <w:iCs/>
        </w:rPr>
        <w:t xml:space="preserve"> </w:t>
      </w:r>
      <w:proofErr w:type="spellStart"/>
      <w:r>
        <w:rPr>
          <w:i/>
          <w:iCs/>
        </w:rPr>
        <w:t>Ireland</w:t>
      </w:r>
      <w:proofErr w:type="spellEnd"/>
      <w:r>
        <w:rPr>
          <w:i/>
          <w:iCs/>
        </w:rPr>
        <w:t xml:space="preserve">, </w:t>
      </w:r>
      <w:proofErr w:type="spellStart"/>
      <w:r>
        <w:rPr>
          <w:i/>
          <w:iCs/>
        </w:rPr>
        <w:t>Emer</w:t>
      </w:r>
      <w:proofErr w:type="spellEnd"/>
      <w:r>
        <w:rPr>
          <w:i/>
          <w:iCs/>
        </w:rPr>
        <w:t xml:space="preserve"> </w:t>
      </w:r>
      <w:proofErr w:type="spellStart"/>
      <w:r>
        <w:rPr>
          <w:i/>
          <w:iCs/>
        </w:rPr>
        <w:t>Connolly</w:t>
      </w:r>
      <w:proofErr w:type="spellEnd"/>
      <w:r>
        <w:t>, 2024.</w:t>
      </w:r>
    </w:p>
  </w:footnote>
  <w:footnote w:id="13">
    <w:p w14:paraId="0CE7E02B" w14:textId="270E90C9" w:rsidR="00BE5CDA" w:rsidRPr="00525737" w:rsidRDefault="00215C69" w:rsidP="00FC5B57">
      <w:pPr>
        <w:keepLines/>
        <w:spacing w:after="60" w:line="240" w:lineRule="auto"/>
        <w:ind w:left="567" w:hanging="567"/>
        <w:rPr>
          <w:sz w:val="16"/>
          <w:szCs w:val="16"/>
        </w:rPr>
      </w:pPr>
      <w:r>
        <w:rPr>
          <w:rStyle w:val="FootnoteReference"/>
          <w:szCs w:val="24"/>
        </w:rPr>
        <w:footnoteRef/>
      </w:r>
      <w:r>
        <w:rPr>
          <w:sz w:val="16"/>
        </w:rPr>
        <w:tab/>
      </w:r>
      <w:r>
        <w:rPr>
          <w:sz w:val="16"/>
        </w:rPr>
        <w:t xml:space="preserve">Ziņojums par preses brīvību Eiropā, ko sagatavojušas Eiropas Padomes Žurnālistikas aizsardzības un žurnālistu drošības veicināšanas platformas </w:t>
      </w:r>
      <w:proofErr w:type="spellStart"/>
      <w:r>
        <w:rPr>
          <w:sz w:val="16"/>
        </w:rPr>
        <w:t>partnerorganizācijas</w:t>
      </w:r>
      <w:proofErr w:type="spellEnd"/>
      <w:r>
        <w:rPr>
          <w:sz w:val="16"/>
        </w:rPr>
        <w:t>, 2025. gada marts.</w:t>
      </w:r>
    </w:p>
  </w:footnote>
  <w:footnote w:id="14">
    <w:p w14:paraId="368F81F3" w14:textId="7198FAD3" w:rsidR="00BE5CDA" w:rsidRPr="00525737" w:rsidRDefault="00215C69" w:rsidP="00FC5B57">
      <w:pPr>
        <w:keepLines/>
        <w:spacing w:after="60" w:line="240" w:lineRule="auto"/>
        <w:ind w:left="567" w:hanging="567"/>
        <w:rPr>
          <w:sz w:val="16"/>
          <w:szCs w:val="16"/>
        </w:rPr>
      </w:pPr>
      <w:r>
        <w:rPr>
          <w:rStyle w:val="FootnoteReference"/>
          <w:szCs w:val="24"/>
        </w:rPr>
        <w:footnoteRef/>
      </w:r>
      <w:r>
        <w:rPr>
          <w:sz w:val="16"/>
        </w:rPr>
        <w:tab/>
      </w:r>
      <w:r>
        <w:rPr>
          <w:sz w:val="16"/>
        </w:rPr>
        <w:t xml:space="preserve">Ministru komitejas Ieteikums CM/Rec(2016)4 dalībvalstīm par žurnālistikas aizsardzību un žurnālistu un citu mediju darbinieku drošību, </w:t>
      </w:r>
      <w:hyperlink r:id="rId11">
        <w:r>
          <w:rPr>
            <w:color w:val="0000FF"/>
            <w:sz w:val="16"/>
            <w:u w:val="single"/>
          </w:rPr>
          <w:t>https://search.coe.int/cm?i=09000016806415d9</w:t>
        </w:r>
      </w:hyperlink>
      <w:r>
        <w:rPr>
          <w:sz w:val="16"/>
        </w:rPr>
        <w:t>.</w:t>
      </w:r>
    </w:p>
  </w:footnote>
  <w:footnote w:id="15">
    <w:p w14:paraId="3A792730" w14:textId="4BCB66C1" w:rsidR="00BE5CDA" w:rsidRPr="00637424" w:rsidRDefault="00215C69" w:rsidP="00FC5B57">
      <w:pPr>
        <w:keepLines/>
        <w:spacing w:after="60" w:line="240" w:lineRule="auto"/>
        <w:ind w:left="567" w:hanging="567"/>
        <w:rPr>
          <w:sz w:val="16"/>
          <w:szCs w:val="16"/>
        </w:rPr>
      </w:pPr>
      <w:r>
        <w:rPr>
          <w:rStyle w:val="FootnoteReference"/>
        </w:rPr>
        <w:footnoteRef/>
      </w:r>
      <w:r>
        <w:rPr>
          <w:sz w:val="16"/>
        </w:rPr>
        <w:tab/>
      </w:r>
      <w:hyperlink r:id="rId12">
        <w:r>
          <w:rPr>
            <w:color w:val="0000FF"/>
            <w:sz w:val="16"/>
            <w:u w:val="single"/>
          </w:rPr>
          <w:t>https://cadmus.eui.eu/server/api/core/bitstreams/6f582946-bb17-49fc-ab81-9a4b79b4d0ce/content</w:t>
        </w:r>
      </w:hyperlink>
      <w:r>
        <w:rPr>
          <w:sz w:val="16"/>
        </w:rPr>
        <w:t>.</w:t>
      </w:r>
    </w:p>
  </w:footnote>
  <w:footnote w:id="16">
    <w:p w14:paraId="54E12318" w14:textId="7626AC15" w:rsidR="00BE5CDA" w:rsidRPr="009C61FF" w:rsidRDefault="00215C69" w:rsidP="00FC5B57">
      <w:pPr>
        <w:keepLines/>
        <w:spacing w:after="60" w:line="240" w:lineRule="auto"/>
        <w:ind w:left="567" w:hanging="567"/>
        <w:rPr>
          <w:sz w:val="16"/>
          <w:szCs w:val="16"/>
        </w:rPr>
      </w:pPr>
      <w:r>
        <w:rPr>
          <w:rStyle w:val="FootnoteReference"/>
        </w:rPr>
        <w:footnoteRef/>
      </w:r>
      <w:r>
        <w:rPr>
          <w:sz w:val="16"/>
        </w:rPr>
        <w:tab/>
      </w:r>
      <w:hyperlink r:id="rId13">
        <w:r>
          <w:rPr>
            <w:color w:val="0000FF"/>
            <w:sz w:val="16"/>
            <w:u w:val="single"/>
          </w:rPr>
          <w:t>https://cadmus.eui.eu/server/api/core/bitstreams/6f582946-bb17-49fc-ab81-9a4b79b4d0ce/content</w:t>
        </w:r>
      </w:hyperlink>
      <w:r>
        <w:rPr>
          <w:sz w:val="16"/>
        </w:rPr>
        <w:t>.</w:t>
      </w:r>
    </w:p>
  </w:footnote>
  <w:footnote w:id="17">
    <w:p w14:paraId="5C0C3492" w14:textId="3E92F543" w:rsidR="00BE5CDA" w:rsidRDefault="00215C69" w:rsidP="00FC5B57">
      <w:pPr>
        <w:keepLines/>
        <w:spacing w:after="60" w:line="240" w:lineRule="auto"/>
        <w:ind w:left="567" w:hanging="567"/>
        <w:rPr>
          <w:sz w:val="16"/>
          <w:szCs w:val="16"/>
        </w:rPr>
      </w:pPr>
      <w:r>
        <w:rPr>
          <w:rStyle w:val="FootnoteReference"/>
        </w:rPr>
        <w:footnoteRef/>
      </w:r>
      <w:r>
        <w:tab/>
      </w:r>
      <w:hyperlink r:id="rId14">
        <w:r>
          <w:rPr>
            <w:color w:val="0000FF"/>
            <w:sz w:val="16"/>
            <w:u w:val="single"/>
          </w:rPr>
          <w:t>https://www.eesc.europa.eu/lv/our-work/opinions-information-reports/opinions/initiative-against-abusive-litigation-targeting-journalists-and-rights-defenders</w:t>
        </w:r>
      </w:hyperlink>
      <w:r>
        <w:rPr>
          <w:sz w:val="16"/>
        </w:rPr>
        <w:t>.</w:t>
      </w:r>
    </w:p>
  </w:footnote>
  <w:footnote w:id="18">
    <w:p w14:paraId="5B49B19C" w14:textId="268B6B52" w:rsidR="00BE5CDA" w:rsidRDefault="00215C69" w:rsidP="00FC5B57">
      <w:pPr>
        <w:keepLines/>
        <w:spacing w:after="60" w:line="240" w:lineRule="auto"/>
        <w:ind w:left="567" w:hanging="567"/>
        <w:rPr>
          <w:sz w:val="16"/>
          <w:szCs w:val="16"/>
        </w:rPr>
      </w:pPr>
      <w:r>
        <w:rPr>
          <w:rStyle w:val="FootnoteReference"/>
        </w:rPr>
        <w:footnoteRef/>
      </w:r>
      <w:r>
        <w:rPr>
          <w:sz w:val="20"/>
        </w:rPr>
        <w:tab/>
      </w:r>
      <w:hyperlink r:id="rId15" w:history="1">
        <w:r>
          <w:rPr>
            <w:rStyle w:val="Hyperlink"/>
            <w:sz w:val="16"/>
          </w:rPr>
          <w:t>https://www.eesc.europa.eu/lv/our-work/opinions-information-reports/opinions/securing-media-freedom-and-diversity-europe-own-initiative-opinion</w:t>
        </w:r>
      </w:hyperlink>
      <w:r>
        <w:rPr>
          <w:sz w:val="16"/>
        </w:rPr>
        <w:t>.</w:t>
      </w:r>
    </w:p>
  </w:footnote>
  <w:footnote w:id="19">
    <w:p w14:paraId="352F8F14" w14:textId="42D1EA19"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6">
        <w:r>
          <w:rPr>
            <w:color w:val="0000FF"/>
            <w:sz w:val="16"/>
            <w:u w:val="single"/>
          </w:rPr>
          <w:t>https://ec.europa.eu/eurostat/en/web/products-eurostat-news/-/edn-20200503-1</w:t>
        </w:r>
      </w:hyperlink>
      <w:r>
        <w:rPr>
          <w:sz w:val="16"/>
        </w:rPr>
        <w:t>.</w:t>
      </w:r>
    </w:p>
  </w:footnote>
  <w:footnote w:id="20">
    <w:p w14:paraId="7C90D132" w14:textId="7937CD43"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17">
        <w:r>
          <w:rPr>
            <w:rStyle w:val="Hyperlink"/>
            <w:sz w:val="16"/>
          </w:rPr>
          <w:t>https://transitionsmedia.org/2025/03/27/newtaktaksurvey/</w:t>
        </w:r>
      </w:hyperlink>
      <w:r>
        <w:rPr>
          <w:sz w:val="16"/>
        </w:rPr>
        <w:t>.</w:t>
      </w:r>
    </w:p>
  </w:footnote>
  <w:footnote w:id="21">
    <w:p w14:paraId="0DEAE9A5" w14:textId="6CCA862A" w:rsidR="009962C4" w:rsidRPr="00637424" w:rsidRDefault="009962C4" w:rsidP="00FC5B57">
      <w:pPr>
        <w:keepLines/>
        <w:spacing w:after="60" w:line="240" w:lineRule="auto"/>
        <w:ind w:left="567" w:hanging="567"/>
        <w:rPr>
          <w:sz w:val="16"/>
          <w:szCs w:val="16"/>
        </w:rPr>
      </w:pPr>
      <w:r>
        <w:rPr>
          <w:rStyle w:val="FootnoteReference"/>
        </w:rPr>
        <w:footnoteRef/>
      </w:r>
      <w:r>
        <w:rPr>
          <w:sz w:val="20"/>
        </w:rPr>
        <w:tab/>
      </w:r>
      <w:hyperlink r:id="rId18">
        <w:r>
          <w:rPr>
            <w:rStyle w:val="Hyperlink"/>
            <w:sz w:val="16"/>
          </w:rPr>
          <w:t>https://cadmus.eui.eu/server/api/core/bitstreams/6f582946-bb17-49fc-ab81-9a4b79b4d0ce/content</w:t>
        </w:r>
      </w:hyperlink>
      <w:r>
        <w:rPr>
          <w:sz w:val="16"/>
        </w:rPr>
        <w:t>.</w:t>
      </w:r>
    </w:p>
  </w:footnote>
  <w:footnote w:id="22">
    <w:p w14:paraId="5B707B52" w14:textId="7FCA00A6" w:rsidR="00EA5234" w:rsidRPr="009C61FF" w:rsidRDefault="00EA5234" w:rsidP="00FC5B57">
      <w:pPr>
        <w:pStyle w:val="FootnoteText"/>
      </w:pPr>
      <w:r>
        <w:rPr>
          <w:rStyle w:val="FootnoteReference"/>
        </w:rPr>
        <w:footnoteRef/>
      </w:r>
      <w:r>
        <w:t xml:space="preserve"> </w:t>
      </w:r>
      <w:r>
        <w:tab/>
      </w:r>
      <w:hyperlink r:id="rId19" w:history="1">
        <w:r>
          <w:rPr>
            <w:rStyle w:val="Hyperlink"/>
          </w:rPr>
          <w:t>https://www.etuc.org/en/speech/backing-journalists-etuc-stands-efj-collective-bargaining-and-quality-work</w:t>
        </w:r>
      </w:hyperlink>
      <w:r>
        <w:t>.</w:t>
      </w:r>
    </w:p>
  </w:footnote>
  <w:footnote w:id="23">
    <w:p w14:paraId="5A0F5FC2" w14:textId="0271CAA9" w:rsidR="00CB144A" w:rsidRPr="009C61FF" w:rsidRDefault="00CB144A" w:rsidP="00FC5B57">
      <w:pPr>
        <w:keepLines/>
        <w:spacing w:after="60" w:line="240" w:lineRule="auto"/>
        <w:ind w:left="567" w:hanging="567"/>
        <w:rPr>
          <w:szCs w:val="16"/>
        </w:rPr>
      </w:pPr>
      <w:r>
        <w:rPr>
          <w:rStyle w:val="FootnoteReference"/>
        </w:rPr>
        <w:footnoteRef/>
      </w:r>
      <w:r>
        <w:t xml:space="preserve"> </w:t>
      </w:r>
      <w:r>
        <w:tab/>
      </w:r>
      <w:hyperlink r:id="rId20">
        <w:proofErr w:type="spellStart"/>
        <w:r>
          <w:rPr>
            <w:color w:val="0033FF"/>
            <w:sz w:val="16"/>
            <w:u w:val="single"/>
          </w:rPr>
          <w:t>Media</w:t>
        </w:r>
        <w:proofErr w:type="spellEnd"/>
        <w:r>
          <w:rPr>
            <w:color w:val="0033FF"/>
            <w:sz w:val="16"/>
            <w:u w:val="single"/>
          </w:rPr>
          <w:t xml:space="preserve"> </w:t>
        </w:r>
        <w:proofErr w:type="spellStart"/>
        <w:r>
          <w:rPr>
            <w:color w:val="0033FF"/>
            <w:sz w:val="16"/>
            <w:u w:val="single"/>
          </w:rPr>
          <w:t>Pluralism</w:t>
        </w:r>
        <w:proofErr w:type="spellEnd"/>
        <w:r>
          <w:rPr>
            <w:color w:val="0033FF"/>
            <w:sz w:val="16"/>
            <w:u w:val="single"/>
          </w:rPr>
          <w:t xml:space="preserve"> Monitor 2024</w:t>
        </w:r>
      </w:hyperlink>
      <w:r>
        <w:rPr>
          <w:sz w:val="16"/>
        </w:rPr>
        <w:t>, 91. lpp.</w:t>
      </w:r>
    </w:p>
  </w:footnote>
  <w:footnote w:id="24">
    <w:p w14:paraId="5AB670AF" w14:textId="75CCF85A" w:rsidR="00BE5CDA" w:rsidRPr="009C61FF" w:rsidRDefault="00215C69" w:rsidP="00FC5B57">
      <w:pPr>
        <w:keepLines/>
        <w:spacing w:after="60" w:line="240" w:lineRule="auto"/>
        <w:ind w:left="567" w:hanging="567"/>
        <w:rPr>
          <w:sz w:val="16"/>
          <w:szCs w:val="16"/>
        </w:rPr>
      </w:pPr>
      <w:r>
        <w:rPr>
          <w:rStyle w:val="FootnoteReference"/>
        </w:rPr>
        <w:footnoteRef/>
      </w:r>
      <w:r>
        <w:rPr>
          <w:sz w:val="16"/>
        </w:rPr>
        <w:tab/>
      </w:r>
      <w:hyperlink r:id="rId21">
        <w:r>
          <w:rPr>
            <w:color w:val="0000FF"/>
            <w:sz w:val="16"/>
            <w:u w:val="single"/>
          </w:rPr>
          <w:t>ht</w:t>
        </w:r>
        <w:r>
          <w:rPr>
            <w:color w:val="0033FF"/>
            <w:sz w:val="16"/>
            <w:u w:val="single"/>
          </w:rPr>
          <w:t>tps://cad</w:t>
        </w:r>
        <w:r>
          <w:rPr>
            <w:color w:val="0000FF"/>
            <w:sz w:val="16"/>
            <w:u w:val="single"/>
          </w:rPr>
          <w:t>mus.eui.eu/bitstream/handle/1814/77028/Media%20Pluralism%20Monitor%20Report_2024.pdf</w:t>
        </w:r>
      </w:hyperlink>
      <w:r>
        <w:rPr>
          <w:sz w:val="16"/>
        </w:rPr>
        <w:t>.</w:t>
      </w:r>
    </w:p>
  </w:footnote>
  <w:footnote w:id="25">
    <w:p w14:paraId="240DDDCA" w14:textId="77777777" w:rsidR="00BE5CDA" w:rsidRPr="009C61FF" w:rsidRDefault="00215C69" w:rsidP="00FC5B57">
      <w:pPr>
        <w:keepLines/>
        <w:spacing w:after="60" w:line="240" w:lineRule="auto"/>
        <w:ind w:left="567" w:hanging="567"/>
        <w:rPr>
          <w:color w:val="000000" w:themeColor="text1"/>
          <w:szCs w:val="16"/>
        </w:rPr>
      </w:pPr>
      <w:r>
        <w:rPr>
          <w:rStyle w:val="FootnoteReference"/>
        </w:rPr>
        <w:footnoteRef/>
      </w:r>
      <w:r>
        <w:rPr>
          <w:sz w:val="16"/>
        </w:rPr>
        <w:tab/>
      </w:r>
      <w:proofErr w:type="spellStart"/>
      <w:r w:rsidRPr="0052255E">
        <w:rPr>
          <w:i/>
          <w:iCs/>
          <w:sz w:val="16"/>
          <w:szCs w:val="16"/>
        </w:rPr>
        <w:t>Together</w:t>
      </w:r>
      <w:proofErr w:type="spellEnd"/>
      <w:r w:rsidRPr="0052255E">
        <w:rPr>
          <w:i/>
          <w:iCs/>
          <w:sz w:val="16"/>
          <w:szCs w:val="16"/>
        </w:rPr>
        <w:t xml:space="preserve">, </w:t>
      </w:r>
      <w:proofErr w:type="spellStart"/>
      <w:r w:rsidRPr="0052255E">
        <w:rPr>
          <w:i/>
          <w:iCs/>
          <w:sz w:val="16"/>
          <w:szCs w:val="16"/>
        </w:rPr>
        <w:t>stronger</w:t>
      </w:r>
      <w:proofErr w:type="spellEnd"/>
      <w:r w:rsidRPr="0052255E">
        <w:rPr>
          <w:i/>
          <w:iCs/>
          <w:sz w:val="16"/>
          <w:szCs w:val="16"/>
        </w:rPr>
        <w:t xml:space="preserve">: a </w:t>
      </w:r>
      <w:proofErr w:type="spellStart"/>
      <w:r w:rsidRPr="0052255E">
        <w:rPr>
          <w:i/>
          <w:iCs/>
          <w:sz w:val="16"/>
          <w:szCs w:val="16"/>
        </w:rPr>
        <w:t>collective</w:t>
      </w:r>
      <w:proofErr w:type="spellEnd"/>
      <w:r w:rsidRPr="0052255E">
        <w:rPr>
          <w:i/>
          <w:iCs/>
          <w:sz w:val="16"/>
          <w:szCs w:val="16"/>
        </w:rPr>
        <w:t xml:space="preserve"> </w:t>
      </w:r>
      <w:proofErr w:type="spellStart"/>
      <w:r w:rsidRPr="0052255E">
        <w:rPr>
          <w:i/>
          <w:iCs/>
          <w:sz w:val="16"/>
          <w:szCs w:val="16"/>
        </w:rPr>
        <w:t>approach</w:t>
      </w:r>
      <w:proofErr w:type="spellEnd"/>
      <w:r w:rsidRPr="0052255E">
        <w:rPr>
          <w:i/>
          <w:iCs/>
          <w:sz w:val="16"/>
          <w:szCs w:val="16"/>
        </w:rPr>
        <w:t xml:space="preserve"> to </w:t>
      </w:r>
      <w:proofErr w:type="spellStart"/>
      <w:r w:rsidRPr="0052255E">
        <w:rPr>
          <w:i/>
          <w:iCs/>
          <w:sz w:val="16"/>
          <w:szCs w:val="16"/>
        </w:rPr>
        <w:t>mental</w:t>
      </w:r>
      <w:proofErr w:type="spellEnd"/>
      <w:r w:rsidRPr="0052255E">
        <w:rPr>
          <w:i/>
          <w:iCs/>
          <w:sz w:val="16"/>
          <w:szCs w:val="16"/>
        </w:rPr>
        <w:t xml:space="preserve"> </w:t>
      </w:r>
      <w:proofErr w:type="spellStart"/>
      <w:r w:rsidRPr="0052255E">
        <w:rPr>
          <w:i/>
          <w:iCs/>
          <w:sz w:val="16"/>
          <w:szCs w:val="16"/>
        </w:rPr>
        <w:t>health</w:t>
      </w:r>
      <w:proofErr w:type="spellEnd"/>
      <w:r w:rsidRPr="0052255E">
        <w:rPr>
          <w:i/>
          <w:iCs/>
          <w:sz w:val="16"/>
          <w:szCs w:val="16"/>
        </w:rPr>
        <w:t xml:space="preserve">, UK &amp; </w:t>
      </w:r>
      <w:proofErr w:type="spellStart"/>
      <w:r w:rsidRPr="0052255E">
        <w:rPr>
          <w:i/>
          <w:iCs/>
          <w:sz w:val="16"/>
          <w:szCs w:val="16"/>
        </w:rPr>
        <w:t>Ireland</w:t>
      </w:r>
      <w:proofErr w:type="spellEnd"/>
      <w:r w:rsidRPr="0052255E">
        <w:rPr>
          <w:i/>
          <w:iCs/>
          <w:sz w:val="16"/>
          <w:szCs w:val="16"/>
        </w:rPr>
        <w:t xml:space="preserve"> National </w:t>
      </w:r>
      <w:proofErr w:type="spellStart"/>
      <w:r w:rsidRPr="0052255E">
        <w:rPr>
          <w:i/>
          <w:iCs/>
          <w:sz w:val="16"/>
          <w:szCs w:val="16"/>
        </w:rPr>
        <w:t>Union</w:t>
      </w:r>
      <w:proofErr w:type="spellEnd"/>
      <w:r w:rsidRPr="0052255E">
        <w:rPr>
          <w:i/>
          <w:iCs/>
          <w:sz w:val="16"/>
          <w:szCs w:val="16"/>
        </w:rPr>
        <w:t xml:space="preserve"> </w:t>
      </w:r>
      <w:proofErr w:type="spellStart"/>
      <w:r w:rsidRPr="0052255E">
        <w:rPr>
          <w:i/>
          <w:iCs/>
          <w:sz w:val="16"/>
          <w:szCs w:val="16"/>
        </w:rPr>
        <w:t>of</w:t>
      </w:r>
      <w:proofErr w:type="spellEnd"/>
      <w:r w:rsidRPr="0052255E">
        <w:rPr>
          <w:i/>
          <w:iCs/>
          <w:sz w:val="16"/>
          <w:szCs w:val="16"/>
        </w:rPr>
        <w:t xml:space="preserve"> </w:t>
      </w:r>
      <w:proofErr w:type="spellStart"/>
      <w:r w:rsidRPr="0052255E">
        <w:rPr>
          <w:i/>
          <w:iCs/>
          <w:sz w:val="16"/>
          <w:szCs w:val="16"/>
        </w:rPr>
        <w:t>Journalists</w:t>
      </w:r>
      <w:proofErr w:type="spellEnd"/>
      <w:r w:rsidRPr="0052255E">
        <w:rPr>
          <w:i/>
          <w:iCs/>
          <w:sz w:val="16"/>
          <w:szCs w:val="16"/>
        </w:rPr>
        <w:t xml:space="preserve"> (NUJ)</w:t>
      </w:r>
      <w:r w:rsidRPr="0052255E">
        <w:rPr>
          <w:sz w:val="16"/>
          <w:szCs w:val="16"/>
        </w:rPr>
        <w:t>, 2023</w:t>
      </w:r>
      <w:r>
        <w:t>.</w:t>
      </w:r>
    </w:p>
  </w:footnote>
  <w:footnote w:id="26">
    <w:p w14:paraId="43025DA8" w14:textId="707C5010"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22" w:anchor="_edn23">
        <w:r>
          <w:rPr>
            <w:color w:val="0000FF"/>
            <w:sz w:val="16"/>
            <w:u w:val="single"/>
          </w:rPr>
          <w:t>https://oshwiki.osha.europa.eu/en/themes/journalism-and-psychosocial-risk-factors#_edn23</w:t>
        </w:r>
      </w:hyperlink>
      <w:r>
        <w:rPr>
          <w:sz w:val="16"/>
        </w:rPr>
        <w:t>.</w:t>
      </w:r>
    </w:p>
  </w:footnote>
  <w:footnote w:id="27">
    <w:p w14:paraId="41D07150" w14:textId="0E428844" w:rsidR="004A1C00" w:rsidRDefault="004A1C00" w:rsidP="00FC5B57">
      <w:pPr>
        <w:keepLines/>
        <w:spacing w:after="60" w:line="240" w:lineRule="auto"/>
        <w:ind w:left="567" w:hanging="567"/>
        <w:rPr>
          <w:sz w:val="16"/>
          <w:szCs w:val="16"/>
        </w:rPr>
      </w:pPr>
      <w:r>
        <w:rPr>
          <w:rStyle w:val="FootnoteReference"/>
        </w:rPr>
        <w:footnoteRef/>
      </w:r>
      <w:r>
        <w:rPr>
          <w:sz w:val="20"/>
        </w:rPr>
        <w:tab/>
      </w:r>
      <w:hyperlink r:id="rId23">
        <w:r>
          <w:rPr>
            <w:color w:val="0000FF"/>
            <w:sz w:val="16"/>
            <w:u w:val="single"/>
          </w:rPr>
          <w:t>https://www.etui.org/topics/health-safety-working-conditions/hesamag/journalism-an-increasingly-precarious-profession/burnout-among-journalists-a-symptom-of-discontent-in-newsrooms</w:t>
        </w:r>
      </w:hyperlink>
      <w:r>
        <w:rPr>
          <w:sz w:val="16"/>
        </w:rPr>
        <w:t>.</w:t>
      </w:r>
    </w:p>
  </w:footnote>
  <w:footnote w:id="28">
    <w:p w14:paraId="7497D98F" w14:textId="3089D8CB" w:rsidR="004A1C00" w:rsidRDefault="004A1C00" w:rsidP="00FC5B57">
      <w:pPr>
        <w:keepLines/>
        <w:spacing w:after="60" w:line="240" w:lineRule="auto"/>
        <w:ind w:left="567" w:hanging="567"/>
        <w:rPr>
          <w:sz w:val="16"/>
          <w:szCs w:val="16"/>
        </w:rPr>
      </w:pPr>
      <w:r>
        <w:rPr>
          <w:rStyle w:val="FootnoteReference"/>
        </w:rPr>
        <w:footnoteRef/>
      </w:r>
      <w:r>
        <w:rPr>
          <w:sz w:val="20"/>
        </w:rPr>
        <w:tab/>
      </w:r>
      <w:hyperlink r:id="rId24">
        <w:r>
          <w:rPr>
            <w:color w:val="0000FF"/>
            <w:sz w:val="16"/>
            <w:u w:val="single"/>
          </w:rPr>
          <w:t>https://taktak.media/2025/03/27/new-survey-of-europes-journalists-finds-more-than-60-are-forced-to-work-other-jobs/</w:t>
        </w:r>
      </w:hyperlink>
      <w:r>
        <w:rPr>
          <w:sz w:val="16"/>
        </w:rPr>
        <w:t>.</w:t>
      </w:r>
    </w:p>
  </w:footnote>
  <w:footnote w:id="29">
    <w:p w14:paraId="1694DAA5" w14:textId="365F0191" w:rsidR="000045C2" w:rsidRPr="000045C2" w:rsidRDefault="000045C2" w:rsidP="00FC5B57">
      <w:pPr>
        <w:pStyle w:val="FootnoteText"/>
      </w:pPr>
      <w:r>
        <w:rPr>
          <w:rStyle w:val="FootnoteReference"/>
        </w:rPr>
        <w:footnoteRef/>
      </w:r>
      <w:r>
        <w:tab/>
      </w:r>
      <w:hyperlink r:id="rId25" w:history="1">
        <w:r>
          <w:rPr>
            <w:rStyle w:val="Hyperlink"/>
          </w:rPr>
          <w:t>https://europeanjournalists.org/wp-content/uploads/2025/10/SUJ_Stronger-Minds-Stronger-Media_10.2025-1_compressed-1.pdf</w:t>
        </w:r>
      </w:hyperlink>
      <w:r>
        <w:t>.</w:t>
      </w:r>
    </w:p>
  </w:footnote>
  <w:footnote w:id="30">
    <w:p w14:paraId="2936FF3C" w14:textId="6B9BE951" w:rsidR="00D120B8" w:rsidRPr="009C61FF" w:rsidRDefault="00D120B8" w:rsidP="00FC5B57">
      <w:pPr>
        <w:pStyle w:val="FootnoteText"/>
      </w:pPr>
      <w:r>
        <w:rPr>
          <w:rStyle w:val="FootnoteReference"/>
        </w:rPr>
        <w:footnoteRef/>
      </w:r>
      <w:r>
        <w:t xml:space="preserve"> </w:t>
      </w:r>
      <w:r>
        <w:tab/>
      </w:r>
      <w:hyperlink r:id="rId26">
        <w:proofErr w:type="spellStart"/>
        <w:r>
          <w:rPr>
            <w:i/>
            <w:iCs/>
            <w:color w:val="0000FF"/>
            <w:u w:val="single"/>
          </w:rPr>
          <w:t>Labouring</w:t>
        </w:r>
        <w:proofErr w:type="spellEnd"/>
        <w:r>
          <w:rPr>
            <w:i/>
            <w:iCs/>
            <w:color w:val="0000FF"/>
            <w:u w:val="single"/>
          </w:rPr>
          <w:t xml:space="preserve"> </w:t>
        </w:r>
        <w:proofErr w:type="spellStart"/>
        <w:r>
          <w:rPr>
            <w:i/>
            <w:iCs/>
            <w:color w:val="0000FF"/>
            <w:u w:val="single"/>
          </w:rPr>
          <w:t>the</w:t>
        </w:r>
        <w:proofErr w:type="spellEnd"/>
        <w:r>
          <w:rPr>
            <w:i/>
            <w:iCs/>
            <w:color w:val="0000FF"/>
            <w:u w:val="single"/>
          </w:rPr>
          <w:t xml:space="preserve"> news: </w:t>
        </w:r>
        <w:proofErr w:type="spellStart"/>
        <w:r>
          <w:rPr>
            <w:i/>
            <w:iCs/>
            <w:color w:val="0000FF"/>
            <w:u w:val="single"/>
          </w:rPr>
          <w:t>Management</w:t>
        </w:r>
        <w:proofErr w:type="spellEnd"/>
        <w:r>
          <w:rPr>
            <w:i/>
            <w:iCs/>
            <w:color w:val="0000FF"/>
            <w:u w:val="single"/>
          </w:rPr>
          <w:t xml:space="preserve"> </w:t>
        </w:r>
        <w:proofErr w:type="spellStart"/>
        <w:r>
          <w:rPr>
            <w:i/>
            <w:iCs/>
            <w:color w:val="0000FF"/>
            <w:u w:val="single"/>
          </w:rPr>
          <w:t>control</w:t>
        </w:r>
        <w:proofErr w:type="spellEnd"/>
        <w:r>
          <w:rPr>
            <w:i/>
            <w:iCs/>
            <w:color w:val="0000FF"/>
            <w:u w:val="single"/>
          </w:rPr>
          <w:t xml:space="preserve"> </w:t>
        </w:r>
        <w:proofErr w:type="spellStart"/>
        <w:r>
          <w:rPr>
            <w:i/>
            <w:iCs/>
            <w:color w:val="0000FF"/>
            <w:u w:val="single"/>
          </w:rPr>
          <w:t>strategies</w:t>
        </w:r>
        <w:proofErr w:type="spellEnd"/>
        <w:r>
          <w:rPr>
            <w:i/>
            <w:iCs/>
            <w:color w:val="0000FF"/>
            <w:u w:val="single"/>
          </w:rPr>
          <w:t xml:space="preserve"> </w:t>
        </w:r>
        <w:proofErr w:type="spellStart"/>
        <w:r>
          <w:rPr>
            <w:i/>
            <w:iCs/>
            <w:color w:val="0000FF"/>
            <w:u w:val="single"/>
          </w:rPr>
          <w:t>and</w:t>
        </w:r>
        <w:proofErr w:type="spellEnd"/>
        <w:r>
          <w:rPr>
            <w:i/>
            <w:iCs/>
            <w:color w:val="0000FF"/>
            <w:u w:val="single"/>
          </w:rPr>
          <w:t xml:space="preserve"> </w:t>
        </w:r>
        <w:proofErr w:type="spellStart"/>
        <w:r>
          <w:rPr>
            <w:i/>
            <w:iCs/>
            <w:color w:val="0000FF"/>
            <w:u w:val="single"/>
          </w:rPr>
          <w:t>work</w:t>
        </w:r>
        <w:proofErr w:type="spellEnd"/>
        <w:r>
          <w:rPr>
            <w:i/>
            <w:iCs/>
            <w:color w:val="0000FF"/>
            <w:u w:val="single"/>
          </w:rPr>
          <w:t xml:space="preserve"> </w:t>
        </w:r>
        <w:proofErr w:type="spellStart"/>
        <w:r>
          <w:rPr>
            <w:i/>
            <w:iCs/>
            <w:color w:val="0000FF"/>
            <w:u w:val="single"/>
          </w:rPr>
          <w:t>intensification</w:t>
        </w:r>
        <w:proofErr w:type="spellEnd"/>
        <w:r>
          <w:rPr>
            <w:i/>
            <w:iCs/>
            <w:color w:val="0000FF"/>
            <w:u w:val="single"/>
          </w:rPr>
          <w:t xml:space="preserve"> </w:t>
        </w:r>
        <w:proofErr w:type="spellStart"/>
        <w:r>
          <w:rPr>
            <w:i/>
            <w:iCs/>
            <w:color w:val="0000FF"/>
            <w:u w:val="single"/>
          </w:rPr>
          <w:t>in</w:t>
        </w:r>
        <w:proofErr w:type="spellEnd"/>
        <w:r>
          <w:rPr>
            <w:i/>
            <w:iCs/>
            <w:color w:val="0000FF"/>
            <w:u w:val="single"/>
          </w:rPr>
          <w:t xml:space="preserve"> </w:t>
        </w:r>
        <w:proofErr w:type="spellStart"/>
        <w:r>
          <w:rPr>
            <w:i/>
            <w:iCs/>
            <w:color w:val="0000FF"/>
            <w:u w:val="single"/>
          </w:rPr>
          <w:t>the</w:t>
        </w:r>
        <w:proofErr w:type="spellEnd"/>
        <w:r>
          <w:rPr>
            <w:i/>
            <w:iCs/>
            <w:color w:val="0000FF"/>
            <w:u w:val="single"/>
          </w:rPr>
          <w:t xml:space="preserve"> </w:t>
        </w:r>
        <w:proofErr w:type="spellStart"/>
        <w:r>
          <w:rPr>
            <w:i/>
            <w:iCs/>
            <w:color w:val="0000FF"/>
            <w:u w:val="single"/>
          </w:rPr>
          <w:t>digital</w:t>
        </w:r>
        <w:proofErr w:type="spellEnd"/>
        <w:r>
          <w:rPr>
            <w:i/>
            <w:iCs/>
            <w:color w:val="0000FF"/>
            <w:u w:val="single"/>
          </w:rPr>
          <w:t xml:space="preserve"> </w:t>
        </w:r>
        <w:proofErr w:type="spellStart"/>
        <w:r>
          <w:rPr>
            <w:i/>
            <w:iCs/>
            <w:color w:val="0000FF"/>
            <w:u w:val="single"/>
          </w:rPr>
          <w:t>newsroom</w:t>
        </w:r>
        <w:proofErr w:type="spellEnd"/>
      </w:hyperlink>
      <w:r>
        <w:t>, 2023.</w:t>
      </w:r>
    </w:p>
  </w:footnote>
  <w:footnote w:id="31">
    <w:p w14:paraId="5C69240B" w14:textId="59F08377" w:rsidR="00BE5CDA" w:rsidRPr="009C61FF" w:rsidRDefault="00215C69" w:rsidP="00FC5B57">
      <w:pPr>
        <w:keepLines/>
        <w:spacing w:after="60" w:line="240" w:lineRule="auto"/>
        <w:ind w:left="567" w:hanging="567"/>
        <w:rPr>
          <w:color w:val="1155CC"/>
          <w:sz w:val="16"/>
          <w:szCs w:val="16"/>
          <w:u w:val="single"/>
        </w:rPr>
      </w:pPr>
      <w:r>
        <w:rPr>
          <w:rStyle w:val="FootnoteReference"/>
        </w:rPr>
        <w:footnoteRef/>
      </w:r>
      <w:r>
        <w:rPr>
          <w:sz w:val="16"/>
        </w:rPr>
        <w:tab/>
      </w:r>
      <w:r>
        <w:rPr>
          <w:i/>
          <w:iCs/>
          <w:color w:val="0033FF"/>
          <w:sz w:val="16"/>
          <w:u w:val="single"/>
        </w:rPr>
        <w:t>‘</w:t>
      </w:r>
      <w:proofErr w:type="spellStart"/>
      <w:r>
        <w:rPr>
          <w:i/>
          <w:iCs/>
          <w:color w:val="0000FF"/>
          <w:sz w:val="16"/>
          <w:u w:val="single"/>
        </w:rPr>
        <w:t>We</w:t>
      </w:r>
      <w:proofErr w:type="spellEnd"/>
      <w:r>
        <w:rPr>
          <w:i/>
          <w:iCs/>
          <w:color w:val="0000FF"/>
          <w:sz w:val="16"/>
          <w:u w:val="single"/>
        </w:rPr>
        <w:t xml:space="preserve"> </w:t>
      </w:r>
      <w:proofErr w:type="spellStart"/>
      <w:r>
        <w:rPr>
          <w:i/>
          <w:iCs/>
          <w:color w:val="0000FF"/>
          <w:sz w:val="16"/>
          <w:u w:val="single"/>
        </w:rPr>
        <w:t>need</w:t>
      </w:r>
      <w:proofErr w:type="spellEnd"/>
      <w:r>
        <w:rPr>
          <w:i/>
          <w:iCs/>
          <w:color w:val="0000FF"/>
          <w:sz w:val="16"/>
          <w:u w:val="single"/>
        </w:rPr>
        <w:t xml:space="preserve"> to set </w:t>
      </w:r>
      <w:proofErr w:type="spellStart"/>
      <w:r>
        <w:rPr>
          <w:i/>
          <w:iCs/>
          <w:color w:val="0000FF"/>
          <w:sz w:val="16"/>
          <w:u w:val="single"/>
        </w:rPr>
        <w:t>the</w:t>
      </w:r>
      <w:proofErr w:type="spellEnd"/>
      <w:r>
        <w:rPr>
          <w:i/>
          <w:iCs/>
          <w:color w:val="0000FF"/>
          <w:sz w:val="16"/>
          <w:u w:val="single"/>
        </w:rPr>
        <w:t xml:space="preserve"> terms </w:t>
      </w:r>
      <w:proofErr w:type="spellStart"/>
      <w:r>
        <w:rPr>
          <w:i/>
          <w:iCs/>
          <w:color w:val="0000FF"/>
          <w:sz w:val="16"/>
          <w:u w:val="single"/>
        </w:rPr>
        <w:t>or</w:t>
      </w:r>
      <w:proofErr w:type="spellEnd"/>
      <w:r>
        <w:rPr>
          <w:i/>
          <w:iCs/>
          <w:color w:val="0000FF"/>
          <w:sz w:val="16"/>
          <w:u w:val="single"/>
        </w:rPr>
        <w:t xml:space="preserve"> </w:t>
      </w:r>
      <w:proofErr w:type="spellStart"/>
      <w:r>
        <w:rPr>
          <w:i/>
          <w:iCs/>
          <w:color w:val="0000FF"/>
          <w:sz w:val="16"/>
          <w:u w:val="single"/>
        </w:rPr>
        <w:t>we’re</w:t>
      </w:r>
      <w:proofErr w:type="spellEnd"/>
      <w:r>
        <w:rPr>
          <w:i/>
          <w:iCs/>
          <w:color w:val="0000FF"/>
          <w:sz w:val="16"/>
          <w:u w:val="single"/>
        </w:rPr>
        <w:t xml:space="preserve"> </w:t>
      </w:r>
      <w:proofErr w:type="spellStart"/>
      <w:r>
        <w:rPr>
          <w:i/>
          <w:iCs/>
          <w:color w:val="0000FF"/>
          <w:sz w:val="16"/>
          <w:u w:val="single"/>
        </w:rPr>
        <w:t>all</w:t>
      </w:r>
      <w:proofErr w:type="spellEnd"/>
      <w:r>
        <w:rPr>
          <w:i/>
          <w:iCs/>
          <w:color w:val="0000FF"/>
          <w:sz w:val="16"/>
          <w:u w:val="single"/>
        </w:rPr>
        <w:t xml:space="preserve"> </w:t>
      </w:r>
      <w:proofErr w:type="spellStart"/>
      <w:r>
        <w:rPr>
          <w:i/>
          <w:iCs/>
          <w:color w:val="0000FF"/>
          <w:sz w:val="16"/>
          <w:u w:val="single"/>
        </w:rPr>
        <w:t>screwed</w:t>
      </w:r>
      <w:proofErr w:type="spellEnd"/>
      <w:r>
        <w:rPr>
          <w:i/>
          <w:iCs/>
          <w:color w:val="0000FF"/>
          <w:sz w:val="16"/>
          <w:u w:val="single"/>
        </w:rPr>
        <w:t xml:space="preserve">’: </w:t>
      </w:r>
      <w:proofErr w:type="spellStart"/>
      <w:r>
        <w:rPr>
          <w:i/>
          <w:iCs/>
          <w:color w:val="0000FF"/>
          <w:sz w:val="16"/>
          <w:u w:val="single"/>
        </w:rPr>
        <w:t>how</w:t>
      </w:r>
      <w:proofErr w:type="spellEnd"/>
      <w:r>
        <w:rPr>
          <w:i/>
          <w:iCs/>
          <w:color w:val="0000FF"/>
          <w:sz w:val="16"/>
          <w:u w:val="single"/>
        </w:rPr>
        <w:t xml:space="preserve"> </w:t>
      </w:r>
      <w:proofErr w:type="spellStart"/>
      <w:r>
        <w:rPr>
          <w:i/>
          <w:iCs/>
          <w:color w:val="0000FF"/>
          <w:sz w:val="16"/>
          <w:u w:val="single"/>
        </w:rPr>
        <w:t>newsrooms</w:t>
      </w:r>
      <w:proofErr w:type="spellEnd"/>
      <w:r>
        <w:rPr>
          <w:i/>
          <w:iCs/>
          <w:color w:val="0000FF"/>
          <w:sz w:val="16"/>
          <w:u w:val="single"/>
        </w:rPr>
        <w:t xml:space="preserve"> </w:t>
      </w:r>
      <w:proofErr w:type="spellStart"/>
      <w:r>
        <w:rPr>
          <w:i/>
          <w:iCs/>
          <w:color w:val="0000FF"/>
          <w:sz w:val="16"/>
          <w:u w:val="single"/>
        </w:rPr>
        <w:t>are</w:t>
      </w:r>
      <w:proofErr w:type="spellEnd"/>
      <w:r>
        <w:rPr>
          <w:i/>
          <w:iCs/>
          <w:color w:val="0000FF"/>
          <w:sz w:val="16"/>
          <w:u w:val="single"/>
        </w:rPr>
        <w:t xml:space="preserve"> </w:t>
      </w:r>
      <w:proofErr w:type="spellStart"/>
      <w:r>
        <w:rPr>
          <w:i/>
          <w:iCs/>
          <w:color w:val="0000FF"/>
          <w:sz w:val="16"/>
          <w:u w:val="single"/>
        </w:rPr>
        <w:t>tackling</w:t>
      </w:r>
      <w:proofErr w:type="spellEnd"/>
      <w:r>
        <w:rPr>
          <w:i/>
          <w:iCs/>
          <w:color w:val="0000FF"/>
          <w:sz w:val="16"/>
          <w:u w:val="single"/>
        </w:rPr>
        <w:t xml:space="preserve"> </w:t>
      </w:r>
      <w:proofErr w:type="spellStart"/>
      <w:r>
        <w:rPr>
          <w:i/>
          <w:iCs/>
          <w:color w:val="0000FF"/>
          <w:sz w:val="16"/>
          <w:u w:val="single"/>
        </w:rPr>
        <w:t>AI’s</w:t>
      </w:r>
      <w:proofErr w:type="spellEnd"/>
      <w:r>
        <w:rPr>
          <w:i/>
          <w:iCs/>
          <w:color w:val="0000FF"/>
          <w:sz w:val="16"/>
          <w:u w:val="single"/>
        </w:rPr>
        <w:t xml:space="preserve"> </w:t>
      </w:r>
      <w:proofErr w:type="spellStart"/>
      <w:r>
        <w:rPr>
          <w:i/>
          <w:iCs/>
          <w:color w:val="0000FF"/>
          <w:sz w:val="16"/>
          <w:u w:val="single"/>
        </w:rPr>
        <w:t>uncertainties</w:t>
      </w:r>
      <w:proofErr w:type="spellEnd"/>
      <w:r>
        <w:rPr>
          <w:i/>
          <w:iCs/>
          <w:color w:val="0000FF"/>
          <w:sz w:val="16"/>
          <w:u w:val="single"/>
        </w:rPr>
        <w:t xml:space="preserve"> </w:t>
      </w:r>
      <w:proofErr w:type="spellStart"/>
      <w:r>
        <w:rPr>
          <w:i/>
          <w:iCs/>
          <w:color w:val="0000FF"/>
          <w:sz w:val="16"/>
          <w:u w:val="single"/>
        </w:rPr>
        <w:t>and</w:t>
      </w:r>
      <w:proofErr w:type="spellEnd"/>
      <w:r>
        <w:rPr>
          <w:i/>
          <w:iCs/>
          <w:color w:val="0000FF"/>
          <w:sz w:val="16"/>
          <w:u w:val="single"/>
        </w:rPr>
        <w:t xml:space="preserve"> </w:t>
      </w:r>
      <w:proofErr w:type="spellStart"/>
      <w:r>
        <w:rPr>
          <w:i/>
          <w:iCs/>
          <w:color w:val="0000FF"/>
          <w:sz w:val="16"/>
          <w:u w:val="single"/>
        </w:rPr>
        <w:t>opportunities</w:t>
      </w:r>
      <w:proofErr w:type="spellEnd"/>
      <w:r>
        <w:rPr>
          <w:i/>
          <w:iCs/>
          <w:color w:val="0000FF"/>
          <w:sz w:val="16"/>
          <w:u w:val="single"/>
        </w:rPr>
        <w:t xml:space="preserve">, </w:t>
      </w:r>
      <w:proofErr w:type="spellStart"/>
      <w:r>
        <w:rPr>
          <w:i/>
          <w:iCs/>
          <w:color w:val="0000FF"/>
          <w:sz w:val="16"/>
          <w:u w:val="single"/>
        </w:rPr>
        <w:t>Michael</w:t>
      </w:r>
      <w:proofErr w:type="spellEnd"/>
      <w:r>
        <w:rPr>
          <w:i/>
          <w:iCs/>
          <w:color w:val="0000FF"/>
          <w:sz w:val="16"/>
          <w:u w:val="single"/>
        </w:rPr>
        <w:t xml:space="preserve"> </w:t>
      </w:r>
      <w:proofErr w:type="spellStart"/>
      <w:r>
        <w:rPr>
          <w:i/>
          <w:iCs/>
          <w:color w:val="0000FF"/>
          <w:sz w:val="16"/>
          <w:u w:val="single"/>
        </w:rPr>
        <w:t>Savage</w:t>
      </w:r>
      <w:proofErr w:type="spellEnd"/>
      <w:r>
        <w:rPr>
          <w:i/>
          <w:iCs/>
          <w:color w:val="0000FF"/>
          <w:sz w:val="16"/>
          <w:u w:val="single"/>
        </w:rPr>
        <w:t xml:space="preserve">, </w:t>
      </w:r>
      <w:proofErr w:type="spellStart"/>
      <w:r>
        <w:rPr>
          <w:i/>
          <w:iCs/>
          <w:color w:val="0000FF"/>
          <w:sz w:val="16"/>
          <w:u w:val="single"/>
        </w:rPr>
        <w:t>The</w:t>
      </w:r>
      <w:proofErr w:type="spellEnd"/>
      <w:r>
        <w:rPr>
          <w:i/>
          <w:iCs/>
          <w:color w:val="0000FF"/>
          <w:sz w:val="16"/>
          <w:u w:val="single"/>
        </w:rPr>
        <w:t xml:space="preserve"> </w:t>
      </w:r>
      <w:proofErr w:type="spellStart"/>
      <w:r>
        <w:rPr>
          <w:i/>
          <w:iCs/>
          <w:color w:val="0000FF"/>
          <w:sz w:val="16"/>
          <w:u w:val="single"/>
        </w:rPr>
        <w:t>Guardian</w:t>
      </w:r>
      <w:proofErr w:type="spellEnd"/>
      <w:r>
        <w:rPr>
          <w:i/>
          <w:iCs/>
          <w:color w:val="0000FF"/>
          <w:sz w:val="16"/>
          <w:u w:val="single"/>
        </w:rPr>
        <w:t>,</w:t>
      </w:r>
      <w:r>
        <w:rPr>
          <w:color w:val="0000FF"/>
          <w:sz w:val="16"/>
          <w:u w:val="single"/>
        </w:rPr>
        <w:t xml:space="preserve"> 2025. gada 22. marts</w:t>
      </w:r>
      <w:r>
        <w:rPr>
          <w:sz w:val="16"/>
        </w:rPr>
        <w:t>.</w:t>
      </w:r>
    </w:p>
  </w:footnote>
  <w:footnote w:id="32">
    <w:p w14:paraId="1C0F1142" w14:textId="7EFFBB98" w:rsidR="007123CB" w:rsidRPr="009C61FF" w:rsidRDefault="007123CB" w:rsidP="00FC5B57">
      <w:pPr>
        <w:pStyle w:val="FootnoteText"/>
      </w:pPr>
      <w:r>
        <w:rPr>
          <w:rStyle w:val="FootnoteReference"/>
        </w:rPr>
        <w:footnoteRef/>
      </w:r>
      <w:r>
        <w:t xml:space="preserve"> </w:t>
      </w:r>
      <w:r>
        <w:tab/>
      </w:r>
      <w:hyperlink r:id="rId27">
        <w:proofErr w:type="spellStart"/>
        <w:r>
          <w:rPr>
            <w:i/>
            <w:iCs/>
            <w:color w:val="0000FF"/>
            <w:u w:val="single"/>
          </w:rPr>
          <w:t>Liberties</w:t>
        </w:r>
        <w:proofErr w:type="spellEnd"/>
        <w:r>
          <w:rPr>
            <w:i/>
            <w:iCs/>
            <w:color w:val="0000FF"/>
            <w:u w:val="single"/>
          </w:rPr>
          <w:t xml:space="preserve"> </w:t>
        </w:r>
        <w:proofErr w:type="spellStart"/>
        <w:r>
          <w:rPr>
            <w:i/>
            <w:iCs/>
            <w:color w:val="0000FF"/>
            <w:u w:val="single"/>
          </w:rPr>
          <w:t>Media</w:t>
        </w:r>
        <w:proofErr w:type="spellEnd"/>
        <w:r>
          <w:rPr>
            <w:i/>
            <w:iCs/>
            <w:color w:val="0000FF"/>
            <w:u w:val="single"/>
          </w:rPr>
          <w:t xml:space="preserve"> </w:t>
        </w:r>
        <w:proofErr w:type="spellStart"/>
        <w:r>
          <w:rPr>
            <w:i/>
            <w:iCs/>
            <w:color w:val="0000FF"/>
            <w:u w:val="single"/>
          </w:rPr>
          <w:t>Freedom</w:t>
        </w:r>
        <w:proofErr w:type="spellEnd"/>
        <w:r>
          <w:rPr>
            <w:i/>
            <w:iCs/>
            <w:color w:val="0000FF"/>
            <w:u w:val="single"/>
          </w:rPr>
          <w:t xml:space="preserve"> </w:t>
        </w:r>
        <w:proofErr w:type="spellStart"/>
        <w:r>
          <w:rPr>
            <w:i/>
            <w:iCs/>
            <w:color w:val="0000FF"/>
            <w:u w:val="single"/>
          </w:rPr>
          <w:t>Report</w:t>
        </w:r>
        <w:proofErr w:type="spellEnd"/>
        <w:r>
          <w:rPr>
            <w:color w:val="0000FF"/>
            <w:u w:val="single"/>
          </w:rPr>
          <w:t xml:space="preserve"> 2025</w:t>
        </w:r>
      </w:hyperlink>
      <w:r>
        <w:rPr>
          <w:color w:val="0000FF"/>
          <w:u w:val="single"/>
        </w:rPr>
        <w:t>,</w:t>
      </w:r>
      <w:r>
        <w:rPr>
          <w:color w:val="0033FF"/>
        </w:rPr>
        <w:t xml:space="preserve"> </w:t>
      </w:r>
      <w:r>
        <w:t>, 13. lpp.</w:t>
      </w:r>
    </w:p>
  </w:footnote>
  <w:footnote w:id="33">
    <w:p w14:paraId="729389BB" w14:textId="19D1F16A" w:rsidR="007123CB" w:rsidRPr="009C61FF" w:rsidRDefault="007123CB" w:rsidP="00FC5B57">
      <w:pPr>
        <w:pStyle w:val="FootnoteText"/>
      </w:pPr>
      <w:r>
        <w:rPr>
          <w:rStyle w:val="FootnoteReference"/>
        </w:rPr>
        <w:footnoteRef/>
      </w:r>
      <w:r>
        <w:t xml:space="preserve"> </w:t>
      </w:r>
      <w:r>
        <w:tab/>
      </w:r>
      <w:proofErr w:type="spellStart"/>
      <w:r>
        <w:rPr>
          <w:i/>
          <w:iCs/>
        </w:rPr>
        <w:t>The</w:t>
      </w:r>
      <w:proofErr w:type="spellEnd"/>
      <w:r>
        <w:rPr>
          <w:i/>
          <w:iCs/>
        </w:rPr>
        <w:t xml:space="preserve"> </w:t>
      </w:r>
      <w:proofErr w:type="spellStart"/>
      <w:r>
        <w:rPr>
          <w:i/>
          <w:iCs/>
        </w:rPr>
        <w:t>Impact</w:t>
      </w:r>
      <w:proofErr w:type="spellEnd"/>
      <w:r>
        <w:rPr>
          <w:i/>
          <w:iCs/>
        </w:rPr>
        <w:t xml:space="preserve"> </w:t>
      </w:r>
      <w:proofErr w:type="spellStart"/>
      <w:r>
        <w:rPr>
          <w:i/>
          <w:iCs/>
        </w:rPr>
        <w:t>of</w:t>
      </w:r>
      <w:proofErr w:type="spellEnd"/>
      <w:r>
        <w:rPr>
          <w:i/>
          <w:iCs/>
        </w:rPr>
        <w:t xml:space="preserve"> </w:t>
      </w:r>
      <w:proofErr w:type="spellStart"/>
      <w:r>
        <w:rPr>
          <w:i/>
          <w:iCs/>
        </w:rPr>
        <w:t>Changing</w:t>
      </w:r>
      <w:proofErr w:type="spellEnd"/>
      <w:r>
        <w:rPr>
          <w:i/>
          <w:iCs/>
        </w:rPr>
        <w:t xml:space="preserve"> </w:t>
      </w:r>
      <w:proofErr w:type="spellStart"/>
      <w:r>
        <w:rPr>
          <w:i/>
          <w:iCs/>
        </w:rPr>
        <w:t>Work</w:t>
      </w:r>
      <w:proofErr w:type="spellEnd"/>
      <w:r>
        <w:rPr>
          <w:i/>
          <w:iCs/>
        </w:rPr>
        <w:t xml:space="preserve"> </w:t>
      </w:r>
      <w:proofErr w:type="spellStart"/>
      <w:r>
        <w:rPr>
          <w:i/>
          <w:iCs/>
        </w:rPr>
        <w:t>Practices</w:t>
      </w:r>
      <w:proofErr w:type="spellEnd"/>
      <w:r>
        <w:rPr>
          <w:i/>
          <w:iCs/>
        </w:rPr>
        <w:t xml:space="preserve"> </w:t>
      </w:r>
      <w:proofErr w:type="spellStart"/>
      <w:r>
        <w:rPr>
          <w:i/>
          <w:iCs/>
        </w:rPr>
        <w:t>in</w:t>
      </w:r>
      <w:proofErr w:type="spellEnd"/>
      <w:r>
        <w:rPr>
          <w:i/>
          <w:iCs/>
        </w:rPr>
        <w:t xml:space="preserve"> </w:t>
      </w:r>
      <w:proofErr w:type="spellStart"/>
      <w:r>
        <w:rPr>
          <w:i/>
          <w:iCs/>
        </w:rPr>
        <w:t>Journalism</w:t>
      </w:r>
      <w:proofErr w:type="spellEnd"/>
      <w:r>
        <w:rPr>
          <w:i/>
          <w:iCs/>
        </w:rPr>
        <w:t xml:space="preserve"> </w:t>
      </w:r>
      <w:proofErr w:type="spellStart"/>
      <w:r>
        <w:rPr>
          <w:i/>
          <w:iCs/>
        </w:rPr>
        <w:t>in</w:t>
      </w:r>
      <w:proofErr w:type="spellEnd"/>
      <w:r>
        <w:rPr>
          <w:i/>
          <w:iCs/>
        </w:rPr>
        <w:t xml:space="preserve"> </w:t>
      </w:r>
      <w:proofErr w:type="spellStart"/>
      <w:r>
        <w:rPr>
          <w:i/>
          <w:iCs/>
        </w:rPr>
        <w:t>Ireland</w:t>
      </w:r>
      <w:proofErr w:type="spellEnd"/>
      <w:r>
        <w:t xml:space="preserve">, </w:t>
      </w:r>
      <w:proofErr w:type="spellStart"/>
      <w:r>
        <w:t>Emer</w:t>
      </w:r>
      <w:proofErr w:type="spellEnd"/>
      <w:r>
        <w:t xml:space="preserve"> </w:t>
      </w:r>
      <w:proofErr w:type="spellStart"/>
      <w:r>
        <w:t>Connolly</w:t>
      </w:r>
      <w:proofErr w:type="spellEnd"/>
      <w:r>
        <w:t>, 2024.</w:t>
      </w:r>
    </w:p>
  </w:footnote>
  <w:footnote w:id="34">
    <w:p w14:paraId="1DF9212F" w14:textId="700D4314" w:rsidR="007123CB" w:rsidRPr="009C61FF" w:rsidRDefault="007123CB" w:rsidP="00FC5B57">
      <w:pPr>
        <w:pStyle w:val="FootnoteText"/>
      </w:pPr>
      <w:r>
        <w:rPr>
          <w:rStyle w:val="FootnoteReference"/>
        </w:rPr>
        <w:footnoteRef/>
      </w:r>
      <w:r>
        <w:rPr>
          <w:rStyle w:val="FootnoteReference"/>
        </w:rPr>
        <w:t xml:space="preserve"> </w:t>
      </w:r>
      <w:r>
        <w:rPr>
          <w:color w:val="0033FF"/>
        </w:rPr>
        <w:tab/>
      </w:r>
      <w:hyperlink r:id="rId28">
        <w:r>
          <w:rPr>
            <w:color w:val="0000FF"/>
            <w:u w:val="single"/>
          </w:rPr>
          <w:t>https://taktak.media/2025/03/27/new-survey-of-europes-journalists-finds-more-than-60-are-forced-to-work-other-jobs</w:t>
        </w:r>
        <w:r>
          <w:rPr>
            <w:color w:val="0033FF"/>
            <w:u w:val="single"/>
          </w:rPr>
          <w:t>/</w:t>
        </w:r>
      </w:hyperlink>
      <w:r>
        <w:t>.</w:t>
      </w:r>
    </w:p>
  </w:footnote>
  <w:footnote w:id="35">
    <w:p w14:paraId="5A411F3D" w14:textId="65ECCBF9" w:rsidR="000C7776" w:rsidRPr="009C61FF" w:rsidRDefault="000C7776" w:rsidP="00FC5B57">
      <w:pPr>
        <w:pStyle w:val="FootnoteText"/>
      </w:pPr>
      <w:r>
        <w:rPr>
          <w:rStyle w:val="FootnoteReference"/>
        </w:rPr>
        <w:footnoteRef/>
      </w:r>
      <w:r>
        <w:t xml:space="preserve"> </w:t>
      </w:r>
      <w:r>
        <w:tab/>
      </w:r>
      <w:hyperlink r:id="rId29">
        <w:proofErr w:type="spellStart"/>
        <w:r>
          <w:rPr>
            <w:color w:val="0000FF"/>
            <w:u w:val="single"/>
          </w:rPr>
          <w:t>The</w:t>
        </w:r>
        <w:proofErr w:type="spellEnd"/>
        <w:r>
          <w:rPr>
            <w:color w:val="0000FF"/>
            <w:u w:val="single"/>
          </w:rPr>
          <w:t xml:space="preserve"> </w:t>
        </w:r>
        <w:proofErr w:type="spellStart"/>
        <w:r>
          <w:rPr>
            <w:color w:val="0000FF"/>
            <w:u w:val="single"/>
          </w:rPr>
          <w:t>impact</w:t>
        </w:r>
        <w:proofErr w:type="spellEnd"/>
        <w:r>
          <w:rPr>
            <w:color w:val="0000FF"/>
            <w:u w:val="single"/>
          </w:rPr>
          <w:t xml:space="preserve"> </w:t>
        </w:r>
        <w:proofErr w:type="spellStart"/>
        <w:r>
          <w:rPr>
            <w:color w:val="0000FF"/>
            <w:u w:val="single"/>
          </w:rPr>
          <w:t>of</w:t>
        </w:r>
        <w:proofErr w:type="spellEnd"/>
        <w:r>
          <w:rPr>
            <w:color w:val="0000FF"/>
            <w:u w:val="single"/>
          </w:rPr>
          <w:t xml:space="preserve"> stress, </w:t>
        </w:r>
        <w:proofErr w:type="spellStart"/>
        <w:r>
          <w:rPr>
            <w:color w:val="0000FF"/>
            <w:u w:val="single"/>
          </w:rPr>
          <w:t>anxiety</w:t>
        </w:r>
        <w:proofErr w:type="spellEnd"/>
        <w:r>
          <w:rPr>
            <w:color w:val="0000FF"/>
            <w:u w:val="single"/>
          </w:rPr>
          <w:t xml:space="preserve">, </w:t>
        </w:r>
        <w:proofErr w:type="spellStart"/>
        <w:r>
          <w:rPr>
            <w:color w:val="0000FF"/>
            <w:u w:val="single"/>
          </w:rPr>
          <w:t>and</w:t>
        </w:r>
        <w:proofErr w:type="spellEnd"/>
        <w:r>
          <w:rPr>
            <w:color w:val="0000FF"/>
            <w:u w:val="single"/>
          </w:rPr>
          <w:t xml:space="preserve"> </w:t>
        </w:r>
        <w:proofErr w:type="spellStart"/>
        <w:r>
          <w:rPr>
            <w:color w:val="0000FF"/>
            <w:u w:val="single"/>
          </w:rPr>
          <w:t>burnout</w:t>
        </w:r>
        <w:proofErr w:type="spellEnd"/>
        <w:r>
          <w:rPr>
            <w:color w:val="0000FF"/>
            <w:u w:val="single"/>
          </w:rPr>
          <w:t xml:space="preserve"> </w:t>
        </w:r>
        <w:proofErr w:type="spellStart"/>
        <w:r>
          <w:rPr>
            <w:color w:val="0000FF"/>
            <w:u w:val="single"/>
          </w:rPr>
          <w:t>on</w:t>
        </w:r>
        <w:proofErr w:type="spellEnd"/>
        <w:r>
          <w:rPr>
            <w:color w:val="0000FF"/>
            <w:u w:val="single"/>
          </w:rPr>
          <w:t xml:space="preserve"> </w:t>
        </w:r>
        <w:proofErr w:type="spellStart"/>
        <w:r>
          <w:rPr>
            <w:color w:val="0000FF"/>
            <w:u w:val="single"/>
          </w:rPr>
          <w:t>journalists</w:t>
        </w:r>
        <w:proofErr w:type="spellEnd"/>
        <w:r>
          <w:rPr>
            <w:color w:val="0000FF"/>
            <w:u w:val="single"/>
          </w:rPr>
          <w:t xml:space="preserve">: a </w:t>
        </w:r>
        <w:proofErr w:type="spellStart"/>
        <w:r>
          <w:rPr>
            <w:color w:val="0000FF"/>
            <w:u w:val="single"/>
          </w:rPr>
          <w:t>systematic</w:t>
        </w:r>
        <w:proofErr w:type="spellEnd"/>
        <w:r>
          <w:rPr>
            <w:color w:val="0000FF"/>
            <w:u w:val="single"/>
          </w:rPr>
          <w:t xml:space="preserve"> </w:t>
        </w:r>
        <w:proofErr w:type="spellStart"/>
        <w:r>
          <w:rPr>
            <w:color w:val="0000FF"/>
            <w:u w:val="single"/>
          </w:rPr>
          <w:t>review</w:t>
        </w:r>
        <w:proofErr w:type="spellEnd"/>
      </w:hyperlink>
      <w:r>
        <w:t>, 2025.</w:t>
      </w:r>
    </w:p>
  </w:footnote>
  <w:footnote w:id="36">
    <w:p w14:paraId="2243B535" w14:textId="77777777" w:rsidR="00BE5CDA" w:rsidRPr="002547B1" w:rsidRDefault="00215C69" w:rsidP="00FC5B57">
      <w:pPr>
        <w:keepLines/>
        <w:spacing w:after="60" w:line="240" w:lineRule="auto"/>
        <w:ind w:left="567" w:hanging="567"/>
        <w:rPr>
          <w:sz w:val="16"/>
          <w:szCs w:val="16"/>
        </w:rPr>
      </w:pPr>
      <w:r>
        <w:rPr>
          <w:rStyle w:val="FootnoteReference"/>
        </w:rPr>
        <w:footnoteRef/>
      </w:r>
      <w:r>
        <w:rPr>
          <w:sz w:val="16"/>
        </w:rPr>
        <w:tab/>
      </w:r>
      <w:proofErr w:type="spellStart"/>
      <w:r>
        <w:rPr>
          <w:i/>
          <w:iCs/>
          <w:sz w:val="16"/>
        </w:rPr>
        <w:t>Hier</w:t>
      </w:r>
      <w:proofErr w:type="spellEnd"/>
      <w:r>
        <w:rPr>
          <w:i/>
          <w:iCs/>
          <w:sz w:val="16"/>
        </w:rPr>
        <w:t xml:space="preserve">, </w:t>
      </w:r>
      <w:proofErr w:type="spellStart"/>
      <w:r>
        <w:rPr>
          <w:i/>
          <w:iCs/>
          <w:sz w:val="16"/>
        </w:rPr>
        <w:t>journalistes</w:t>
      </w:r>
      <w:proofErr w:type="spellEnd"/>
      <w:r>
        <w:rPr>
          <w:i/>
          <w:iCs/>
          <w:sz w:val="16"/>
        </w:rPr>
        <w:t xml:space="preserve"> : </w:t>
      </w:r>
      <w:proofErr w:type="spellStart"/>
      <w:r>
        <w:rPr>
          <w:i/>
          <w:iCs/>
          <w:sz w:val="16"/>
        </w:rPr>
        <w:t>ils</w:t>
      </w:r>
      <w:proofErr w:type="spellEnd"/>
      <w:r>
        <w:rPr>
          <w:i/>
          <w:iCs/>
          <w:sz w:val="16"/>
        </w:rPr>
        <w:t xml:space="preserve"> </w:t>
      </w:r>
      <w:proofErr w:type="spellStart"/>
      <w:r>
        <w:rPr>
          <w:i/>
          <w:iCs/>
          <w:sz w:val="16"/>
        </w:rPr>
        <w:t>ont</w:t>
      </w:r>
      <w:proofErr w:type="spellEnd"/>
      <w:r>
        <w:rPr>
          <w:i/>
          <w:iCs/>
          <w:sz w:val="16"/>
        </w:rPr>
        <w:t xml:space="preserve"> </w:t>
      </w:r>
      <w:proofErr w:type="spellStart"/>
      <w:r>
        <w:rPr>
          <w:i/>
          <w:iCs/>
          <w:sz w:val="16"/>
        </w:rPr>
        <w:t>quitté</w:t>
      </w:r>
      <w:proofErr w:type="spellEnd"/>
      <w:r>
        <w:rPr>
          <w:i/>
          <w:iCs/>
          <w:sz w:val="16"/>
        </w:rPr>
        <w:t xml:space="preserve"> </w:t>
      </w:r>
      <w:proofErr w:type="spellStart"/>
      <w:r>
        <w:rPr>
          <w:i/>
          <w:iCs/>
          <w:sz w:val="16"/>
        </w:rPr>
        <w:t>la</w:t>
      </w:r>
      <w:proofErr w:type="spellEnd"/>
      <w:r>
        <w:rPr>
          <w:i/>
          <w:iCs/>
          <w:sz w:val="16"/>
        </w:rPr>
        <w:t xml:space="preserve"> </w:t>
      </w:r>
      <w:proofErr w:type="spellStart"/>
      <w:r>
        <w:rPr>
          <w:i/>
          <w:iCs/>
          <w:sz w:val="16"/>
        </w:rPr>
        <w:t>profession</w:t>
      </w:r>
      <w:proofErr w:type="spellEnd"/>
      <w:r>
        <w:rPr>
          <w:i/>
          <w:iCs/>
          <w:sz w:val="16"/>
        </w:rPr>
        <w:t xml:space="preserve">, </w:t>
      </w:r>
      <w:proofErr w:type="spellStart"/>
      <w:r>
        <w:rPr>
          <w:i/>
          <w:iCs/>
          <w:sz w:val="16"/>
        </w:rPr>
        <w:t>Jean-Marie</w:t>
      </w:r>
      <w:proofErr w:type="spellEnd"/>
      <w:r>
        <w:rPr>
          <w:i/>
          <w:iCs/>
          <w:sz w:val="16"/>
        </w:rPr>
        <w:t xml:space="preserve"> </w:t>
      </w:r>
      <w:proofErr w:type="spellStart"/>
      <w:r>
        <w:rPr>
          <w:i/>
          <w:iCs/>
          <w:sz w:val="16"/>
        </w:rPr>
        <w:t>Charon</w:t>
      </w:r>
      <w:proofErr w:type="spellEnd"/>
      <w:r>
        <w:rPr>
          <w:i/>
          <w:iCs/>
          <w:sz w:val="16"/>
        </w:rPr>
        <w:t xml:space="preserve">, </w:t>
      </w:r>
      <w:proofErr w:type="spellStart"/>
      <w:r>
        <w:rPr>
          <w:i/>
          <w:iCs/>
          <w:sz w:val="16"/>
        </w:rPr>
        <w:t>Entremises</w:t>
      </w:r>
      <w:proofErr w:type="spellEnd"/>
      <w:r>
        <w:rPr>
          <w:sz w:val="16"/>
        </w:rPr>
        <w:t>, 2021.</w:t>
      </w:r>
    </w:p>
  </w:footnote>
  <w:footnote w:id="37">
    <w:p w14:paraId="1A8B73F8" w14:textId="1BBA7954" w:rsidR="00BE5CDA" w:rsidRDefault="00215C69" w:rsidP="00FC5B57">
      <w:pPr>
        <w:keepLines/>
        <w:spacing w:after="60" w:line="240" w:lineRule="auto"/>
        <w:ind w:left="567" w:hanging="567"/>
        <w:rPr>
          <w:sz w:val="16"/>
          <w:szCs w:val="16"/>
        </w:rPr>
      </w:pPr>
      <w:r>
        <w:rPr>
          <w:rStyle w:val="FootnoteReference"/>
        </w:rPr>
        <w:footnoteRef/>
      </w:r>
      <w:r>
        <w:rPr>
          <w:sz w:val="16"/>
        </w:rPr>
        <w:tab/>
      </w:r>
      <w:r>
        <w:rPr>
          <w:i/>
          <w:sz w:val="16"/>
        </w:rPr>
        <w:t>LM4D</w:t>
      </w:r>
      <w:r>
        <w:rPr>
          <w:sz w:val="16"/>
        </w:rPr>
        <w:t xml:space="preserve"> </w:t>
      </w:r>
      <w:proofErr w:type="spellStart"/>
      <w:r>
        <w:rPr>
          <w:i/>
          <w:sz w:val="16"/>
        </w:rPr>
        <w:t>study</w:t>
      </w:r>
      <w:proofErr w:type="spellEnd"/>
      <w:r>
        <w:rPr>
          <w:i/>
          <w:sz w:val="16"/>
        </w:rPr>
        <w:t xml:space="preserve"> </w:t>
      </w:r>
      <w:proofErr w:type="spellStart"/>
      <w:r>
        <w:rPr>
          <w:sz w:val="16"/>
        </w:rPr>
        <w:t>Uncovering</w:t>
      </w:r>
      <w:proofErr w:type="spellEnd"/>
      <w:r>
        <w:rPr>
          <w:sz w:val="16"/>
        </w:rPr>
        <w:t xml:space="preserve"> </w:t>
      </w:r>
      <w:proofErr w:type="spellStart"/>
      <w:r>
        <w:rPr>
          <w:sz w:val="16"/>
        </w:rPr>
        <w:t>news</w:t>
      </w:r>
      <w:proofErr w:type="spellEnd"/>
      <w:r>
        <w:rPr>
          <w:sz w:val="16"/>
        </w:rPr>
        <w:t xml:space="preserve"> deserts </w:t>
      </w:r>
      <w:proofErr w:type="spellStart"/>
      <w:r>
        <w:rPr>
          <w:sz w:val="16"/>
        </w:rPr>
        <w:t>in</w:t>
      </w:r>
      <w:proofErr w:type="spellEnd"/>
      <w:r>
        <w:rPr>
          <w:sz w:val="16"/>
        </w:rPr>
        <w:t xml:space="preserve"> </w:t>
      </w:r>
      <w:proofErr w:type="spellStart"/>
      <w:r>
        <w:rPr>
          <w:sz w:val="16"/>
        </w:rPr>
        <w:t>Europe</w:t>
      </w:r>
      <w:proofErr w:type="spellEnd"/>
      <w:r>
        <w:rPr>
          <w:sz w:val="16"/>
        </w:rPr>
        <w:t xml:space="preserve"> – </w:t>
      </w:r>
      <w:r>
        <w:rPr>
          <w:i/>
          <w:sz w:val="16"/>
        </w:rPr>
        <w:t xml:space="preserve">Risks </w:t>
      </w:r>
      <w:proofErr w:type="spellStart"/>
      <w:r>
        <w:rPr>
          <w:i/>
          <w:sz w:val="16"/>
        </w:rPr>
        <w:t>and</w:t>
      </w:r>
      <w:proofErr w:type="spellEnd"/>
      <w:r>
        <w:rPr>
          <w:i/>
          <w:sz w:val="16"/>
        </w:rPr>
        <w:t xml:space="preserve"> </w:t>
      </w:r>
      <w:proofErr w:type="spellStart"/>
      <w:r>
        <w:rPr>
          <w:i/>
          <w:sz w:val="16"/>
        </w:rPr>
        <w:t>opportunities</w:t>
      </w:r>
      <w:proofErr w:type="spellEnd"/>
      <w:r>
        <w:rPr>
          <w:i/>
          <w:sz w:val="16"/>
        </w:rPr>
        <w:t xml:space="preserve"> </w:t>
      </w:r>
      <w:proofErr w:type="spellStart"/>
      <w:r>
        <w:rPr>
          <w:i/>
          <w:sz w:val="16"/>
        </w:rPr>
        <w:t>for</w:t>
      </w:r>
      <w:proofErr w:type="spellEnd"/>
      <w:r>
        <w:rPr>
          <w:i/>
          <w:sz w:val="16"/>
        </w:rPr>
        <w:t xml:space="preserve"> </w:t>
      </w:r>
      <w:proofErr w:type="spellStart"/>
      <w:r>
        <w:rPr>
          <w:i/>
          <w:sz w:val="16"/>
        </w:rPr>
        <w:t>local</w:t>
      </w:r>
      <w:proofErr w:type="spellEnd"/>
      <w:r>
        <w:rPr>
          <w:i/>
          <w:sz w:val="16"/>
        </w:rPr>
        <w:t xml:space="preserve"> </w:t>
      </w:r>
      <w:proofErr w:type="spellStart"/>
      <w:r>
        <w:rPr>
          <w:i/>
          <w:sz w:val="16"/>
        </w:rPr>
        <w:t>and</w:t>
      </w:r>
      <w:proofErr w:type="spellEnd"/>
      <w:r>
        <w:rPr>
          <w:i/>
          <w:sz w:val="16"/>
        </w:rPr>
        <w:t xml:space="preserve"> </w:t>
      </w:r>
      <w:proofErr w:type="spellStart"/>
      <w:r>
        <w:rPr>
          <w:i/>
          <w:sz w:val="16"/>
        </w:rPr>
        <w:t>community</w:t>
      </w:r>
      <w:proofErr w:type="spellEnd"/>
      <w:r>
        <w:rPr>
          <w:i/>
          <w:sz w:val="16"/>
        </w:rPr>
        <w:t xml:space="preserve"> </w:t>
      </w:r>
      <w:proofErr w:type="spellStart"/>
      <w:r>
        <w:rPr>
          <w:i/>
          <w:sz w:val="16"/>
        </w:rPr>
        <w:t>media</w:t>
      </w:r>
      <w:proofErr w:type="spellEnd"/>
      <w:r>
        <w:rPr>
          <w:i/>
          <w:sz w:val="16"/>
        </w:rPr>
        <w:t xml:space="preserve"> </w:t>
      </w:r>
      <w:proofErr w:type="spellStart"/>
      <w:r>
        <w:rPr>
          <w:i/>
          <w:sz w:val="16"/>
        </w:rPr>
        <w:t>in</w:t>
      </w:r>
      <w:proofErr w:type="spellEnd"/>
      <w:r>
        <w:rPr>
          <w:i/>
          <w:sz w:val="16"/>
        </w:rPr>
        <w:t xml:space="preserve"> </w:t>
      </w:r>
      <w:proofErr w:type="spellStart"/>
      <w:r>
        <w:rPr>
          <w:i/>
          <w:sz w:val="16"/>
        </w:rPr>
        <w:t>the</w:t>
      </w:r>
      <w:proofErr w:type="spellEnd"/>
      <w:r>
        <w:rPr>
          <w:i/>
          <w:sz w:val="16"/>
        </w:rPr>
        <w:t xml:space="preserve"> EU, </w:t>
      </w:r>
      <w:proofErr w:type="spellStart"/>
      <w:r>
        <w:rPr>
          <w:i/>
          <w:sz w:val="16"/>
        </w:rPr>
        <w:t>Verza</w:t>
      </w:r>
      <w:proofErr w:type="spellEnd"/>
      <w:r>
        <w:rPr>
          <w:i/>
          <w:sz w:val="16"/>
        </w:rPr>
        <w:t xml:space="preserve"> &amp; </w:t>
      </w:r>
      <w:proofErr w:type="spellStart"/>
      <w:r>
        <w:rPr>
          <w:i/>
          <w:sz w:val="16"/>
        </w:rPr>
        <w:t>al</w:t>
      </w:r>
      <w:proofErr w:type="spellEnd"/>
      <w:r>
        <w:rPr>
          <w:i/>
          <w:sz w:val="16"/>
        </w:rPr>
        <w:t xml:space="preserve">., </w:t>
      </w:r>
      <w:hyperlink r:id="rId30">
        <w:r>
          <w:rPr>
            <w:color w:val="0000FF"/>
            <w:sz w:val="16"/>
            <w:u w:val="single"/>
          </w:rPr>
          <w:t>https://cmpf.eui.eu/wp-content/uploads/2024/02/CMPF_Uncovering-news-deserts-in-Europe_LM4D-final-report.pdf</w:t>
        </w:r>
      </w:hyperlink>
      <w:r>
        <w:rPr>
          <w:color w:val="0000FF"/>
          <w:sz w:val="16"/>
          <w:u w:val="single"/>
        </w:rPr>
        <w:t>.</w:t>
      </w:r>
    </w:p>
  </w:footnote>
  <w:footnote w:id="38">
    <w:p w14:paraId="72ECB008" w14:textId="6A780F39" w:rsidR="00BE5CDA" w:rsidRDefault="00215C69" w:rsidP="00FC5B57">
      <w:pPr>
        <w:keepLines/>
        <w:spacing w:after="60" w:line="240" w:lineRule="auto"/>
        <w:ind w:left="567" w:hanging="567"/>
        <w:rPr>
          <w:sz w:val="20"/>
          <w:szCs w:val="20"/>
        </w:rPr>
      </w:pPr>
      <w:r>
        <w:rPr>
          <w:rStyle w:val="FootnoteReference"/>
        </w:rPr>
        <w:footnoteRef/>
      </w:r>
      <w:r>
        <w:rPr>
          <w:sz w:val="16"/>
        </w:rPr>
        <w:tab/>
      </w:r>
      <w:hyperlink r:id="rId31">
        <w:r>
          <w:rPr>
            <w:color w:val="0000FF"/>
            <w:sz w:val="16"/>
            <w:u w:val="single"/>
          </w:rPr>
          <w:t>https://cadmus.eui.eu/bitstream/handle/1814/77028/Media%20Pluralism%20Monitor%20Report_2024.pdf</w:t>
        </w:r>
      </w:hyperlink>
      <w:r>
        <w:rPr>
          <w:sz w:val="16"/>
        </w:rPr>
        <w:t>.</w:t>
      </w:r>
    </w:p>
  </w:footnote>
  <w:footnote w:id="39">
    <w:p w14:paraId="7D2A12EC" w14:textId="28533275" w:rsidR="00BE5CDA" w:rsidRPr="002A696B" w:rsidRDefault="00215C69" w:rsidP="00FC5B57">
      <w:pPr>
        <w:keepLines/>
        <w:spacing w:after="60" w:line="240" w:lineRule="auto"/>
        <w:ind w:left="567" w:hanging="567"/>
        <w:rPr>
          <w:sz w:val="16"/>
          <w:szCs w:val="16"/>
        </w:rPr>
      </w:pPr>
      <w:r>
        <w:rPr>
          <w:rStyle w:val="FootnoteReference"/>
        </w:rPr>
        <w:footnoteRef/>
      </w:r>
      <w:r>
        <w:rPr>
          <w:sz w:val="16"/>
        </w:rPr>
        <w:tab/>
      </w:r>
      <w:hyperlink r:id="rId32">
        <w:r>
          <w:rPr>
            <w:color w:val="0000FF"/>
            <w:sz w:val="16"/>
            <w:u w:val="single"/>
          </w:rPr>
          <w:t>https://cadmus.eui.eu/server/api/core/bitstreams/b0fef1e3-043a-5880-93ce-cb3ee9ed5d54/content</w:t>
        </w:r>
      </w:hyperlink>
      <w:r>
        <w:rPr>
          <w:color w:val="1155CC"/>
          <w:sz w:val="16"/>
        </w:rPr>
        <w:t>.</w:t>
      </w:r>
    </w:p>
  </w:footnote>
  <w:footnote w:id="40">
    <w:p w14:paraId="5224D6DA" w14:textId="77777777"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3">
        <w:r>
          <w:rPr>
            <w:color w:val="0000FF"/>
            <w:sz w:val="16"/>
            <w:u w:val="single"/>
          </w:rPr>
          <w:t>https://cadmus.eui.eu/bitstream/handle/1814/77028/Media%20Pluralism%20Monitor%20Report_2024.pdf</w:t>
        </w:r>
      </w:hyperlink>
      <w:r>
        <w:rPr>
          <w:sz w:val="16"/>
        </w:rPr>
        <w:t>.</w:t>
      </w:r>
    </w:p>
  </w:footnote>
  <w:footnote w:id="41">
    <w:p w14:paraId="6A53516B" w14:textId="7D85C746"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4" w:anchor="_edn28">
        <w:r>
          <w:rPr>
            <w:color w:val="0000FF"/>
            <w:sz w:val="16"/>
            <w:u w:val="single"/>
          </w:rPr>
          <w:t>https://oshwiki.osha.europa.eu/lv/themes/journalism-and-psychosocial-risk-factors#_edn28</w:t>
        </w:r>
      </w:hyperlink>
      <w:r>
        <w:rPr>
          <w:sz w:val="16"/>
        </w:rPr>
        <w:t>.</w:t>
      </w:r>
    </w:p>
  </w:footnote>
  <w:footnote w:id="42">
    <w:p w14:paraId="1967691D" w14:textId="77777777" w:rsidR="00BE5CDA" w:rsidRDefault="00215C69" w:rsidP="00FC5B57">
      <w:pPr>
        <w:keepLines/>
        <w:spacing w:after="60" w:line="240" w:lineRule="auto"/>
        <w:ind w:left="567" w:hanging="567"/>
        <w:rPr>
          <w:sz w:val="16"/>
          <w:szCs w:val="16"/>
        </w:rPr>
      </w:pPr>
      <w:r>
        <w:rPr>
          <w:rStyle w:val="FootnoteReference"/>
        </w:rPr>
        <w:footnoteRef/>
      </w:r>
      <w:r>
        <w:rPr>
          <w:sz w:val="16"/>
        </w:rPr>
        <w:tab/>
      </w:r>
      <w:proofErr w:type="spellStart"/>
      <w:r>
        <w:rPr>
          <w:i/>
          <w:iCs/>
          <w:sz w:val="16"/>
        </w:rPr>
        <w:t>Rafter</w:t>
      </w:r>
      <w:proofErr w:type="spellEnd"/>
      <w:r>
        <w:rPr>
          <w:i/>
          <w:iCs/>
          <w:sz w:val="16"/>
        </w:rPr>
        <w:t xml:space="preserve">, Kevin &amp; </w:t>
      </w:r>
      <w:proofErr w:type="spellStart"/>
      <w:r>
        <w:rPr>
          <w:i/>
          <w:iCs/>
          <w:sz w:val="16"/>
        </w:rPr>
        <w:t>Wheatley</w:t>
      </w:r>
      <w:proofErr w:type="spellEnd"/>
      <w:r>
        <w:rPr>
          <w:i/>
          <w:iCs/>
          <w:sz w:val="16"/>
        </w:rPr>
        <w:t xml:space="preserve">, </w:t>
      </w:r>
      <w:proofErr w:type="spellStart"/>
      <w:r>
        <w:rPr>
          <w:i/>
          <w:iCs/>
          <w:sz w:val="16"/>
        </w:rPr>
        <w:t>Dawn</w:t>
      </w:r>
      <w:proofErr w:type="spellEnd"/>
      <w:r>
        <w:rPr>
          <w:i/>
          <w:iCs/>
          <w:sz w:val="16"/>
        </w:rPr>
        <w:t xml:space="preserve">., </w:t>
      </w:r>
      <w:proofErr w:type="spellStart"/>
      <w:r>
        <w:rPr>
          <w:i/>
          <w:iCs/>
          <w:sz w:val="16"/>
        </w:rPr>
        <w:t>Irish</w:t>
      </w:r>
      <w:proofErr w:type="spellEnd"/>
      <w:r>
        <w:rPr>
          <w:i/>
          <w:iCs/>
          <w:sz w:val="16"/>
        </w:rPr>
        <w:t xml:space="preserve"> </w:t>
      </w:r>
      <w:proofErr w:type="spellStart"/>
      <w:r>
        <w:rPr>
          <w:i/>
          <w:iCs/>
          <w:sz w:val="16"/>
        </w:rPr>
        <w:t>Journalists</w:t>
      </w:r>
      <w:proofErr w:type="spellEnd"/>
      <w:r>
        <w:rPr>
          <w:i/>
          <w:iCs/>
          <w:sz w:val="16"/>
        </w:rPr>
        <w:t xml:space="preserve"> </w:t>
      </w:r>
      <w:proofErr w:type="spellStart"/>
      <w:r>
        <w:rPr>
          <w:i/>
          <w:iCs/>
          <w:sz w:val="16"/>
        </w:rPr>
        <w:t>at</w:t>
      </w:r>
      <w:proofErr w:type="spellEnd"/>
      <w:r>
        <w:rPr>
          <w:i/>
          <w:iCs/>
          <w:sz w:val="16"/>
        </w:rPr>
        <w:t xml:space="preserve"> </w:t>
      </w:r>
      <w:proofErr w:type="spellStart"/>
      <w:r>
        <w:rPr>
          <w:i/>
          <w:iCs/>
          <w:sz w:val="16"/>
        </w:rPr>
        <w:t>Work</w:t>
      </w:r>
      <w:proofErr w:type="spellEnd"/>
      <w:r>
        <w:rPr>
          <w:i/>
          <w:iCs/>
          <w:sz w:val="16"/>
        </w:rPr>
        <w:t xml:space="preserve">: </w:t>
      </w:r>
      <w:proofErr w:type="spellStart"/>
      <w:r>
        <w:rPr>
          <w:i/>
          <w:iCs/>
          <w:sz w:val="16"/>
        </w:rPr>
        <w:t>Values</w:t>
      </w:r>
      <w:proofErr w:type="spellEnd"/>
      <w:r>
        <w:rPr>
          <w:i/>
          <w:iCs/>
          <w:sz w:val="16"/>
        </w:rPr>
        <w:t xml:space="preserve">, </w:t>
      </w:r>
      <w:proofErr w:type="spellStart"/>
      <w:r>
        <w:rPr>
          <w:i/>
          <w:iCs/>
          <w:sz w:val="16"/>
        </w:rPr>
        <w:t>Roles</w:t>
      </w:r>
      <w:proofErr w:type="spellEnd"/>
      <w:r>
        <w:rPr>
          <w:i/>
          <w:iCs/>
          <w:sz w:val="16"/>
        </w:rPr>
        <w:t xml:space="preserve"> &amp; Influences, </w:t>
      </w:r>
      <w:proofErr w:type="spellStart"/>
      <w:r>
        <w:rPr>
          <w:i/>
          <w:iCs/>
          <w:sz w:val="16"/>
        </w:rPr>
        <w:t>Dublin</w:t>
      </w:r>
      <w:proofErr w:type="spellEnd"/>
      <w:r>
        <w:rPr>
          <w:i/>
          <w:iCs/>
          <w:sz w:val="16"/>
        </w:rPr>
        <w:t xml:space="preserve"> </w:t>
      </w:r>
      <w:proofErr w:type="spellStart"/>
      <w:r>
        <w:rPr>
          <w:i/>
          <w:iCs/>
          <w:sz w:val="16"/>
        </w:rPr>
        <w:t>City</w:t>
      </w:r>
      <w:proofErr w:type="spellEnd"/>
      <w:r>
        <w:rPr>
          <w:i/>
          <w:iCs/>
          <w:sz w:val="16"/>
        </w:rPr>
        <w:t xml:space="preserve"> </w:t>
      </w:r>
      <w:proofErr w:type="spellStart"/>
      <w:r>
        <w:rPr>
          <w:i/>
          <w:iCs/>
          <w:sz w:val="16"/>
        </w:rPr>
        <w:t>University</w:t>
      </w:r>
      <w:proofErr w:type="spellEnd"/>
      <w:r>
        <w:rPr>
          <w:i/>
          <w:iCs/>
          <w:sz w:val="16"/>
        </w:rPr>
        <w:t xml:space="preserve">, </w:t>
      </w:r>
      <w:proofErr w:type="spellStart"/>
      <w:r>
        <w:rPr>
          <w:i/>
          <w:iCs/>
          <w:sz w:val="16"/>
        </w:rPr>
        <w:t>Ireland</w:t>
      </w:r>
      <w:proofErr w:type="spellEnd"/>
      <w:r>
        <w:rPr>
          <w:i/>
          <w:iCs/>
          <w:sz w:val="16"/>
        </w:rPr>
        <w:t>,</w:t>
      </w:r>
      <w:r>
        <w:rPr>
          <w:sz w:val="16"/>
        </w:rPr>
        <w:t xml:space="preserve"> 2023. Pieejams šeit: </w:t>
      </w:r>
      <w:hyperlink r:id="rId35">
        <w:r>
          <w:rPr>
            <w:color w:val="0000FF"/>
            <w:sz w:val="16"/>
            <w:u w:val="single"/>
          </w:rPr>
          <w:t>https://www.dcu.ie/sites/default/files/inline-files/full_irish-journalists-at-work-11122023-1.pdf</w:t>
        </w:r>
      </w:hyperlink>
      <w:r>
        <w:rPr>
          <w:sz w:val="16"/>
        </w:rPr>
        <w:t>.</w:t>
      </w:r>
    </w:p>
  </w:footnote>
  <w:footnote w:id="43">
    <w:p w14:paraId="2F383EF3" w14:textId="52D76FA9"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6">
        <w:r>
          <w:rPr>
            <w:color w:val="0000FF"/>
            <w:sz w:val="16"/>
            <w:u w:val="single"/>
          </w:rPr>
          <w:t>https://wan-ifra.org/2025/04/new-survey-finds-europes-journalists-marked-by-burnout-fearful-of-ai-yet-still-passionate-professionals/</w:t>
        </w:r>
      </w:hyperlink>
      <w:r>
        <w:rPr>
          <w:sz w:val="16"/>
        </w:rPr>
        <w:t>.</w:t>
      </w:r>
    </w:p>
  </w:footnote>
  <w:footnote w:id="44">
    <w:p w14:paraId="1BD3B9B6" w14:textId="77777777"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37">
        <w:r>
          <w:rPr>
            <w:color w:val="0000FF"/>
            <w:sz w:val="16"/>
            <w:u w:val="single"/>
          </w:rPr>
          <w:t>https://www.mfrr.eu/</w:t>
        </w:r>
      </w:hyperlink>
      <w:r>
        <w:rPr>
          <w:sz w:val="16"/>
        </w:rPr>
        <w:t xml:space="preserve">; </w:t>
      </w:r>
      <w:hyperlink r:id="rId38">
        <w:r>
          <w:rPr>
            <w:color w:val="0000FF"/>
            <w:sz w:val="16"/>
            <w:u w:val="single"/>
          </w:rPr>
          <w:t>https://fom.coe.int/en/accueil</w:t>
        </w:r>
      </w:hyperlink>
      <w:r>
        <w:rPr>
          <w:sz w:val="16"/>
        </w:rPr>
        <w:t>.</w:t>
      </w:r>
    </w:p>
  </w:footnote>
  <w:footnote w:id="45">
    <w:p w14:paraId="7C5D8BEF" w14:textId="108DC88E" w:rsidR="008F1DA0" w:rsidRDefault="008F1DA0" w:rsidP="00FC5B57">
      <w:pPr>
        <w:keepLines/>
        <w:spacing w:after="60" w:line="240" w:lineRule="auto"/>
        <w:ind w:left="567" w:hanging="567"/>
        <w:rPr>
          <w:sz w:val="16"/>
          <w:szCs w:val="16"/>
        </w:rPr>
      </w:pPr>
      <w:r>
        <w:rPr>
          <w:rStyle w:val="FootnoteReference"/>
        </w:rPr>
        <w:footnoteRef/>
      </w:r>
      <w:r>
        <w:rPr>
          <w:sz w:val="16"/>
        </w:rPr>
        <w:tab/>
      </w:r>
      <w:hyperlink r:id="rId39">
        <w:r>
          <w:rPr>
            <w:color w:val="0033FF"/>
            <w:sz w:val="16"/>
            <w:u w:val="single"/>
          </w:rPr>
          <w:t>https://www.ecpmf.eu/mfrr-monitoring-report-2024/</w:t>
        </w:r>
      </w:hyperlink>
      <w:r>
        <w:rPr>
          <w:sz w:val="16"/>
        </w:rPr>
        <w:t>.</w:t>
      </w:r>
    </w:p>
  </w:footnote>
  <w:footnote w:id="46">
    <w:p w14:paraId="177BCE60" w14:textId="2082DFA0" w:rsidR="00BE5CDA" w:rsidRDefault="00215C69" w:rsidP="00FC5B57">
      <w:pPr>
        <w:keepLines/>
        <w:spacing w:after="60" w:line="240" w:lineRule="auto"/>
        <w:ind w:left="567" w:hanging="567"/>
      </w:pPr>
      <w:r>
        <w:rPr>
          <w:rStyle w:val="FootnoteReference"/>
        </w:rPr>
        <w:footnoteRef/>
      </w:r>
      <w:r>
        <w:tab/>
      </w:r>
      <w:hyperlink r:id="rId40">
        <w:r>
          <w:rPr>
            <w:color w:val="0000FF"/>
            <w:sz w:val="16"/>
            <w:u w:val="single"/>
          </w:rPr>
          <w:t>https://www.osce.org/files/f/documents/b/0/554098_1.pdf</w:t>
        </w:r>
      </w:hyperlink>
      <w:r>
        <w:rPr>
          <w:sz w:val="16"/>
        </w:rPr>
        <w:t>.</w:t>
      </w:r>
    </w:p>
  </w:footnote>
  <w:footnote w:id="47">
    <w:p w14:paraId="3436555E" w14:textId="1B08183C" w:rsidR="00DC45D2" w:rsidRPr="009C61FF" w:rsidRDefault="00DC45D2" w:rsidP="00FC5B57">
      <w:pPr>
        <w:pStyle w:val="FootnoteText"/>
      </w:pPr>
      <w:r>
        <w:rPr>
          <w:rStyle w:val="FootnoteReference"/>
        </w:rPr>
        <w:footnoteRef/>
      </w:r>
      <w:r>
        <w:t xml:space="preserve"> </w:t>
      </w:r>
      <w:r>
        <w:tab/>
      </w:r>
      <w:hyperlink r:id="rId41">
        <w:proofErr w:type="spellStart"/>
        <w:r>
          <w:rPr>
            <w:color w:val="0033FF"/>
            <w:u w:val="single"/>
          </w:rPr>
          <w:t>CoE</w:t>
        </w:r>
        <w:proofErr w:type="spellEnd"/>
        <w:r>
          <w:rPr>
            <w:color w:val="0033FF"/>
            <w:u w:val="single"/>
          </w:rPr>
          <w:t xml:space="preserve"> </w:t>
        </w:r>
        <w:proofErr w:type="spellStart"/>
        <w:r>
          <w:rPr>
            <w:color w:val="0033FF"/>
            <w:u w:val="single"/>
          </w:rPr>
          <w:t>Platform</w:t>
        </w:r>
        <w:proofErr w:type="spellEnd"/>
        <w:r>
          <w:rPr>
            <w:color w:val="0033FF"/>
            <w:u w:val="single"/>
          </w:rPr>
          <w:t xml:space="preserve"> </w:t>
        </w:r>
        <w:proofErr w:type="spellStart"/>
        <w:r>
          <w:rPr>
            <w:color w:val="0033FF"/>
            <w:u w:val="single"/>
          </w:rPr>
          <w:t>Annual</w:t>
        </w:r>
        <w:proofErr w:type="spellEnd"/>
        <w:r>
          <w:rPr>
            <w:color w:val="0033FF"/>
            <w:u w:val="single"/>
          </w:rPr>
          <w:t xml:space="preserve"> </w:t>
        </w:r>
        <w:proofErr w:type="spellStart"/>
        <w:r>
          <w:rPr>
            <w:color w:val="0033FF"/>
            <w:u w:val="single"/>
          </w:rPr>
          <w:t>report</w:t>
        </w:r>
        <w:proofErr w:type="spellEnd"/>
        <w:r>
          <w:rPr>
            <w:color w:val="0033FF"/>
            <w:u w:val="single"/>
          </w:rPr>
          <w:t xml:space="preserve"> 2025</w:t>
        </w:r>
      </w:hyperlink>
      <w:r>
        <w:t>, 59. lpp.</w:t>
      </w:r>
    </w:p>
  </w:footnote>
  <w:footnote w:id="48">
    <w:p w14:paraId="05B62562" w14:textId="6F6CE991" w:rsidR="00BE5CDA" w:rsidRPr="002547B1" w:rsidRDefault="00215C69" w:rsidP="00FC5B57">
      <w:pPr>
        <w:keepLines/>
        <w:spacing w:after="60" w:line="240" w:lineRule="auto"/>
        <w:ind w:left="567" w:hanging="567"/>
      </w:pPr>
      <w:r>
        <w:rPr>
          <w:rStyle w:val="FootnoteReference"/>
        </w:rPr>
        <w:footnoteRef/>
      </w:r>
      <w:r>
        <w:rPr>
          <w:sz w:val="16"/>
        </w:rPr>
        <w:tab/>
      </w:r>
      <w:hyperlink r:id="rId42">
        <w:r>
          <w:rPr>
            <w:color w:val="0033FF"/>
            <w:sz w:val="16"/>
            <w:u w:val="single"/>
          </w:rPr>
          <w:t>https://edition.cnn.com/2024/10/24/media/polish-radio-ai-presenters-scli-intl</w:t>
        </w:r>
      </w:hyperlink>
      <w:r>
        <w:rPr>
          <w:color w:val="0033FF"/>
          <w:sz w:val="16"/>
        </w:rPr>
        <w:t>.</w:t>
      </w:r>
    </w:p>
  </w:footnote>
  <w:footnote w:id="49">
    <w:p w14:paraId="6056CDC3" w14:textId="6C761010" w:rsidR="00450C28" w:rsidRDefault="00450C28" w:rsidP="00FC5B57">
      <w:pPr>
        <w:keepLines/>
        <w:spacing w:after="60" w:line="240" w:lineRule="auto"/>
        <w:ind w:left="567" w:hanging="567"/>
        <w:rPr>
          <w:sz w:val="16"/>
          <w:szCs w:val="16"/>
        </w:rPr>
      </w:pPr>
      <w:r>
        <w:rPr>
          <w:rStyle w:val="FootnoteReference"/>
        </w:rPr>
        <w:footnoteRef/>
      </w:r>
      <w:r>
        <w:rPr>
          <w:sz w:val="20"/>
        </w:rPr>
        <w:tab/>
      </w:r>
      <w:hyperlink r:id="rId43">
        <w:r>
          <w:rPr>
            <w:color w:val="0000FF"/>
            <w:sz w:val="16"/>
            <w:u w:val="single"/>
          </w:rPr>
          <w:t>https://www.vrt.be/vrtnws/nl/2025/06/26/modeblad-elle-gebruikt-nepjournalisten-voor-online-artikels/</w:t>
        </w:r>
      </w:hyperlink>
      <w:r>
        <w:rPr>
          <w:sz w:val="16"/>
        </w:rPr>
        <w:t>.</w:t>
      </w:r>
    </w:p>
  </w:footnote>
  <w:footnote w:id="50">
    <w:p w14:paraId="37C4DE45" w14:textId="4817D656" w:rsidR="00BE5CDA" w:rsidRDefault="00215C69" w:rsidP="00FC5B57">
      <w:pPr>
        <w:keepLines/>
        <w:spacing w:after="60" w:line="240" w:lineRule="auto"/>
        <w:ind w:left="567" w:hanging="567"/>
      </w:pPr>
      <w:r>
        <w:rPr>
          <w:rStyle w:val="FootnoteReference"/>
        </w:rPr>
        <w:footnoteRef/>
      </w:r>
      <w:r>
        <w:tab/>
      </w:r>
      <w:hyperlink r:id="rId44" w:anchor="_edn31">
        <w:r>
          <w:rPr>
            <w:color w:val="0000FF"/>
            <w:sz w:val="16"/>
            <w:u w:val="single"/>
          </w:rPr>
          <w:t>https://oshwiki.osha.europa.eu/en/themes/journalism-and-psychosocial-risk-factors#_edn31</w:t>
        </w:r>
      </w:hyperlink>
      <w:r>
        <w:rPr>
          <w:sz w:val="16"/>
        </w:rPr>
        <w:t>.</w:t>
      </w:r>
    </w:p>
  </w:footnote>
  <w:footnote w:id="51">
    <w:p w14:paraId="168FC35A" w14:textId="22B40572" w:rsidR="00BE5CDA" w:rsidRDefault="00215C69" w:rsidP="00FC5B57">
      <w:pPr>
        <w:keepLines/>
        <w:spacing w:after="60" w:line="240" w:lineRule="auto"/>
        <w:ind w:left="567" w:hanging="567"/>
        <w:rPr>
          <w:sz w:val="16"/>
          <w:szCs w:val="16"/>
        </w:rPr>
      </w:pPr>
      <w:r>
        <w:rPr>
          <w:rStyle w:val="FootnoteReference"/>
        </w:rPr>
        <w:footnoteRef/>
      </w:r>
      <w:r>
        <w:rPr>
          <w:sz w:val="20"/>
        </w:rPr>
        <w:tab/>
      </w:r>
      <w:hyperlink r:id="rId45" w:history="1">
        <w:r>
          <w:rPr>
            <w:color w:val="0000FF"/>
            <w:sz w:val="16"/>
            <w:u w:val="single"/>
          </w:rPr>
          <w:t>https://reutersinstitute.politics.ox.ac.uk/digital-news-report/2024</w:t>
        </w:r>
      </w:hyperlink>
      <w:r>
        <w:rPr>
          <w:sz w:val="16"/>
        </w:rPr>
        <w:t>.</w:t>
      </w:r>
    </w:p>
  </w:footnote>
  <w:footnote w:id="52">
    <w:p w14:paraId="55538D8C" w14:textId="7774F56D" w:rsidR="00791F33" w:rsidRPr="00ED3E39" w:rsidRDefault="00791F33" w:rsidP="00FC5B57">
      <w:pPr>
        <w:keepLines/>
        <w:spacing w:after="60" w:line="240" w:lineRule="auto"/>
        <w:ind w:left="567" w:hanging="567"/>
        <w:rPr>
          <w:sz w:val="16"/>
          <w:szCs w:val="16"/>
        </w:rPr>
      </w:pPr>
      <w:r>
        <w:rPr>
          <w:rStyle w:val="FootnoteReference"/>
        </w:rPr>
        <w:footnoteRef/>
      </w:r>
      <w:r>
        <w:rPr>
          <w:sz w:val="20"/>
        </w:rPr>
        <w:tab/>
      </w:r>
      <w:hyperlink r:id="rId46">
        <w:r>
          <w:rPr>
            <w:color w:val="0000FF"/>
            <w:sz w:val="16"/>
            <w:u w:val="single"/>
          </w:rPr>
          <w:t xml:space="preserve">Monitoring </w:t>
        </w:r>
        <w:proofErr w:type="spellStart"/>
        <w:r>
          <w:rPr>
            <w:color w:val="0000FF"/>
            <w:sz w:val="16"/>
            <w:u w:val="single"/>
          </w:rPr>
          <w:t>Media</w:t>
        </w:r>
        <w:proofErr w:type="spellEnd"/>
        <w:r>
          <w:rPr>
            <w:color w:val="0000FF"/>
            <w:sz w:val="16"/>
            <w:u w:val="single"/>
          </w:rPr>
          <w:t xml:space="preserve"> </w:t>
        </w:r>
        <w:proofErr w:type="spellStart"/>
        <w:r>
          <w:rPr>
            <w:color w:val="0000FF"/>
            <w:sz w:val="16"/>
            <w:u w:val="single"/>
          </w:rPr>
          <w:t>Pluralism</w:t>
        </w:r>
        <w:proofErr w:type="spellEnd"/>
        <w:r>
          <w:rPr>
            <w:color w:val="0000FF"/>
            <w:sz w:val="16"/>
            <w:u w:val="single"/>
          </w:rPr>
          <w:t xml:space="preserve"> </w:t>
        </w:r>
        <w:proofErr w:type="spellStart"/>
        <w:r>
          <w:rPr>
            <w:color w:val="0000FF"/>
            <w:sz w:val="16"/>
            <w:u w:val="single"/>
          </w:rPr>
          <w:t>in</w:t>
        </w:r>
        <w:proofErr w:type="spellEnd"/>
        <w:r>
          <w:rPr>
            <w:color w:val="0000FF"/>
            <w:sz w:val="16"/>
            <w:u w:val="single"/>
          </w:rPr>
          <w:t xml:space="preserve"> </w:t>
        </w:r>
        <w:proofErr w:type="spellStart"/>
        <w:r>
          <w:rPr>
            <w:color w:val="0000FF"/>
            <w:sz w:val="16"/>
            <w:u w:val="single"/>
          </w:rPr>
          <w:t>the</w:t>
        </w:r>
        <w:proofErr w:type="spellEnd"/>
        <w:r>
          <w:rPr>
            <w:color w:val="0000FF"/>
            <w:sz w:val="16"/>
            <w:u w:val="single"/>
          </w:rPr>
          <w:t xml:space="preserve"> </w:t>
        </w:r>
        <w:proofErr w:type="spellStart"/>
        <w:r>
          <w:rPr>
            <w:color w:val="0000FF"/>
            <w:sz w:val="16"/>
            <w:u w:val="single"/>
          </w:rPr>
          <w:t>European</w:t>
        </w:r>
        <w:proofErr w:type="spellEnd"/>
        <w:r>
          <w:rPr>
            <w:color w:val="0000FF"/>
            <w:sz w:val="16"/>
            <w:u w:val="single"/>
          </w:rPr>
          <w:t xml:space="preserve"> </w:t>
        </w:r>
        <w:proofErr w:type="spellStart"/>
        <w:r>
          <w:rPr>
            <w:color w:val="0000FF"/>
            <w:sz w:val="16"/>
            <w:u w:val="single"/>
          </w:rPr>
          <w:t>Union</w:t>
        </w:r>
        <w:proofErr w:type="spellEnd"/>
      </w:hyperlink>
      <w:r>
        <w:rPr>
          <w:color w:val="0000FF"/>
          <w:sz w:val="16"/>
        </w:rPr>
        <w:t xml:space="preserve">, </w:t>
      </w:r>
      <w:r>
        <w:rPr>
          <w:sz w:val="16"/>
        </w:rPr>
        <w:t>2025.</w:t>
      </w:r>
    </w:p>
  </w:footnote>
  <w:footnote w:id="53">
    <w:p w14:paraId="244615B6" w14:textId="3D9FAE39" w:rsidR="00BE5CDA" w:rsidRPr="009C61FF" w:rsidRDefault="00215C69" w:rsidP="00FC5B57">
      <w:pPr>
        <w:keepLines/>
        <w:spacing w:after="60" w:line="240" w:lineRule="auto"/>
        <w:ind w:left="567" w:hanging="567"/>
        <w:rPr>
          <w:sz w:val="16"/>
          <w:szCs w:val="16"/>
        </w:rPr>
      </w:pPr>
      <w:r>
        <w:rPr>
          <w:rStyle w:val="FootnoteReference"/>
        </w:rPr>
        <w:footnoteRef/>
      </w:r>
      <w:r>
        <w:rPr>
          <w:sz w:val="16"/>
        </w:rPr>
        <w:tab/>
      </w:r>
      <w:hyperlink r:id="rId47">
        <w:r>
          <w:rPr>
            <w:color w:val="0000FF"/>
            <w:sz w:val="16"/>
            <w:u w:val="single"/>
          </w:rPr>
          <w:t xml:space="preserve">Monitoring </w:t>
        </w:r>
        <w:proofErr w:type="spellStart"/>
        <w:r>
          <w:rPr>
            <w:color w:val="0000FF"/>
            <w:sz w:val="16"/>
            <w:u w:val="single"/>
          </w:rPr>
          <w:t>Media</w:t>
        </w:r>
        <w:proofErr w:type="spellEnd"/>
        <w:r>
          <w:rPr>
            <w:color w:val="0000FF"/>
            <w:sz w:val="16"/>
            <w:u w:val="single"/>
          </w:rPr>
          <w:t xml:space="preserve"> </w:t>
        </w:r>
        <w:proofErr w:type="spellStart"/>
        <w:r>
          <w:rPr>
            <w:color w:val="0000FF"/>
            <w:sz w:val="16"/>
            <w:u w:val="single"/>
          </w:rPr>
          <w:t>Pluralism</w:t>
        </w:r>
        <w:proofErr w:type="spellEnd"/>
        <w:r>
          <w:rPr>
            <w:color w:val="0000FF"/>
            <w:sz w:val="16"/>
            <w:u w:val="single"/>
          </w:rPr>
          <w:t xml:space="preserve"> </w:t>
        </w:r>
        <w:proofErr w:type="spellStart"/>
        <w:r>
          <w:rPr>
            <w:color w:val="0000FF"/>
            <w:sz w:val="16"/>
            <w:u w:val="single"/>
          </w:rPr>
          <w:t>in</w:t>
        </w:r>
        <w:proofErr w:type="spellEnd"/>
        <w:r>
          <w:rPr>
            <w:color w:val="0000FF"/>
            <w:sz w:val="16"/>
            <w:u w:val="single"/>
          </w:rPr>
          <w:t xml:space="preserve"> </w:t>
        </w:r>
        <w:proofErr w:type="spellStart"/>
        <w:r>
          <w:rPr>
            <w:color w:val="0000FF"/>
            <w:sz w:val="16"/>
            <w:u w:val="single"/>
          </w:rPr>
          <w:t>the</w:t>
        </w:r>
        <w:proofErr w:type="spellEnd"/>
        <w:r>
          <w:rPr>
            <w:color w:val="0000FF"/>
            <w:sz w:val="16"/>
            <w:u w:val="single"/>
          </w:rPr>
          <w:t xml:space="preserve"> </w:t>
        </w:r>
        <w:proofErr w:type="spellStart"/>
        <w:r>
          <w:rPr>
            <w:color w:val="0000FF"/>
            <w:sz w:val="16"/>
            <w:u w:val="single"/>
          </w:rPr>
          <w:t>European</w:t>
        </w:r>
        <w:proofErr w:type="spellEnd"/>
        <w:r>
          <w:rPr>
            <w:color w:val="0000FF"/>
            <w:sz w:val="16"/>
            <w:u w:val="single"/>
          </w:rPr>
          <w:t xml:space="preserve"> </w:t>
        </w:r>
        <w:proofErr w:type="spellStart"/>
        <w:r>
          <w:rPr>
            <w:color w:val="0000FF"/>
            <w:sz w:val="16"/>
            <w:u w:val="single"/>
          </w:rPr>
          <w:t>Union</w:t>
        </w:r>
        <w:proofErr w:type="spellEnd"/>
      </w:hyperlink>
      <w:r>
        <w:rPr>
          <w:color w:val="0000FF"/>
          <w:sz w:val="16"/>
          <w:u w:val="single"/>
        </w:rPr>
        <w:t>,</w:t>
      </w:r>
      <w:r>
        <w:rPr>
          <w:sz w:val="16"/>
        </w:rPr>
        <w:t xml:space="preserve"> 2025.</w:t>
      </w:r>
    </w:p>
  </w:footnote>
  <w:footnote w:id="54">
    <w:p w14:paraId="2FBB9B91" w14:textId="10BC55F5" w:rsidR="00BE5CDA" w:rsidRDefault="00215C69" w:rsidP="00FC5B57">
      <w:pPr>
        <w:keepLines/>
        <w:spacing w:after="60" w:line="240" w:lineRule="auto"/>
        <w:ind w:left="567" w:hanging="567"/>
        <w:rPr>
          <w:sz w:val="16"/>
          <w:szCs w:val="16"/>
        </w:rPr>
      </w:pPr>
      <w:r>
        <w:rPr>
          <w:rStyle w:val="FootnoteReference"/>
        </w:rPr>
        <w:footnoteRef/>
      </w:r>
      <w:r>
        <w:rPr>
          <w:sz w:val="16"/>
        </w:rPr>
        <w:tab/>
      </w:r>
      <w:hyperlink r:id="rId48" w:history="1">
        <w:r>
          <w:rPr>
            <w:color w:val="0000FF"/>
            <w:sz w:val="16"/>
            <w:u w:val="single"/>
          </w:rPr>
          <w:t>https://www.publicmediaalliance.org/filling-the-gap-left-by-rfe-rl/</w:t>
        </w:r>
      </w:hyperlink>
      <w:r>
        <w:rPr>
          <w:sz w:val="16"/>
        </w:rPr>
        <w:t>.</w:t>
      </w:r>
    </w:p>
  </w:footnote>
  <w:footnote w:id="55">
    <w:p w14:paraId="56D0CC7F" w14:textId="31EB9BF9" w:rsidR="00631532" w:rsidRDefault="00631532" w:rsidP="00FC5B57">
      <w:pPr>
        <w:keepLines/>
        <w:spacing w:after="60" w:line="240" w:lineRule="auto"/>
        <w:ind w:left="567" w:hanging="567"/>
        <w:rPr>
          <w:sz w:val="16"/>
          <w:szCs w:val="16"/>
        </w:rPr>
      </w:pPr>
      <w:r>
        <w:rPr>
          <w:rStyle w:val="FootnoteReference"/>
        </w:rPr>
        <w:footnoteRef/>
      </w:r>
      <w:r>
        <w:rPr>
          <w:sz w:val="16"/>
        </w:rPr>
        <w:tab/>
      </w:r>
      <w:hyperlink r:id="rId49" w:history="1">
        <w:r>
          <w:rPr>
            <w:color w:val="0000FF"/>
            <w:sz w:val="16"/>
            <w:u w:val="single"/>
          </w:rPr>
          <w:t>https://rm.coe.int/168070ad5d</w:t>
        </w:r>
      </w:hyperlink>
      <w:r>
        <w:rPr>
          <w:sz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8C9C1" w14:textId="77777777" w:rsidR="00F071D3" w:rsidRPr="009754EA" w:rsidRDefault="00F071D3" w:rsidP="009754E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04C20" w14:textId="7F3225D3" w:rsidR="00F071D3" w:rsidRPr="009754EA" w:rsidRDefault="00F071D3" w:rsidP="009754E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DE88D" w14:textId="77777777" w:rsidR="00F071D3" w:rsidRPr="009754EA" w:rsidRDefault="00F071D3" w:rsidP="009754E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A2B2A" w14:textId="77777777" w:rsidR="00BE5CDA" w:rsidRPr="009754EA" w:rsidRDefault="00BE5CDA" w:rsidP="009754E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40B47" w14:textId="16DDA973" w:rsidR="00BE5CDA" w:rsidRPr="009754EA" w:rsidRDefault="00BE5CDA" w:rsidP="009754E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E5C97" w14:textId="77777777" w:rsidR="00BE5CDA" w:rsidRPr="009754EA" w:rsidRDefault="00BE5CDA" w:rsidP="009754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2A961122"/>
    <w:lvl w:ilvl="0">
      <w:start w:val="1"/>
      <w:numFmt w:val="decimal"/>
      <w:pStyle w:val="Heading1"/>
      <w:lvlText w:val="%1."/>
      <w:lvlJc w:val="left"/>
      <w:pPr>
        <w:ind w:left="567" w:hanging="567"/>
      </w:pPr>
      <w:rPr>
        <w:rFonts w:hint="default"/>
      </w:rPr>
    </w:lvl>
    <w:lvl w:ilvl="1">
      <w:start w:val="1"/>
      <w:numFmt w:val="decimal"/>
      <w:pStyle w:val="Heading2"/>
      <w:lvlText w:val="%1.%2."/>
      <w:lvlJc w:val="left"/>
      <w:pPr>
        <w:ind w:left="567" w:hanging="567"/>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567" w:hanging="567"/>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57FE01F0"/>
    <w:multiLevelType w:val="multilevel"/>
    <w:tmpl w:val="EC18E26C"/>
    <w:lvl w:ilvl="0">
      <w:start w:val="1"/>
      <w:numFmt w:val="decimal"/>
      <w:lvlText w:val="%1."/>
      <w:lvlJc w:val="left"/>
      <w:pPr>
        <w:ind w:left="0" w:firstLine="0"/>
      </w:pPr>
      <w:rPr>
        <w:b w:val="0"/>
      </w:rPr>
    </w:lvl>
    <w:lvl w:ilvl="1">
      <w:start w:val="1"/>
      <w:numFmt w:val="decimal"/>
      <w:lvlText w:val="%1.%2"/>
      <w:lvlJc w:val="left"/>
      <w:pPr>
        <w:ind w:left="0" w:firstLine="0"/>
      </w:pPr>
      <w:rPr>
        <w:b w:val="0"/>
        <w:i w:val="0"/>
        <w:smallCaps w:val="0"/>
        <w:strike w:val="0"/>
        <w:u w:val="none"/>
        <w:vertAlign w:val="baseline"/>
      </w:r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2" w15:restartNumberingAfterBreak="0">
    <w:nsid w:val="6A243066"/>
    <w:multiLevelType w:val="multilevel"/>
    <w:tmpl w:val="F78E91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2"/>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5CDA"/>
    <w:rsid w:val="00000877"/>
    <w:rsid w:val="000045C2"/>
    <w:rsid w:val="00005AB9"/>
    <w:rsid w:val="00005EB9"/>
    <w:rsid w:val="00006E24"/>
    <w:rsid w:val="00007A40"/>
    <w:rsid w:val="00011D33"/>
    <w:rsid w:val="00020E6E"/>
    <w:rsid w:val="0002623E"/>
    <w:rsid w:val="00031A4B"/>
    <w:rsid w:val="00033913"/>
    <w:rsid w:val="00033E5B"/>
    <w:rsid w:val="000357A8"/>
    <w:rsid w:val="000363D5"/>
    <w:rsid w:val="000430A6"/>
    <w:rsid w:val="00044923"/>
    <w:rsid w:val="0005249C"/>
    <w:rsid w:val="000534A5"/>
    <w:rsid w:val="0005680D"/>
    <w:rsid w:val="00063FB4"/>
    <w:rsid w:val="00064E63"/>
    <w:rsid w:val="0006793E"/>
    <w:rsid w:val="00072E0F"/>
    <w:rsid w:val="000733D8"/>
    <w:rsid w:val="000735E5"/>
    <w:rsid w:val="0007392F"/>
    <w:rsid w:val="000758F5"/>
    <w:rsid w:val="00076D45"/>
    <w:rsid w:val="00077431"/>
    <w:rsid w:val="000830CC"/>
    <w:rsid w:val="00085643"/>
    <w:rsid w:val="00085AF9"/>
    <w:rsid w:val="00087B39"/>
    <w:rsid w:val="00095A2B"/>
    <w:rsid w:val="00096502"/>
    <w:rsid w:val="000A49BB"/>
    <w:rsid w:val="000C3441"/>
    <w:rsid w:val="000C7776"/>
    <w:rsid w:val="000C7F53"/>
    <w:rsid w:val="000D2F8E"/>
    <w:rsid w:val="000F196B"/>
    <w:rsid w:val="00105361"/>
    <w:rsid w:val="0010719F"/>
    <w:rsid w:val="001101F8"/>
    <w:rsid w:val="0011206F"/>
    <w:rsid w:val="0011656A"/>
    <w:rsid w:val="0012220C"/>
    <w:rsid w:val="00131612"/>
    <w:rsid w:val="0013664F"/>
    <w:rsid w:val="00136EA3"/>
    <w:rsid w:val="00137575"/>
    <w:rsid w:val="00144231"/>
    <w:rsid w:val="00145BEA"/>
    <w:rsid w:val="00150434"/>
    <w:rsid w:val="0015571D"/>
    <w:rsid w:val="00155721"/>
    <w:rsid w:val="0015678B"/>
    <w:rsid w:val="00161585"/>
    <w:rsid w:val="0016503F"/>
    <w:rsid w:val="0016674F"/>
    <w:rsid w:val="00167CA0"/>
    <w:rsid w:val="0017120D"/>
    <w:rsid w:val="001714F6"/>
    <w:rsid w:val="00173645"/>
    <w:rsid w:val="00176168"/>
    <w:rsid w:val="00177158"/>
    <w:rsid w:val="001808A5"/>
    <w:rsid w:val="00184FD4"/>
    <w:rsid w:val="00186B04"/>
    <w:rsid w:val="00186F1E"/>
    <w:rsid w:val="00190836"/>
    <w:rsid w:val="00190EA3"/>
    <w:rsid w:val="00193930"/>
    <w:rsid w:val="001963A5"/>
    <w:rsid w:val="00196F1E"/>
    <w:rsid w:val="00197FCA"/>
    <w:rsid w:val="001A27DB"/>
    <w:rsid w:val="001A6852"/>
    <w:rsid w:val="001B286A"/>
    <w:rsid w:val="001B2D02"/>
    <w:rsid w:val="001B3647"/>
    <w:rsid w:val="001B5FDE"/>
    <w:rsid w:val="001B77FA"/>
    <w:rsid w:val="001C0ABE"/>
    <w:rsid w:val="001C5852"/>
    <w:rsid w:val="001C6542"/>
    <w:rsid w:val="001D45F0"/>
    <w:rsid w:val="001E1BDE"/>
    <w:rsid w:val="001E4A33"/>
    <w:rsid w:val="001E5C27"/>
    <w:rsid w:val="001E68B6"/>
    <w:rsid w:val="001F602B"/>
    <w:rsid w:val="001F6AC8"/>
    <w:rsid w:val="002037D5"/>
    <w:rsid w:val="00206F90"/>
    <w:rsid w:val="00212B03"/>
    <w:rsid w:val="002131AE"/>
    <w:rsid w:val="00214374"/>
    <w:rsid w:val="00215C10"/>
    <w:rsid w:val="00215C2D"/>
    <w:rsid w:val="00215C69"/>
    <w:rsid w:val="00220959"/>
    <w:rsid w:val="002252C4"/>
    <w:rsid w:val="00225B54"/>
    <w:rsid w:val="0023183E"/>
    <w:rsid w:val="0023267D"/>
    <w:rsid w:val="00235138"/>
    <w:rsid w:val="00240622"/>
    <w:rsid w:val="00243E36"/>
    <w:rsid w:val="0024540B"/>
    <w:rsid w:val="00245EF4"/>
    <w:rsid w:val="002471EC"/>
    <w:rsid w:val="00250E11"/>
    <w:rsid w:val="00251383"/>
    <w:rsid w:val="002522C9"/>
    <w:rsid w:val="00252A21"/>
    <w:rsid w:val="00253E4F"/>
    <w:rsid w:val="002542E4"/>
    <w:rsid w:val="002547B1"/>
    <w:rsid w:val="00261053"/>
    <w:rsid w:val="00261872"/>
    <w:rsid w:val="00262FDE"/>
    <w:rsid w:val="00263629"/>
    <w:rsid w:val="00267246"/>
    <w:rsid w:val="0026773D"/>
    <w:rsid w:val="00273A36"/>
    <w:rsid w:val="00275C34"/>
    <w:rsid w:val="002768A3"/>
    <w:rsid w:val="002769BD"/>
    <w:rsid w:val="00276A75"/>
    <w:rsid w:val="00280299"/>
    <w:rsid w:val="002809EA"/>
    <w:rsid w:val="00284962"/>
    <w:rsid w:val="00287B0E"/>
    <w:rsid w:val="0029698F"/>
    <w:rsid w:val="002A0B53"/>
    <w:rsid w:val="002A0EEF"/>
    <w:rsid w:val="002A696B"/>
    <w:rsid w:val="002A76F9"/>
    <w:rsid w:val="002B2DF7"/>
    <w:rsid w:val="002C1DB1"/>
    <w:rsid w:val="002C3BF4"/>
    <w:rsid w:val="002C3C66"/>
    <w:rsid w:val="002C4A2A"/>
    <w:rsid w:val="002C58D5"/>
    <w:rsid w:val="002C7442"/>
    <w:rsid w:val="002C749F"/>
    <w:rsid w:val="002D0742"/>
    <w:rsid w:val="002D7603"/>
    <w:rsid w:val="002E50CF"/>
    <w:rsid w:val="002E7610"/>
    <w:rsid w:val="002E7B33"/>
    <w:rsid w:val="002F059B"/>
    <w:rsid w:val="002F5B0B"/>
    <w:rsid w:val="00300924"/>
    <w:rsid w:val="0030596E"/>
    <w:rsid w:val="003073C3"/>
    <w:rsid w:val="0031788E"/>
    <w:rsid w:val="00323637"/>
    <w:rsid w:val="00324E8A"/>
    <w:rsid w:val="00331D87"/>
    <w:rsid w:val="00332850"/>
    <w:rsid w:val="00334478"/>
    <w:rsid w:val="003346B4"/>
    <w:rsid w:val="00334AE6"/>
    <w:rsid w:val="003365D0"/>
    <w:rsid w:val="003413D7"/>
    <w:rsid w:val="003423F2"/>
    <w:rsid w:val="00342D4A"/>
    <w:rsid w:val="003439AB"/>
    <w:rsid w:val="00344439"/>
    <w:rsid w:val="0035034C"/>
    <w:rsid w:val="00354695"/>
    <w:rsid w:val="0035549B"/>
    <w:rsid w:val="00363948"/>
    <w:rsid w:val="00363CD0"/>
    <w:rsid w:val="003755C8"/>
    <w:rsid w:val="00375687"/>
    <w:rsid w:val="00377295"/>
    <w:rsid w:val="0038029D"/>
    <w:rsid w:val="00380AE0"/>
    <w:rsid w:val="00383324"/>
    <w:rsid w:val="0038426A"/>
    <w:rsid w:val="00387A75"/>
    <w:rsid w:val="003904FD"/>
    <w:rsid w:val="00394254"/>
    <w:rsid w:val="003A7F3F"/>
    <w:rsid w:val="003B0C32"/>
    <w:rsid w:val="003B3451"/>
    <w:rsid w:val="003C2BFB"/>
    <w:rsid w:val="003C436B"/>
    <w:rsid w:val="003C5337"/>
    <w:rsid w:val="003C5F92"/>
    <w:rsid w:val="003C64AB"/>
    <w:rsid w:val="003D7A8C"/>
    <w:rsid w:val="003D7C00"/>
    <w:rsid w:val="003E56E5"/>
    <w:rsid w:val="003E7E60"/>
    <w:rsid w:val="003F00D4"/>
    <w:rsid w:val="003F218E"/>
    <w:rsid w:val="003F2209"/>
    <w:rsid w:val="003F3D39"/>
    <w:rsid w:val="003F646A"/>
    <w:rsid w:val="003F6761"/>
    <w:rsid w:val="003F6A0A"/>
    <w:rsid w:val="004024F5"/>
    <w:rsid w:val="00402DE1"/>
    <w:rsid w:val="00403D8B"/>
    <w:rsid w:val="004058F1"/>
    <w:rsid w:val="00407E7D"/>
    <w:rsid w:val="004102E2"/>
    <w:rsid w:val="00411A51"/>
    <w:rsid w:val="0041283D"/>
    <w:rsid w:val="00412BAC"/>
    <w:rsid w:val="00413AB4"/>
    <w:rsid w:val="00421373"/>
    <w:rsid w:val="00421FB7"/>
    <w:rsid w:val="0042763B"/>
    <w:rsid w:val="0043024C"/>
    <w:rsid w:val="004340D4"/>
    <w:rsid w:val="00436706"/>
    <w:rsid w:val="00443B39"/>
    <w:rsid w:val="00443D38"/>
    <w:rsid w:val="00450C28"/>
    <w:rsid w:val="00450E7A"/>
    <w:rsid w:val="004514AA"/>
    <w:rsid w:val="00456AF8"/>
    <w:rsid w:val="0046334E"/>
    <w:rsid w:val="00470B15"/>
    <w:rsid w:val="00475869"/>
    <w:rsid w:val="00475A77"/>
    <w:rsid w:val="00482C4D"/>
    <w:rsid w:val="004866A9"/>
    <w:rsid w:val="0048754F"/>
    <w:rsid w:val="00492774"/>
    <w:rsid w:val="00493D37"/>
    <w:rsid w:val="00496D7A"/>
    <w:rsid w:val="004A0D2C"/>
    <w:rsid w:val="004A1C00"/>
    <w:rsid w:val="004A22ED"/>
    <w:rsid w:val="004A31BC"/>
    <w:rsid w:val="004A3F1A"/>
    <w:rsid w:val="004A3F45"/>
    <w:rsid w:val="004A5738"/>
    <w:rsid w:val="004B1AFA"/>
    <w:rsid w:val="004B3F69"/>
    <w:rsid w:val="004B504C"/>
    <w:rsid w:val="004B7088"/>
    <w:rsid w:val="004C0DB4"/>
    <w:rsid w:val="004C3248"/>
    <w:rsid w:val="004C4D12"/>
    <w:rsid w:val="004C5B76"/>
    <w:rsid w:val="004D00EC"/>
    <w:rsid w:val="004D02CD"/>
    <w:rsid w:val="004D0B24"/>
    <w:rsid w:val="004D3673"/>
    <w:rsid w:val="004D4B90"/>
    <w:rsid w:val="004D6B95"/>
    <w:rsid w:val="004D7F41"/>
    <w:rsid w:val="004E03A2"/>
    <w:rsid w:val="004E2070"/>
    <w:rsid w:val="004E2B3C"/>
    <w:rsid w:val="004E317E"/>
    <w:rsid w:val="004E3954"/>
    <w:rsid w:val="004E5856"/>
    <w:rsid w:val="004E617B"/>
    <w:rsid w:val="004F0EDB"/>
    <w:rsid w:val="004F2330"/>
    <w:rsid w:val="004F23B5"/>
    <w:rsid w:val="004F53C6"/>
    <w:rsid w:val="004F55C6"/>
    <w:rsid w:val="004F6986"/>
    <w:rsid w:val="004F69DB"/>
    <w:rsid w:val="004F6B87"/>
    <w:rsid w:val="00501A20"/>
    <w:rsid w:val="00501C2D"/>
    <w:rsid w:val="00502637"/>
    <w:rsid w:val="00511140"/>
    <w:rsid w:val="005115FD"/>
    <w:rsid w:val="00513CFE"/>
    <w:rsid w:val="0052151F"/>
    <w:rsid w:val="0052255E"/>
    <w:rsid w:val="00523B6A"/>
    <w:rsid w:val="005248B9"/>
    <w:rsid w:val="00525737"/>
    <w:rsid w:val="00525F6C"/>
    <w:rsid w:val="00532B94"/>
    <w:rsid w:val="00533C04"/>
    <w:rsid w:val="00543704"/>
    <w:rsid w:val="00546AB4"/>
    <w:rsid w:val="005514E5"/>
    <w:rsid w:val="00553212"/>
    <w:rsid w:val="00556EF2"/>
    <w:rsid w:val="00563C84"/>
    <w:rsid w:val="005762F6"/>
    <w:rsid w:val="005832E1"/>
    <w:rsid w:val="00584FBE"/>
    <w:rsid w:val="00585483"/>
    <w:rsid w:val="00587378"/>
    <w:rsid w:val="00587C05"/>
    <w:rsid w:val="00590AAB"/>
    <w:rsid w:val="005938C3"/>
    <w:rsid w:val="00594010"/>
    <w:rsid w:val="0059468C"/>
    <w:rsid w:val="00595125"/>
    <w:rsid w:val="00596F21"/>
    <w:rsid w:val="005B1CDD"/>
    <w:rsid w:val="005B1E19"/>
    <w:rsid w:val="005B401C"/>
    <w:rsid w:val="005B55FC"/>
    <w:rsid w:val="005C0169"/>
    <w:rsid w:val="005C125A"/>
    <w:rsid w:val="005C2D5E"/>
    <w:rsid w:val="005C3B81"/>
    <w:rsid w:val="005C650C"/>
    <w:rsid w:val="005D086C"/>
    <w:rsid w:val="005D11D3"/>
    <w:rsid w:val="005D175A"/>
    <w:rsid w:val="005D4E1F"/>
    <w:rsid w:val="005D4FB3"/>
    <w:rsid w:val="005E2F07"/>
    <w:rsid w:val="005E2FEA"/>
    <w:rsid w:val="005E5501"/>
    <w:rsid w:val="005F06B6"/>
    <w:rsid w:val="005F314B"/>
    <w:rsid w:val="00611AF2"/>
    <w:rsid w:val="0061212B"/>
    <w:rsid w:val="006127AF"/>
    <w:rsid w:val="00613A98"/>
    <w:rsid w:val="00615FB2"/>
    <w:rsid w:val="00617BD1"/>
    <w:rsid w:val="00617CE8"/>
    <w:rsid w:val="006278A0"/>
    <w:rsid w:val="00627C60"/>
    <w:rsid w:val="0063095F"/>
    <w:rsid w:val="00631532"/>
    <w:rsid w:val="00631CBD"/>
    <w:rsid w:val="0063704F"/>
    <w:rsid w:val="00637424"/>
    <w:rsid w:val="00642A34"/>
    <w:rsid w:val="00646AC2"/>
    <w:rsid w:val="00650390"/>
    <w:rsid w:val="00654DAB"/>
    <w:rsid w:val="006550C6"/>
    <w:rsid w:val="006579DF"/>
    <w:rsid w:val="006604C4"/>
    <w:rsid w:val="0066204A"/>
    <w:rsid w:val="00670E3C"/>
    <w:rsid w:val="0067659F"/>
    <w:rsid w:val="00677F57"/>
    <w:rsid w:val="00681088"/>
    <w:rsid w:val="00683C7B"/>
    <w:rsid w:val="0069577E"/>
    <w:rsid w:val="0069634B"/>
    <w:rsid w:val="00696623"/>
    <w:rsid w:val="006A04E9"/>
    <w:rsid w:val="006A4A03"/>
    <w:rsid w:val="006A7543"/>
    <w:rsid w:val="006B322C"/>
    <w:rsid w:val="006B725C"/>
    <w:rsid w:val="006C273D"/>
    <w:rsid w:val="006C5C4F"/>
    <w:rsid w:val="006C6282"/>
    <w:rsid w:val="006C762A"/>
    <w:rsid w:val="006D5FF9"/>
    <w:rsid w:val="006E0772"/>
    <w:rsid w:val="006E0F86"/>
    <w:rsid w:val="006F0B15"/>
    <w:rsid w:val="006F0DCC"/>
    <w:rsid w:val="006F4C95"/>
    <w:rsid w:val="00703DF9"/>
    <w:rsid w:val="007048EB"/>
    <w:rsid w:val="00704FBB"/>
    <w:rsid w:val="007069A7"/>
    <w:rsid w:val="0070726A"/>
    <w:rsid w:val="0071226B"/>
    <w:rsid w:val="007123CB"/>
    <w:rsid w:val="00714961"/>
    <w:rsid w:val="00717040"/>
    <w:rsid w:val="00721B09"/>
    <w:rsid w:val="00741377"/>
    <w:rsid w:val="00746E64"/>
    <w:rsid w:val="007536DA"/>
    <w:rsid w:val="00753AAA"/>
    <w:rsid w:val="007622A7"/>
    <w:rsid w:val="00770ACA"/>
    <w:rsid w:val="007750A2"/>
    <w:rsid w:val="007817D6"/>
    <w:rsid w:val="00781996"/>
    <w:rsid w:val="00781A58"/>
    <w:rsid w:val="00781E1C"/>
    <w:rsid w:val="00787912"/>
    <w:rsid w:val="0079177A"/>
    <w:rsid w:val="00791F33"/>
    <w:rsid w:val="00794836"/>
    <w:rsid w:val="007948D5"/>
    <w:rsid w:val="007A15C9"/>
    <w:rsid w:val="007A6676"/>
    <w:rsid w:val="007A7A7E"/>
    <w:rsid w:val="007B4D12"/>
    <w:rsid w:val="007B7FF5"/>
    <w:rsid w:val="007C3FC6"/>
    <w:rsid w:val="007D1B63"/>
    <w:rsid w:val="007D2CE9"/>
    <w:rsid w:val="007D4FED"/>
    <w:rsid w:val="007D54C2"/>
    <w:rsid w:val="007D69DA"/>
    <w:rsid w:val="007D70B1"/>
    <w:rsid w:val="007D7140"/>
    <w:rsid w:val="007E1CDB"/>
    <w:rsid w:val="007E408C"/>
    <w:rsid w:val="007E50BF"/>
    <w:rsid w:val="007E7E21"/>
    <w:rsid w:val="007F0460"/>
    <w:rsid w:val="007F0DA2"/>
    <w:rsid w:val="007F2DD0"/>
    <w:rsid w:val="007F39CE"/>
    <w:rsid w:val="007F5E0D"/>
    <w:rsid w:val="00801085"/>
    <w:rsid w:val="00801A89"/>
    <w:rsid w:val="00804457"/>
    <w:rsid w:val="00810547"/>
    <w:rsid w:val="00812061"/>
    <w:rsid w:val="00812138"/>
    <w:rsid w:val="008151F2"/>
    <w:rsid w:val="0081777A"/>
    <w:rsid w:val="008210E0"/>
    <w:rsid w:val="00824079"/>
    <w:rsid w:val="00831F0A"/>
    <w:rsid w:val="00833A78"/>
    <w:rsid w:val="00841E46"/>
    <w:rsid w:val="00843DE3"/>
    <w:rsid w:val="0084505F"/>
    <w:rsid w:val="0084585F"/>
    <w:rsid w:val="00853E53"/>
    <w:rsid w:val="0085535C"/>
    <w:rsid w:val="00856949"/>
    <w:rsid w:val="00864D76"/>
    <w:rsid w:val="008656C9"/>
    <w:rsid w:val="0086711C"/>
    <w:rsid w:val="00867535"/>
    <w:rsid w:val="00875831"/>
    <w:rsid w:val="00875C5B"/>
    <w:rsid w:val="0088041C"/>
    <w:rsid w:val="00883025"/>
    <w:rsid w:val="00883C5F"/>
    <w:rsid w:val="0089102A"/>
    <w:rsid w:val="008910FB"/>
    <w:rsid w:val="00891C7D"/>
    <w:rsid w:val="00892FA7"/>
    <w:rsid w:val="00893451"/>
    <w:rsid w:val="008964E1"/>
    <w:rsid w:val="008A3301"/>
    <w:rsid w:val="008A35FC"/>
    <w:rsid w:val="008A4DF1"/>
    <w:rsid w:val="008A5636"/>
    <w:rsid w:val="008A76CC"/>
    <w:rsid w:val="008B125E"/>
    <w:rsid w:val="008B155C"/>
    <w:rsid w:val="008B241C"/>
    <w:rsid w:val="008B2732"/>
    <w:rsid w:val="008B408B"/>
    <w:rsid w:val="008B4F11"/>
    <w:rsid w:val="008B5167"/>
    <w:rsid w:val="008B5657"/>
    <w:rsid w:val="008C1BFC"/>
    <w:rsid w:val="008C2362"/>
    <w:rsid w:val="008C3049"/>
    <w:rsid w:val="008C74D9"/>
    <w:rsid w:val="008D2871"/>
    <w:rsid w:val="008D4AE9"/>
    <w:rsid w:val="008D5CF3"/>
    <w:rsid w:val="008D5E0A"/>
    <w:rsid w:val="008D5E41"/>
    <w:rsid w:val="008D7D39"/>
    <w:rsid w:val="008E4574"/>
    <w:rsid w:val="008F1DA0"/>
    <w:rsid w:val="008F2A48"/>
    <w:rsid w:val="008F4016"/>
    <w:rsid w:val="008F42FE"/>
    <w:rsid w:val="008F4A00"/>
    <w:rsid w:val="008F5402"/>
    <w:rsid w:val="008F639F"/>
    <w:rsid w:val="00900493"/>
    <w:rsid w:val="0090053A"/>
    <w:rsid w:val="00901C2A"/>
    <w:rsid w:val="0090416C"/>
    <w:rsid w:val="00907126"/>
    <w:rsid w:val="009118C7"/>
    <w:rsid w:val="00920BA1"/>
    <w:rsid w:val="00922421"/>
    <w:rsid w:val="009225B6"/>
    <w:rsid w:val="009238DD"/>
    <w:rsid w:val="00925397"/>
    <w:rsid w:val="00933A21"/>
    <w:rsid w:val="00933C85"/>
    <w:rsid w:val="00934C10"/>
    <w:rsid w:val="00936244"/>
    <w:rsid w:val="0093662A"/>
    <w:rsid w:val="0094060C"/>
    <w:rsid w:val="00942C4B"/>
    <w:rsid w:val="00942DE7"/>
    <w:rsid w:val="00944196"/>
    <w:rsid w:val="00954A19"/>
    <w:rsid w:val="00957AAF"/>
    <w:rsid w:val="009606A5"/>
    <w:rsid w:val="00962F1F"/>
    <w:rsid w:val="00965304"/>
    <w:rsid w:val="00971293"/>
    <w:rsid w:val="00973A3B"/>
    <w:rsid w:val="009754EA"/>
    <w:rsid w:val="00976C5B"/>
    <w:rsid w:val="00983EAE"/>
    <w:rsid w:val="00986FC9"/>
    <w:rsid w:val="0098760B"/>
    <w:rsid w:val="00993E9C"/>
    <w:rsid w:val="009962C4"/>
    <w:rsid w:val="009A11DD"/>
    <w:rsid w:val="009B30AA"/>
    <w:rsid w:val="009B5217"/>
    <w:rsid w:val="009C3685"/>
    <w:rsid w:val="009C48DE"/>
    <w:rsid w:val="009C4D0E"/>
    <w:rsid w:val="009C61FF"/>
    <w:rsid w:val="009C6239"/>
    <w:rsid w:val="009D2F48"/>
    <w:rsid w:val="009D60D9"/>
    <w:rsid w:val="009D6EE8"/>
    <w:rsid w:val="009E1E1E"/>
    <w:rsid w:val="009E33E3"/>
    <w:rsid w:val="009E7F16"/>
    <w:rsid w:val="009F1E65"/>
    <w:rsid w:val="009F27F8"/>
    <w:rsid w:val="009F3C62"/>
    <w:rsid w:val="009F5052"/>
    <w:rsid w:val="00A03083"/>
    <w:rsid w:val="00A044D3"/>
    <w:rsid w:val="00A04C85"/>
    <w:rsid w:val="00A100F0"/>
    <w:rsid w:val="00A1451B"/>
    <w:rsid w:val="00A156E6"/>
    <w:rsid w:val="00A177C5"/>
    <w:rsid w:val="00A24EDB"/>
    <w:rsid w:val="00A27D86"/>
    <w:rsid w:val="00A30A3D"/>
    <w:rsid w:val="00A33151"/>
    <w:rsid w:val="00A33927"/>
    <w:rsid w:val="00A33CB3"/>
    <w:rsid w:val="00A36970"/>
    <w:rsid w:val="00A41EB4"/>
    <w:rsid w:val="00A44BFF"/>
    <w:rsid w:val="00A45381"/>
    <w:rsid w:val="00A457B5"/>
    <w:rsid w:val="00A457C0"/>
    <w:rsid w:val="00A46659"/>
    <w:rsid w:val="00A501E3"/>
    <w:rsid w:val="00A50F0C"/>
    <w:rsid w:val="00A537B4"/>
    <w:rsid w:val="00A56441"/>
    <w:rsid w:val="00A610BB"/>
    <w:rsid w:val="00A658EB"/>
    <w:rsid w:val="00A71D1E"/>
    <w:rsid w:val="00A736DD"/>
    <w:rsid w:val="00A749FC"/>
    <w:rsid w:val="00A76D17"/>
    <w:rsid w:val="00A82869"/>
    <w:rsid w:val="00A8758C"/>
    <w:rsid w:val="00A9296F"/>
    <w:rsid w:val="00A92F2A"/>
    <w:rsid w:val="00AA127E"/>
    <w:rsid w:val="00AA19AE"/>
    <w:rsid w:val="00AA423D"/>
    <w:rsid w:val="00AA6A95"/>
    <w:rsid w:val="00AB10DE"/>
    <w:rsid w:val="00AB358A"/>
    <w:rsid w:val="00AB3668"/>
    <w:rsid w:val="00AB5ED7"/>
    <w:rsid w:val="00AB72B8"/>
    <w:rsid w:val="00AC0B4C"/>
    <w:rsid w:val="00AD0AEE"/>
    <w:rsid w:val="00AD49E3"/>
    <w:rsid w:val="00AD4B4F"/>
    <w:rsid w:val="00AF0616"/>
    <w:rsid w:val="00AF0E28"/>
    <w:rsid w:val="00AF6F9B"/>
    <w:rsid w:val="00B01409"/>
    <w:rsid w:val="00B07110"/>
    <w:rsid w:val="00B10DBD"/>
    <w:rsid w:val="00B15629"/>
    <w:rsid w:val="00B2372C"/>
    <w:rsid w:val="00B26E41"/>
    <w:rsid w:val="00B27769"/>
    <w:rsid w:val="00B32F70"/>
    <w:rsid w:val="00B373D0"/>
    <w:rsid w:val="00B43AAA"/>
    <w:rsid w:val="00B53139"/>
    <w:rsid w:val="00B544CB"/>
    <w:rsid w:val="00B562CE"/>
    <w:rsid w:val="00B62DE2"/>
    <w:rsid w:val="00B72EAB"/>
    <w:rsid w:val="00B74417"/>
    <w:rsid w:val="00B77246"/>
    <w:rsid w:val="00B866CD"/>
    <w:rsid w:val="00B86B3B"/>
    <w:rsid w:val="00B93034"/>
    <w:rsid w:val="00B93A81"/>
    <w:rsid w:val="00B97C5D"/>
    <w:rsid w:val="00BA1290"/>
    <w:rsid w:val="00BA17B6"/>
    <w:rsid w:val="00BA72CF"/>
    <w:rsid w:val="00BB2792"/>
    <w:rsid w:val="00BB76BF"/>
    <w:rsid w:val="00BC07FC"/>
    <w:rsid w:val="00BC1AD1"/>
    <w:rsid w:val="00BC1D82"/>
    <w:rsid w:val="00BC2557"/>
    <w:rsid w:val="00BC4A58"/>
    <w:rsid w:val="00BC613B"/>
    <w:rsid w:val="00BC6D38"/>
    <w:rsid w:val="00BD51D9"/>
    <w:rsid w:val="00BD64E2"/>
    <w:rsid w:val="00BE4995"/>
    <w:rsid w:val="00BE557E"/>
    <w:rsid w:val="00BE5CDA"/>
    <w:rsid w:val="00BE73B6"/>
    <w:rsid w:val="00BF429A"/>
    <w:rsid w:val="00BF62BE"/>
    <w:rsid w:val="00C00D56"/>
    <w:rsid w:val="00C068AE"/>
    <w:rsid w:val="00C07126"/>
    <w:rsid w:val="00C12A51"/>
    <w:rsid w:val="00C12EA0"/>
    <w:rsid w:val="00C16853"/>
    <w:rsid w:val="00C263F0"/>
    <w:rsid w:val="00C302ED"/>
    <w:rsid w:val="00C33D41"/>
    <w:rsid w:val="00C356F7"/>
    <w:rsid w:val="00C360D1"/>
    <w:rsid w:val="00C36E63"/>
    <w:rsid w:val="00C40AFD"/>
    <w:rsid w:val="00C41E20"/>
    <w:rsid w:val="00C42E3E"/>
    <w:rsid w:val="00C447B1"/>
    <w:rsid w:val="00C51C13"/>
    <w:rsid w:val="00C525A5"/>
    <w:rsid w:val="00C5300F"/>
    <w:rsid w:val="00C54594"/>
    <w:rsid w:val="00C56118"/>
    <w:rsid w:val="00C62587"/>
    <w:rsid w:val="00C66CE0"/>
    <w:rsid w:val="00C67599"/>
    <w:rsid w:val="00C71BED"/>
    <w:rsid w:val="00C737B2"/>
    <w:rsid w:val="00C81B53"/>
    <w:rsid w:val="00C82AD2"/>
    <w:rsid w:val="00C87F02"/>
    <w:rsid w:val="00C90FB6"/>
    <w:rsid w:val="00C9220E"/>
    <w:rsid w:val="00C932BD"/>
    <w:rsid w:val="00C93429"/>
    <w:rsid w:val="00CA16C5"/>
    <w:rsid w:val="00CA415A"/>
    <w:rsid w:val="00CA7A35"/>
    <w:rsid w:val="00CB144A"/>
    <w:rsid w:val="00CB1536"/>
    <w:rsid w:val="00CB27F6"/>
    <w:rsid w:val="00CB7FB8"/>
    <w:rsid w:val="00CC1F71"/>
    <w:rsid w:val="00CC26EE"/>
    <w:rsid w:val="00CC5588"/>
    <w:rsid w:val="00CC5E4E"/>
    <w:rsid w:val="00CC5EB3"/>
    <w:rsid w:val="00CC70D7"/>
    <w:rsid w:val="00CD0E7B"/>
    <w:rsid w:val="00CD24AA"/>
    <w:rsid w:val="00CD2ABD"/>
    <w:rsid w:val="00CD4024"/>
    <w:rsid w:val="00CD4617"/>
    <w:rsid w:val="00CD4855"/>
    <w:rsid w:val="00CE6D43"/>
    <w:rsid w:val="00CE7888"/>
    <w:rsid w:val="00D05F0A"/>
    <w:rsid w:val="00D10E1C"/>
    <w:rsid w:val="00D120B8"/>
    <w:rsid w:val="00D161A3"/>
    <w:rsid w:val="00D22E49"/>
    <w:rsid w:val="00D23716"/>
    <w:rsid w:val="00D25ED8"/>
    <w:rsid w:val="00D265B5"/>
    <w:rsid w:val="00D27F8F"/>
    <w:rsid w:val="00D316B8"/>
    <w:rsid w:val="00D31CFC"/>
    <w:rsid w:val="00D3255D"/>
    <w:rsid w:val="00D3264E"/>
    <w:rsid w:val="00D340C3"/>
    <w:rsid w:val="00D409CD"/>
    <w:rsid w:val="00D410F0"/>
    <w:rsid w:val="00D423D4"/>
    <w:rsid w:val="00D42CAF"/>
    <w:rsid w:val="00D52E12"/>
    <w:rsid w:val="00D5310F"/>
    <w:rsid w:val="00D54AF3"/>
    <w:rsid w:val="00D57FD0"/>
    <w:rsid w:val="00D601EF"/>
    <w:rsid w:val="00D61533"/>
    <w:rsid w:val="00D620C7"/>
    <w:rsid w:val="00D63B2F"/>
    <w:rsid w:val="00D70747"/>
    <w:rsid w:val="00D7261D"/>
    <w:rsid w:val="00D755FC"/>
    <w:rsid w:val="00D76B6D"/>
    <w:rsid w:val="00D77FBE"/>
    <w:rsid w:val="00D82EC0"/>
    <w:rsid w:val="00D84D07"/>
    <w:rsid w:val="00D8526A"/>
    <w:rsid w:val="00D90E91"/>
    <w:rsid w:val="00D94359"/>
    <w:rsid w:val="00DB02F2"/>
    <w:rsid w:val="00DB5F39"/>
    <w:rsid w:val="00DB60E1"/>
    <w:rsid w:val="00DB68E9"/>
    <w:rsid w:val="00DC1347"/>
    <w:rsid w:val="00DC3331"/>
    <w:rsid w:val="00DC39F1"/>
    <w:rsid w:val="00DC45D2"/>
    <w:rsid w:val="00DD5640"/>
    <w:rsid w:val="00DE4B35"/>
    <w:rsid w:val="00DF19C1"/>
    <w:rsid w:val="00DF1D68"/>
    <w:rsid w:val="00DF2AC6"/>
    <w:rsid w:val="00DF54CA"/>
    <w:rsid w:val="00DF56C9"/>
    <w:rsid w:val="00DF5B64"/>
    <w:rsid w:val="00E01DAA"/>
    <w:rsid w:val="00E0244A"/>
    <w:rsid w:val="00E02794"/>
    <w:rsid w:val="00E043E3"/>
    <w:rsid w:val="00E0505B"/>
    <w:rsid w:val="00E11280"/>
    <w:rsid w:val="00E11F9D"/>
    <w:rsid w:val="00E12359"/>
    <w:rsid w:val="00E152FF"/>
    <w:rsid w:val="00E17E2F"/>
    <w:rsid w:val="00E21D2C"/>
    <w:rsid w:val="00E2461B"/>
    <w:rsid w:val="00E24886"/>
    <w:rsid w:val="00E276FB"/>
    <w:rsid w:val="00E3082C"/>
    <w:rsid w:val="00E32595"/>
    <w:rsid w:val="00E32DC6"/>
    <w:rsid w:val="00E33A74"/>
    <w:rsid w:val="00E351AA"/>
    <w:rsid w:val="00E4030B"/>
    <w:rsid w:val="00E41D56"/>
    <w:rsid w:val="00E457DF"/>
    <w:rsid w:val="00E46642"/>
    <w:rsid w:val="00E46F27"/>
    <w:rsid w:val="00E5139A"/>
    <w:rsid w:val="00E5402C"/>
    <w:rsid w:val="00E5413D"/>
    <w:rsid w:val="00E5569D"/>
    <w:rsid w:val="00E56A73"/>
    <w:rsid w:val="00E57977"/>
    <w:rsid w:val="00E635D7"/>
    <w:rsid w:val="00E64E71"/>
    <w:rsid w:val="00E70576"/>
    <w:rsid w:val="00E71DED"/>
    <w:rsid w:val="00E8268F"/>
    <w:rsid w:val="00E831E5"/>
    <w:rsid w:val="00E83954"/>
    <w:rsid w:val="00E86506"/>
    <w:rsid w:val="00E91730"/>
    <w:rsid w:val="00E96D24"/>
    <w:rsid w:val="00E96F04"/>
    <w:rsid w:val="00E97AEC"/>
    <w:rsid w:val="00E97E76"/>
    <w:rsid w:val="00EA1CCC"/>
    <w:rsid w:val="00EA20FE"/>
    <w:rsid w:val="00EA25B5"/>
    <w:rsid w:val="00EA5234"/>
    <w:rsid w:val="00EA6711"/>
    <w:rsid w:val="00EB06DF"/>
    <w:rsid w:val="00EB491E"/>
    <w:rsid w:val="00EB681B"/>
    <w:rsid w:val="00EC4FAD"/>
    <w:rsid w:val="00EC5F74"/>
    <w:rsid w:val="00ED3E39"/>
    <w:rsid w:val="00ED431D"/>
    <w:rsid w:val="00EE3CFA"/>
    <w:rsid w:val="00EE69E4"/>
    <w:rsid w:val="00EF1355"/>
    <w:rsid w:val="00EF2A7F"/>
    <w:rsid w:val="00EF7E90"/>
    <w:rsid w:val="00F002B6"/>
    <w:rsid w:val="00F05A0E"/>
    <w:rsid w:val="00F071D3"/>
    <w:rsid w:val="00F10AFE"/>
    <w:rsid w:val="00F13091"/>
    <w:rsid w:val="00F15C6C"/>
    <w:rsid w:val="00F17173"/>
    <w:rsid w:val="00F20987"/>
    <w:rsid w:val="00F22339"/>
    <w:rsid w:val="00F224DC"/>
    <w:rsid w:val="00F227E7"/>
    <w:rsid w:val="00F25C51"/>
    <w:rsid w:val="00F2687F"/>
    <w:rsid w:val="00F26A5E"/>
    <w:rsid w:val="00F27F29"/>
    <w:rsid w:val="00F32D54"/>
    <w:rsid w:val="00F36C54"/>
    <w:rsid w:val="00F418EA"/>
    <w:rsid w:val="00F41A29"/>
    <w:rsid w:val="00F42D56"/>
    <w:rsid w:val="00F44C1C"/>
    <w:rsid w:val="00F518DF"/>
    <w:rsid w:val="00F544DB"/>
    <w:rsid w:val="00F648EA"/>
    <w:rsid w:val="00F6502E"/>
    <w:rsid w:val="00F65459"/>
    <w:rsid w:val="00F65663"/>
    <w:rsid w:val="00F75147"/>
    <w:rsid w:val="00F756C0"/>
    <w:rsid w:val="00F75A40"/>
    <w:rsid w:val="00F77637"/>
    <w:rsid w:val="00F83D76"/>
    <w:rsid w:val="00F8435D"/>
    <w:rsid w:val="00F862E5"/>
    <w:rsid w:val="00F87DD0"/>
    <w:rsid w:val="00F93360"/>
    <w:rsid w:val="00F93FE4"/>
    <w:rsid w:val="00F966B3"/>
    <w:rsid w:val="00F96BB1"/>
    <w:rsid w:val="00F97E4E"/>
    <w:rsid w:val="00FA1A40"/>
    <w:rsid w:val="00FA217B"/>
    <w:rsid w:val="00FA29BE"/>
    <w:rsid w:val="00FB0BC5"/>
    <w:rsid w:val="00FB0BCC"/>
    <w:rsid w:val="00FB0D61"/>
    <w:rsid w:val="00FB3EA7"/>
    <w:rsid w:val="00FC0FE5"/>
    <w:rsid w:val="00FC5B57"/>
    <w:rsid w:val="00FD1ABC"/>
    <w:rsid w:val="00FD7DDF"/>
    <w:rsid w:val="00FE4C92"/>
    <w:rsid w:val="00FE7898"/>
    <w:rsid w:val="00FF0FAA"/>
    <w:rsid w:val="00FF3759"/>
    <w:rsid w:val="00FF4396"/>
    <w:rsid w:val="03385E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DB9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lv-LV" w:eastAsia="en-GB" w:bidi="ar-SA"/>
      </w:rPr>
    </w:rPrDefault>
    <w:pPrDefault>
      <w:pPr>
        <w:spacing w:line="288"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5C51"/>
    <w:rPr>
      <w:lang w:eastAsia="en-US"/>
    </w:rPr>
  </w:style>
  <w:style w:type="paragraph" w:styleId="Heading1">
    <w:name w:val="heading 1"/>
    <w:basedOn w:val="Normal"/>
    <w:next w:val="Normal"/>
    <w:link w:val="Heading1Char"/>
    <w:qFormat/>
    <w:rsid w:val="00F25C51"/>
    <w:pPr>
      <w:numPr>
        <w:numId w:val="8"/>
      </w:numPr>
      <w:outlineLvl w:val="0"/>
    </w:pPr>
    <w:rPr>
      <w:kern w:val="28"/>
    </w:rPr>
  </w:style>
  <w:style w:type="paragraph" w:styleId="Heading2">
    <w:name w:val="heading 2"/>
    <w:basedOn w:val="Normal"/>
    <w:next w:val="Normal"/>
    <w:link w:val="Heading2Char"/>
    <w:qFormat/>
    <w:rsid w:val="00F25C51"/>
    <w:pPr>
      <w:numPr>
        <w:ilvl w:val="1"/>
        <w:numId w:val="8"/>
      </w:numPr>
      <w:outlineLvl w:val="1"/>
    </w:pPr>
  </w:style>
  <w:style w:type="paragraph" w:styleId="Heading3">
    <w:name w:val="heading 3"/>
    <w:basedOn w:val="Normal"/>
    <w:next w:val="Normal"/>
    <w:link w:val="Heading3Char"/>
    <w:qFormat/>
    <w:rsid w:val="00F25C51"/>
    <w:pPr>
      <w:numPr>
        <w:ilvl w:val="2"/>
        <w:numId w:val="8"/>
      </w:numPr>
      <w:outlineLvl w:val="2"/>
    </w:pPr>
  </w:style>
  <w:style w:type="paragraph" w:styleId="Heading4">
    <w:name w:val="heading 4"/>
    <w:basedOn w:val="Normal"/>
    <w:next w:val="Normal"/>
    <w:link w:val="Heading4Char"/>
    <w:qFormat/>
    <w:rsid w:val="00F25C51"/>
    <w:pPr>
      <w:numPr>
        <w:ilvl w:val="3"/>
        <w:numId w:val="8"/>
      </w:numPr>
      <w:outlineLvl w:val="3"/>
    </w:pPr>
  </w:style>
  <w:style w:type="paragraph" w:styleId="Heading5">
    <w:name w:val="heading 5"/>
    <w:basedOn w:val="Normal"/>
    <w:next w:val="Normal"/>
    <w:link w:val="Heading5Char"/>
    <w:qFormat/>
    <w:rsid w:val="00F25C51"/>
    <w:pPr>
      <w:numPr>
        <w:ilvl w:val="4"/>
        <w:numId w:val="8"/>
      </w:numPr>
      <w:outlineLvl w:val="4"/>
    </w:pPr>
  </w:style>
  <w:style w:type="paragraph" w:styleId="Heading6">
    <w:name w:val="heading 6"/>
    <w:basedOn w:val="Normal"/>
    <w:next w:val="Normal"/>
    <w:link w:val="Heading6Char"/>
    <w:qFormat/>
    <w:rsid w:val="00F25C51"/>
    <w:pPr>
      <w:numPr>
        <w:ilvl w:val="5"/>
        <w:numId w:val="8"/>
      </w:numPr>
      <w:outlineLvl w:val="5"/>
    </w:pPr>
  </w:style>
  <w:style w:type="paragraph" w:styleId="Heading7">
    <w:name w:val="heading 7"/>
    <w:basedOn w:val="Normal"/>
    <w:next w:val="Normal"/>
    <w:link w:val="Heading7Char"/>
    <w:qFormat/>
    <w:rsid w:val="00F25C51"/>
    <w:pPr>
      <w:numPr>
        <w:ilvl w:val="6"/>
        <w:numId w:val="8"/>
      </w:numPr>
      <w:outlineLvl w:val="6"/>
    </w:pPr>
  </w:style>
  <w:style w:type="paragraph" w:styleId="Heading8">
    <w:name w:val="heading 8"/>
    <w:basedOn w:val="Normal"/>
    <w:next w:val="Normal"/>
    <w:link w:val="Heading8Char"/>
    <w:qFormat/>
    <w:rsid w:val="00F25C51"/>
    <w:pPr>
      <w:numPr>
        <w:ilvl w:val="7"/>
        <w:numId w:val="8"/>
      </w:numPr>
      <w:outlineLvl w:val="7"/>
    </w:pPr>
  </w:style>
  <w:style w:type="paragraph" w:styleId="Heading9">
    <w:name w:val="heading 9"/>
    <w:basedOn w:val="Normal"/>
    <w:next w:val="Normal"/>
    <w:link w:val="Heading9Char"/>
    <w:qFormat/>
    <w:rsid w:val="00F25C51"/>
    <w:pPr>
      <w:numPr>
        <w:ilvl w:val="8"/>
        <w:numId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lv-LV" w:eastAsia="en-US"/>
    </w:rPr>
  </w:style>
  <w:style w:type="character" w:customStyle="1" w:styleId="Heading2Char">
    <w:name w:val="Heading 2 Char"/>
    <w:basedOn w:val="DefaultParagraphFont"/>
    <w:link w:val="Heading2"/>
    <w:locked/>
    <w:rsid w:val="00D410F0"/>
    <w:rPr>
      <w:lang w:val="lv-LV" w:eastAsia="en-US"/>
    </w:rPr>
  </w:style>
  <w:style w:type="character" w:customStyle="1" w:styleId="Heading3Char">
    <w:name w:val="Heading 3 Char"/>
    <w:basedOn w:val="DefaultParagraphFont"/>
    <w:link w:val="Heading3"/>
    <w:locked/>
    <w:rsid w:val="00CB1536"/>
    <w:rPr>
      <w:lang w:val="lv-LV" w:eastAsia="en-US"/>
    </w:rPr>
  </w:style>
  <w:style w:type="character" w:customStyle="1" w:styleId="Heading4Char">
    <w:name w:val="Heading 4 Char"/>
    <w:basedOn w:val="DefaultParagraphFont"/>
    <w:link w:val="Heading4"/>
    <w:locked/>
    <w:rsid w:val="00CB1536"/>
    <w:rPr>
      <w:lang w:val="lv-LV" w:eastAsia="en-US"/>
    </w:rPr>
  </w:style>
  <w:style w:type="character" w:customStyle="1" w:styleId="Heading5Char">
    <w:name w:val="Heading 5 Char"/>
    <w:basedOn w:val="DefaultParagraphFont"/>
    <w:link w:val="Heading5"/>
    <w:locked/>
    <w:rsid w:val="00CB1536"/>
    <w:rPr>
      <w:lang w:val="lv-LV" w:eastAsia="en-US"/>
    </w:rPr>
  </w:style>
  <w:style w:type="character" w:customStyle="1" w:styleId="Heading6Char">
    <w:name w:val="Heading 6 Char"/>
    <w:basedOn w:val="DefaultParagraphFont"/>
    <w:link w:val="Heading6"/>
    <w:locked/>
    <w:rsid w:val="00CB1536"/>
    <w:rPr>
      <w:lang w:val="lv-LV" w:eastAsia="en-US"/>
    </w:rPr>
  </w:style>
  <w:style w:type="character" w:customStyle="1" w:styleId="Heading7Char">
    <w:name w:val="Heading 7 Char"/>
    <w:basedOn w:val="DefaultParagraphFont"/>
    <w:link w:val="Heading7"/>
    <w:locked/>
    <w:rsid w:val="00CB1536"/>
    <w:rPr>
      <w:lang w:val="lv-LV" w:eastAsia="en-US"/>
    </w:rPr>
  </w:style>
  <w:style w:type="character" w:customStyle="1" w:styleId="Heading8Char">
    <w:name w:val="Heading 8 Char"/>
    <w:basedOn w:val="DefaultParagraphFont"/>
    <w:link w:val="Heading8"/>
    <w:locked/>
    <w:rsid w:val="00CB1536"/>
    <w:rPr>
      <w:lang w:val="lv-LV" w:eastAsia="en-US"/>
    </w:rPr>
  </w:style>
  <w:style w:type="character" w:customStyle="1" w:styleId="Heading9Char">
    <w:name w:val="Heading 9 Char"/>
    <w:basedOn w:val="DefaultParagraphFont"/>
    <w:link w:val="Heading9"/>
    <w:locked/>
    <w:rsid w:val="00CB1536"/>
    <w:rPr>
      <w:lang w:val="lv-LV" w:eastAsia="en-US"/>
    </w:rPr>
  </w:style>
  <w:style w:type="paragraph" w:styleId="Footer">
    <w:name w:val="footer"/>
    <w:basedOn w:val="Normal"/>
    <w:link w:val="FooterChar"/>
    <w:qFormat/>
    <w:rsid w:val="00F25C51"/>
  </w:style>
  <w:style w:type="character" w:customStyle="1" w:styleId="FooterChar">
    <w:name w:val="Footer Char"/>
    <w:basedOn w:val="DefaultParagraphFont"/>
    <w:link w:val="Footer"/>
    <w:locked/>
    <w:rsid w:val="00CB1536"/>
    <w:rPr>
      <w:lang w:val="lv-LV" w:eastAsia="en-US"/>
    </w:rPr>
  </w:style>
  <w:style w:type="paragraph" w:styleId="FootnoteText">
    <w:name w:val="footnote text"/>
    <w:basedOn w:val="Normal"/>
    <w:link w:val="FootnoteTextChar"/>
    <w:qFormat/>
    <w:rsid w:val="00F25C51"/>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lv-LV" w:eastAsia="en-US"/>
    </w:rPr>
  </w:style>
  <w:style w:type="paragraph" w:styleId="Header">
    <w:name w:val="header"/>
    <w:basedOn w:val="Normal"/>
    <w:link w:val="HeaderChar"/>
    <w:qFormat/>
    <w:rsid w:val="00F25C51"/>
  </w:style>
  <w:style w:type="character" w:customStyle="1" w:styleId="HeaderChar">
    <w:name w:val="Header Char"/>
    <w:basedOn w:val="DefaultParagraphFont"/>
    <w:link w:val="Header"/>
    <w:locked/>
    <w:rsid w:val="00CB1536"/>
    <w:rPr>
      <w:lang w:val="lv-LV" w:eastAsia="en-US"/>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F25C51"/>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25C51"/>
    <w:pPr>
      <w:ind w:left="720"/>
    </w:pPr>
    <w:rPr>
      <w:i/>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rsid w:val="00CB27F6"/>
    <w:tblPr>
      <w:tblStyleRowBandSize w:val="1"/>
      <w:tblStyleColBandSize w:val="1"/>
      <w:tblInd w:w="0" w:type="nil"/>
      <w:tblCellMar>
        <w:left w:w="115" w:type="dxa"/>
        <w:right w:w="115" w:type="dxa"/>
      </w:tblCellMar>
    </w:tblPr>
  </w:style>
  <w:style w:type="table" w:customStyle="1" w:styleId="af">
    <w:basedOn w:val="TableNormal"/>
    <w:rsid w:val="00CB27F6"/>
    <w:tblPr>
      <w:tblStyleRowBandSize w:val="1"/>
      <w:tblStyleColBandSize w:val="1"/>
      <w:tblInd w:w="0" w:type="nil"/>
      <w:tblCellMar>
        <w:left w:w="115" w:type="dxa"/>
        <w:right w:w="115" w:type="dxa"/>
      </w:tblCellMar>
    </w:tblPr>
  </w:style>
  <w:style w:type="table" w:customStyle="1" w:styleId="af0">
    <w:basedOn w:val="TableNormal"/>
    <w:rsid w:val="00CB27F6"/>
    <w:tblPr>
      <w:tblStyleRowBandSize w:val="1"/>
      <w:tblStyleColBandSize w:val="1"/>
      <w:tblInd w:w="0" w:type="nil"/>
      <w:tblCellMar>
        <w:left w:w="115" w:type="dxa"/>
        <w:right w:w="115"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8D5E41"/>
    <w:rPr>
      <w:color w:val="605E5C"/>
      <w:shd w:val="clear" w:color="auto" w:fill="E1DFDD"/>
    </w:rPr>
  </w:style>
  <w:style w:type="table" w:styleId="TableGrid">
    <w:name w:val="Table Grid"/>
    <w:basedOn w:val="TableNormal"/>
    <w:uiPriority w:val="39"/>
    <w:rsid w:val="002768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C12E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096188">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11641314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OC@eesc.europa.eu" TargetMode="External"/><Relationship Id="rId18" Type="http://schemas.openxmlformats.org/officeDocument/2006/relationships/header" Target="header3.xml"/><Relationship Id="rId26"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2.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ww.eesc.europa.eu/lv/our-work/opinions-information-reports/opinions/securing-media-freedom-and-diversity-europe-own-initiative-opinio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3" Type="http://schemas.openxmlformats.org/officeDocument/2006/relationships/hyperlink" Target="https://cadmus.eui.eu/server/api/core/bitstreams/6f582946-bb17-49fc-ab81-9a4b79b4d0ce/content" TargetMode="External"/><Relationship Id="rId18" Type="http://schemas.openxmlformats.org/officeDocument/2006/relationships/hyperlink" Target="https://cadmus.eui.eu/server/api/core/bitstreams/6f582946-bb17-49fc-ab81-9a4b79b4d0ce/content" TargetMode="External"/><Relationship Id="rId26" Type="http://schemas.openxmlformats.org/officeDocument/2006/relationships/hyperlink" Target="https://journals.sagepub.com/doi/full/10.1177/14648849231174059" TargetMode="External"/><Relationship Id="rId39" Type="http://schemas.openxmlformats.org/officeDocument/2006/relationships/hyperlink" Target="https://www.ecpmf.eu/mfrr-monitoring-report-2024/" TargetMode="External"/><Relationship Id="rId3" Type="http://schemas.openxmlformats.org/officeDocument/2006/relationships/hyperlink" Target="https://employment-social-affairs.ec.europa.eu/news/occupational-safety-and-health-osh-stocktaking-summit-conclusions-2023-05-17_en" TargetMode="External"/><Relationship Id="rId21" Type="http://schemas.openxmlformats.org/officeDocument/2006/relationships/hyperlink" Target="https://cadmus.eui.eu/bitstream/handle/1814/77028/Media%20Pluralism%20Monitor%20Report_2024.pdf" TargetMode="External"/><Relationship Id="rId34" Type="http://schemas.openxmlformats.org/officeDocument/2006/relationships/hyperlink" Target="https://oshwiki.osha.europa.eu/lv/themes/journalism-and-psychosocial-risk-factors" TargetMode="External"/><Relationship Id="rId42" Type="http://schemas.openxmlformats.org/officeDocument/2006/relationships/hyperlink" Target="https://edition.cnn.com/2024/10/24/media/polish-radio-ai-presenters-scli-intl" TargetMode="External"/><Relationship Id="rId47" Type="http://schemas.openxmlformats.org/officeDocument/2006/relationships/hyperlink" Target="https://cadmus.eui.eu/server/api/core/bitstreams/6f582946-bb17-49fc-ab81-9a4b79b4d0ce/content" TargetMode="External"/><Relationship Id="rId7" Type="http://schemas.openxmlformats.org/officeDocument/2006/relationships/hyperlink" Target="http://data.europa.eu/eli/C/2025/114/oj/lav" TargetMode="External"/><Relationship Id="rId12" Type="http://schemas.openxmlformats.org/officeDocument/2006/relationships/hyperlink" Target="https://cadmus.eui.eu/server/api/core/bitstreams/6f582946-bb17-49fc-ab81-9a4b79b4d0ce/content" TargetMode="External"/><Relationship Id="rId17" Type="http://schemas.openxmlformats.org/officeDocument/2006/relationships/hyperlink" Target="https://transitionsmedia.org/2025/03/27/newtaktaksurvey/" TargetMode="External"/><Relationship Id="rId25" Type="http://schemas.openxmlformats.org/officeDocument/2006/relationships/hyperlink" Target="https://europeanjournalists.org/wp-content/uploads/2025/10/SUJ_Stronger-Minds-Stronger-Media_10.2025-1_compressed-1.pdf" TargetMode="External"/><Relationship Id="rId33" Type="http://schemas.openxmlformats.org/officeDocument/2006/relationships/hyperlink" Target="https://cadmus.eui.eu/bitstream/handle/1814/77028/Media%20Pluralism%20Monitor%20Report_2024.pdf" TargetMode="External"/><Relationship Id="rId38" Type="http://schemas.openxmlformats.org/officeDocument/2006/relationships/hyperlink" Target="https://fom.coe.int/en/accueil" TargetMode="External"/><Relationship Id="rId46" Type="http://schemas.openxmlformats.org/officeDocument/2006/relationships/hyperlink" Target="https://cadmus.eui.eu/server/api/core/bitstreams/6f582946-bb17-49fc-ab81-9a4b79b4d0ce/content" TargetMode="External"/><Relationship Id="rId2" Type="http://schemas.openxmlformats.org/officeDocument/2006/relationships/hyperlink" Target="https://eur-lex.europa.eu/legal-content/LV/TXT/?uri=CELEX%3A52022XC0930%2802%29" TargetMode="External"/><Relationship Id="rId16" Type="http://schemas.openxmlformats.org/officeDocument/2006/relationships/hyperlink" Target="https://ec.europa.eu/eurostat/en/web/products-eurostat-news/-/edn-20200503-1" TargetMode="External"/><Relationship Id="rId20" Type="http://schemas.openxmlformats.org/officeDocument/2006/relationships/hyperlink" Target="https://cmpf.eui.eu/media-pluralism-monitor-2024/" TargetMode="External"/><Relationship Id="rId29" Type="http://schemas.openxmlformats.org/officeDocument/2006/relationships/hyperlink" Target="https://osf.io/9gtpn" TargetMode="External"/><Relationship Id="rId41" Type="http://schemas.openxmlformats.org/officeDocument/2006/relationships/hyperlink" Target="https://rm.coe.int/prems-013425-gbr-2519-annual-report-2025-correction-cartooning/1680b48f7b" TargetMode="External"/><Relationship Id="rId1" Type="http://schemas.openxmlformats.org/officeDocument/2006/relationships/hyperlink" Target="https://eur-lex.europa.eu/legal-content/LV/TXT/?uri=legissum:4623532" TargetMode="External"/><Relationship Id="rId6" Type="http://schemas.openxmlformats.org/officeDocument/2006/relationships/hyperlink" Target="https://op.europa.eu/en/publication-detail/-/publication/bca5a5bd-090a-11ef-a251-01aa75ed71a1/language-en" TargetMode="External"/><Relationship Id="rId11" Type="http://schemas.openxmlformats.org/officeDocument/2006/relationships/hyperlink" Target="https://search.coe.int/cm?i=09000016806415d9" TargetMode="External"/><Relationship Id="rId24" Type="http://schemas.openxmlformats.org/officeDocument/2006/relationships/hyperlink" Target="https://taktak.media/2025/03/27/new-survey-of-europes-journalists-finds-more-than-60-are-forced-to-work-other-jobs/" TargetMode="External"/><Relationship Id="rId32" Type="http://schemas.openxmlformats.org/officeDocument/2006/relationships/hyperlink" Target="https://cadmus.eui.eu/server/api/core/bitstreams/b0fef1e3-043a-5880-93ce-cb3ee9ed5d54/content" TargetMode="External"/><Relationship Id="rId37" Type="http://schemas.openxmlformats.org/officeDocument/2006/relationships/hyperlink" Target="https://www.mfrr.eu/" TargetMode="External"/><Relationship Id="rId40" Type="http://schemas.openxmlformats.org/officeDocument/2006/relationships/hyperlink" Target="https://www.osce.org/files/f/documents/b/0/554098_1.pdf" TargetMode="External"/><Relationship Id="rId45" Type="http://schemas.openxmlformats.org/officeDocument/2006/relationships/hyperlink" Target="https://reutersinstitute.politics.ox.ac.uk/digital-news-report/2024" TargetMode="External"/><Relationship Id="rId5" Type="http://schemas.openxmlformats.org/officeDocument/2006/relationships/hyperlink" Target="https://digital-strategy.ec.europa.eu/en/library/recommendation-protection-safety-and-empowerment-journalists" TargetMode="External"/><Relationship Id="rId15" Type="http://schemas.openxmlformats.org/officeDocument/2006/relationships/hyperlink" Target="https://www.eesc.europa.eu/lv/our-work/opinions-information-reports/opinions/securing-media-freedom-and-diversity-europe-own-initiative-opinion" TargetMode="External"/><Relationship Id="rId23" Type="http://schemas.openxmlformats.org/officeDocument/2006/relationships/hyperlink" Target="https://www.etui.org/topics/health-safety-working-conditions/hesamag/journalism-an-increasingly-precarious-profession/burnout-among-journalists-a-symptom-of-discontent-in-newsrooms" TargetMode="External"/><Relationship Id="rId28" Type="http://schemas.openxmlformats.org/officeDocument/2006/relationships/hyperlink" Target="https://taktak.media/2025/03/27/new-survey-of-europes-journalists-finds-more-than-60-are-forced-to-work-other-jobs/" TargetMode="External"/><Relationship Id="rId36" Type="http://schemas.openxmlformats.org/officeDocument/2006/relationships/hyperlink" Target="https://wan-ifra.org/2025/04/new-survey-finds-europes-journalists-marked-by-burnout-fearful-of-ai-yet-still-passionate-professionals/" TargetMode="External"/><Relationship Id="rId49" Type="http://schemas.openxmlformats.org/officeDocument/2006/relationships/hyperlink" Target="https://rm.coe.int/168070ad5d" TargetMode="External"/><Relationship Id="rId10" Type="http://schemas.openxmlformats.org/officeDocument/2006/relationships/hyperlink" Target="https://cadmus.eui.eu/server/api/core/bitstreams/6f582946-bb17-49fc-ab81-9a4b79b4d0ce/content" TargetMode="External"/><Relationship Id="rId19" Type="http://schemas.openxmlformats.org/officeDocument/2006/relationships/hyperlink" Target="https://www.etuc.org/en/speech/backing-journalists-etuc-stands-efj-collective-bargaining-and-quality-work" TargetMode="External"/><Relationship Id="rId31" Type="http://schemas.openxmlformats.org/officeDocument/2006/relationships/hyperlink" Target="https://cadmus.eui.eu/bitstream/handle/1814/77028/Media%20Pluralism%20Monitor%20Report_2024.pdf" TargetMode="External"/><Relationship Id="rId44" Type="http://schemas.openxmlformats.org/officeDocument/2006/relationships/hyperlink" Target="https://oshwiki.osha.europa.eu/lv/themes/journalism-and-psychosocial-risk-factors" TargetMode="External"/><Relationship Id="rId4" Type="http://schemas.openxmlformats.org/officeDocument/2006/relationships/hyperlink" Target="https://eur-lex.europa.eu/eli/C/2025/2958/oj?eliuri=eli%3AC%3A2025%3A772%3Aoj&amp;locale=lv" TargetMode="External"/><Relationship Id="rId9" Type="http://schemas.openxmlformats.org/officeDocument/2006/relationships/hyperlink" Target="https://www.mfrr.eu/" TargetMode="External"/><Relationship Id="rId14" Type="http://schemas.openxmlformats.org/officeDocument/2006/relationships/hyperlink" Target="https://www.eesc.europa.eu/lv/our-work/opinions-information-reports/opinions/initiative-against-abusive-litigation-targeting-journalists-and-rights-defenders" TargetMode="External"/><Relationship Id="rId22" Type="http://schemas.openxmlformats.org/officeDocument/2006/relationships/hyperlink" Target="https://oshwiki.osha.europa.eu/lv/themes/journalism-and-psychosocial-risk-factors" TargetMode="External"/><Relationship Id="rId27" Type="http://schemas.openxmlformats.org/officeDocument/2006/relationships/hyperlink" Target="https://www.liberties.eu/f/oj-aem" TargetMode="External"/><Relationship Id="rId30" Type="http://schemas.openxmlformats.org/officeDocument/2006/relationships/hyperlink" Target="https://cmpf.eui.eu/wp-content/uploads/2024/02/CMPF_Uncovering-news-deserts-in-Europe_LM4D-final-report.pdf" TargetMode="External"/><Relationship Id="rId35" Type="http://schemas.openxmlformats.org/officeDocument/2006/relationships/hyperlink" Target="https://www.dcu.ie/sites/default/files/inline-files/full_irish-journalists-at-work-11122023-1.pdf" TargetMode="External"/><Relationship Id="rId43" Type="http://schemas.openxmlformats.org/officeDocument/2006/relationships/hyperlink" Target="https://www.vrt.be/vrtnws/nl/2025/06/26/modeblad-elle-gebruikt-nepjournalisten-voor-online-artikels/" TargetMode="External"/><Relationship Id="rId48" Type="http://schemas.openxmlformats.org/officeDocument/2006/relationships/hyperlink" Target="https://www.publicmediaalliance.org/filling-the-gap-left-by-rfe-rl/" TargetMode="External"/><Relationship Id="rId8" Type="http://schemas.openxmlformats.org/officeDocument/2006/relationships/hyperlink" Target="https://fom.coe.int/en/accue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A6WAAD5KZT2Q-293470456-14985</_dlc_DocId>
    <_dlc_DocIdUrl xmlns="1a33af13-4045-4f88-9d7b-618e30f79918">
      <Url>http://dm/eesc/2025/_layouts/15/DocIdRedir.aspx?ID=A6WAAD5KZT2Q-293470456-14985</Url>
      <Description>A6WAAD5KZT2Q-293470456-14985</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2025-11-11T12:00:00+00:00</ProductionDate>
    <DocumentNumber xmlns="aa382cf6-584e-4bd2-bd73-0bac1a20efcb">1400</DocumentNumber>
    <FicheYear xmlns="1a33af13-4045-4f88-9d7b-618e30f79918" xsi:nil="true"/>
    <DossierNumber xmlns="1a33af13-4045-4f88-9d7b-618e30f79918">828</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75</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13</Value>
      <Value>12</Value>
      <Value>8</Value>
      <Value>5</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LV</TermName>
          <TermId xmlns="http://schemas.microsoft.com/office/infopath/2007/PartnerControls">46f7e311-5d9f-4663-b433-18aeccb7ace7</TermId>
        </TermInfo>
      </Terms>
    </DocumentLanguage_0>
    <Rapporteur xmlns="1a33af13-4045-4f88-9d7b-618e30f79918">MORENO DÍAZ &amp; MOOS</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296263</FicheNumber>
    <OriginalSender xmlns="1a33af13-4045-4f88-9d7b-618e30f79918">
      <UserInfo>
        <DisplayName>Gotharde Sintija</DisplayName>
        <AccountId>1508</AccountId>
        <AccountType/>
      </UserInfo>
    </OriginalSender>
    <DocumentPart xmlns="1a33af13-4045-4f88-9d7b-618e30f79918">0</DocumentPart>
    <AdoptionDate xmlns="1a33af13-4045-4f88-9d7b-618e30f79918" xsi:nil="true"/>
    <RequestingService xmlns="1a33af13-4045-4f88-9d7b-618e30f79918">Emploi, affaires sociales, citoyenneté</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a382cf6-584e-4bd2-bd73-0bac1a20efcb">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SOC</TermName>
          <TermId xmlns="http://schemas.microsoft.com/office/infopath/2007/PartnerControls">13795804-ecbd-4ce5-9693-9b8be1981b20</TermId>
        </TermInfo>
      </Terms>
    </DossierName_0>
    <DocumentVersion xmlns="1a33af13-4045-4f88-9d7b-618e30f79918">0</DocumentVersion>
  </documentManagement>
</p:properties>
</file>

<file path=customXml/item4.xml><?xml version="1.0" encoding="utf-8"?>
<ct:contentTypeSchema xmlns:ct="http://schemas.microsoft.com/office/2006/metadata/contentType" xmlns:ma="http://schemas.microsoft.com/office/2006/metadata/properties/metaAttributes" ct:_="" ma:_="" ma:contentTypeName="DM Document" ma:contentTypeID="0x010100EA97B91038054C99906057A708A1480A00FD26272E6D350E4BA98D090F484731A0" ma:contentTypeVersion="4" ma:contentTypeDescription="Defines the documents for Document Manager V2" ma:contentTypeScope="" ma:versionID="06c6d1ca1f0ecd2b8160ea2f3986497c">
  <xsd:schema xmlns:xsd="http://www.w3.org/2001/XMLSchema" xmlns:xs="http://www.w3.org/2001/XMLSchema" xmlns:p="http://schemas.microsoft.com/office/2006/metadata/properties" xmlns:ns2="1a33af13-4045-4f88-9d7b-618e30f79918" xmlns:ns3="http://schemas.microsoft.com/sharepoint/v3/fields" xmlns:ns4="aa382cf6-584e-4bd2-bd73-0bac1a20efcb" targetNamespace="http://schemas.microsoft.com/office/2006/metadata/properties" ma:root="true" ma:fieldsID="bef8e357c2859f419fb9a63c872f6d08" ns2:_="" ns3:_="" ns4:_="">
    <xsd:import namespace="1a33af13-4045-4f88-9d7b-618e30f79918"/>
    <xsd:import namespace="http://schemas.microsoft.com/sharepoint/v3/fields"/>
    <xsd:import namespace="aa382cf6-584e-4bd2-bd73-0bac1a20efcb"/>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a382cf6-584e-4bd2-bd73-0bac1a20efcb"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ACAB50-C39F-4ED6-A188-9DF50532B5D6}">
  <ds:schemaRefs>
    <ds:schemaRef ds:uri="http://schemas.microsoft.com/sharepoint/events"/>
  </ds:schemaRefs>
</ds:datastoreItem>
</file>

<file path=customXml/itemProps2.xml><?xml version="1.0" encoding="utf-8"?>
<ds:datastoreItem xmlns:ds="http://schemas.openxmlformats.org/officeDocument/2006/customXml" ds:itemID="{4A4A82EC-6C04-4430-A6A0-EE958CD29880}">
  <ds:schemaRefs>
    <ds:schemaRef ds:uri="http://schemas.microsoft.com/sharepoint/v3/contenttype/forms"/>
  </ds:schemaRefs>
</ds:datastoreItem>
</file>

<file path=customXml/itemProps3.xml><?xml version="1.0" encoding="utf-8"?>
<ds:datastoreItem xmlns:ds="http://schemas.openxmlformats.org/officeDocument/2006/customXml" ds:itemID="{591FCA14-5975-49A3-970F-F37CFC783261}">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a382cf6-584e-4bd2-bd73-0bac1a20efcb"/>
  </ds:schemaRefs>
</ds:datastoreItem>
</file>

<file path=customXml/itemProps4.xml><?xml version="1.0" encoding="utf-8"?>
<ds:datastoreItem xmlns:ds="http://schemas.openxmlformats.org/officeDocument/2006/customXml" ds:itemID="{46D9721E-0A8F-4FB5-9393-02EAFC94C0F8}"/>
</file>

<file path=customXml/itemProps5.xml><?xml version="1.0" encoding="utf-8"?>
<ds:datastoreItem xmlns:ds="http://schemas.openxmlformats.org/officeDocument/2006/customXml" ds:itemID="{80938EAF-B800-437D-ABF6-F0C68959E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2492</Words>
  <Characters>14205</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Labour rights for journalists</vt:lpstr>
    </vt:vector>
  </TitlesOfParts>
  <Company/>
  <LinksUpToDate>false</LinksUpToDate>
  <CharactersWithSpaces>16664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Žurnālistu darba tiesības</dc:title>
  <dc:subject>Draft opinion</dc:subject>
  <dc:creator/>
  <cp:keywords>EESC-2025-01400-00-00-PA-TRA-EN</cp:keywords>
  <dc:description>Rapporteur: - MORENO DÍAZ &amp; MOOS Original language: - EN Date of document: - 05/08/2025 Date of meeting: - 06/11/2025 External documents: -  Administrator responsible: - MME BEDATON June</dc:description>
  <cp:lastModifiedBy/>
  <cp:revision>13</cp:revision>
  <dcterms:created xsi:type="dcterms:W3CDTF">2025-11-10T11:02:00Z</dcterms:created>
  <dcterms:modified xsi:type="dcterms:W3CDTF">2025-11-11T12:50:00Z</dcterms:modified>
  <cp:category>SOC/828</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10/11/2025, 05/08/2025, 19/06/2025, 15/04/2025, 12/04/2024, 17/05/2022, 04/11/2015, 27/10/2015, 19/10/2015, 09/10/2015, 05/10/2015, 05/10/2015, 26/08/2015, 26/08/2015, 25/08/2015</vt:lpwstr>
  </property>
  <property fmtid="{D5CDD505-2E9C-101B-9397-08002B2CF9AE}" pid="4" name="Pref_Time">
    <vt:lpwstr>12:00:54, 11:53:27, 09:17:10, 15:05:12, 12:08:09, 12:59:17, 12/10/07, 14:44:02, 16/04/16, 14:09:30, 16:24:55, 16:04:02, 08:56:14, 07:27:56, 17:31:53</vt:lpwstr>
  </property>
  <property fmtid="{D5CDD505-2E9C-101B-9397-08002B2CF9AE}" pid="5" name="Pref_User">
    <vt:lpwstr>pacup, magro, amett, pacup, enied, enied, ssex, enied, amett, tvoc, mreg, mreg, amett, enied, ssex</vt:lpwstr>
  </property>
  <property fmtid="{D5CDD505-2E9C-101B-9397-08002B2CF9AE}" pid="6" name="Pref_FileName">
    <vt:lpwstr>EESC-2025-01400-00-00-AS-TRA-EN-CRR.docx, eesc-2025-01400-00-00-pa-ori.docx, EESC-2025-01400-00-00-APA-ORI.docx, EESC-2025-01400-00-00-DT-ORI.docx, COR-EESC-2024-01326-00-00-ADMIN-ORI.docx, COR-EESC-2022-02586-00-00-ADMIN-ORI.docx, EESC-2015-05408-00-00-P</vt:lpwstr>
  </property>
  <property fmtid="{D5CDD505-2E9C-101B-9397-08002B2CF9AE}" pid="7" name="ContentTypeId">
    <vt:lpwstr>0x010100EA97B91038054C99906057A708A1480A00FD26272E6D350E4BA98D090F484731A0</vt:lpwstr>
  </property>
  <property fmtid="{D5CDD505-2E9C-101B-9397-08002B2CF9AE}" pid="8" name="_dlc_DocIdItemGuid">
    <vt:lpwstr>9af31b00-f21d-4d07-80e7-667b6a807f64</vt:lpwstr>
  </property>
  <property fmtid="{D5CDD505-2E9C-101B-9397-08002B2CF9AE}" pid="9" name="AvailableTranslations">
    <vt:lpwstr>34;#IT|0774613c-01ed-4e5d-a25d-11d2388de825;#28;#SV|c2ed69e7-a339-43d7-8f22-d93680a92aa0;#5;#EN|f2175f21-25d7-44a3-96da-d6a61b075e1b;#40;#DA|5d49c027-8956-412b-aa16-e85a0f96ad0e;#42;#EL|6d4f4d51-af9b-4650-94b4-4276bee85c91;#36;#RO|feb747a2-64cd-4299-af12-4833ddc30497;#50;#HR|2f555653-ed1a-4fe6-8362-9082d95989e5;#47;#BG|1a1b3951-7821-4e6a-85f5-5673fc08bd2c;#33;#PT|50ccc04a-eadd-42ae-a0cb-acaf45f812ba;#12;#FR|d2afafd3-4c81-4f60-8f52-ee33f2f54ff3;#27;#NL|55c6556c-b4f4-441d-9acf-c498d4f838bd;#39;#LV|46f7e311-5d9f-4663-b433-18aeccb7ace7;#43;#GA|762d2456-c427-4ecb-b312-af3dad8e258c;#37;#HU|6b229040-c589-4408-b4c1-4285663d20a8;#32;#MT|7df99101-6854-4a26-b53a-b88c0da02c26;#46;#SK|46d9fce0-ef79-4f71-b89b-cd6aa82426b8;#29;#CS|72f9705b-0217-4fd3-bea2-cbc7ed80e26e;#24;#PL|1e03da61-4678-4e07-b136-b5024ca9197b;#23;#DE|f6b31e5a-26fa-4935-b661-318e46daf27e;#16;#ES|e7a6b05b-ae16-40c8-add9-68b64b03aeba;#35;#FI|87606a43-d45f-42d6-b8c9-e1a3457db5b7;#30;#LT|a7ff5ce7-6123-4f68-865a-a57c31810414;#31;#SL|98a412ae-eb01-49e9-ae3d-585a81724cfc;#41;#ET|ff6c3f4c-b02c-4c3c-ab07-2c37995a7a0a</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SOC|13795804-ecbd-4ce5-9693-9b8be1981b20</vt:lpwstr>
  </property>
  <property fmtid="{D5CDD505-2E9C-101B-9397-08002B2CF9AE}" pid="13" name="DocumentSource_0">
    <vt:lpwstr>EESC|422833ec-8d7e-4e65-8e4e-8bed07ffb729</vt:lpwstr>
  </property>
  <property fmtid="{D5CDD505-2E9C-101B-9397-08002B2CF9AE}" pid="14" name="DocumentNumber">
    <vt:i4>1400</vt:i4>
  </property>
  <property fmtid="{D5CDD505-2E9C-101B-9397-08002B2CF9AE}" pid="15" name="FicheYear">
    <vt:i4>2025</vt:i4>
  </property>
  <property fmtid="{D5CDD505-2E9C-101B-9397-08002B2CF9AE}" pid="16" name="DocumentVersion">
    <vt:i4>0</vt:i4>
  </property>
  <property fmtid="{D5CDD505-2E9C-101B-9397-08002B2CF9AE}" pid="17" name="DossierNumber">
    <vt:i4>828</vt:i4>
  </property>
  <property fmtid="{D5CDD505-2E9C-101B-9397-08002B2CF9AE}" pid="18" name="DocumentStatus">
    <vt:lpwstr>13;#TRA|150d2a88-1431-44e6-a8ca-0bb753ab8672</vt:lpwstr>
  </property>
  <property fmtid="{D5CDD505-2E9C-101B-9397-08002B2CF9AE}" pid="19" name="DossierName">
    <vt:lpwstr>75;#SOC|13795804-ecbd-4ce5-9693-9b8be1981b20</vt:lpwstr>
  </property>
  <property fmtid="{D5CDD505-2E9C-101B-9397-08002B2CF9AE}" pid="20" name="RequestingService">
    <vt:lpwstr>Emploi, affaires sociales, citoyenneté</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EN|f2175f21-25d7-44a3-96da-d6a61b075e1b;DA|5d49c027-8956-412b-aa16-e85a0f96ad0e;SL|98a412ae-eb01-49e9-ae3d-585a81724cfc</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67;#SPL-CES|32d8cb1f-c9ec-4365-95c7-8385a18618ac;#75;#SOC|13795804-ecbd-4ce5-9693-9b8be1981b20;#31;#SL|98a412ae-eb01-49e9-ae3d-585a81724cfc;#13;#TRA|150d2a88-1431-44e6-a8ca-0bb753ab8672;#15;#Unrestricted|826e22d7-d029-4ec0-a450-0c28ff673572;#8;#Final|ea5e6674-7b27-4bac-b091-73adbb394efe;#126;#AS|c7a748eb-f6f2-4d9d-8b5a-af0cafebc224;#40;#DA|5d49c027-8956-412b-aa16-e85a0f96ad0e;#5;#EN|f2175f21-25d7-44a3-96da-d6a61b075e1b;#1;#EESC|422833ec-8d7e-4e65-8e4e-8bed07ffb729</vt:lpwstr>
  </property>
  <property fmtid="{D5CDD505-2E9C-101B-9397-08002B2CF9AE}" pid="31" name="Rapporteur">
    <vt:lpwstr>MORENO DÍAZ &amp; MOOS</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296263</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8" name="DocumentType">
    <vt:lpwstr>126;#AS|c7a748eb-f6f2-4d9d-8b5a-af0cafebc224</vt:lpwstr>
  </property>
  <property fmtid="{D5CDD505-2E9C-101B-9397-08002B2CF9AE}" pid="39" name="DocumentLanguage">
    <vt:lpwstr>39;#LV|46f7e311-5d9f-4663-b433-18aeccb7ace7</vt:lpwstr>
  </property>
  <property fmtid="{D5CDD505-2E9C-101B-9397-08002B2CF9AE}" pid="40" name="_docset_NoMedatataSyncRequired">
    <vt:lpwstr>False</vt:lpwstr>
  </property>
  <property fmtid="{D5CDD505-2E9C-101B-9397-08002B2CF9AE}" pid="41" name="DocumentLanguage_0">
    <vt:lpwstr>EN|f2175f21-25d7-44a3-96da-d6a61b075e1b</vt:lpwstr>
  </property>
</Properties>
</file>