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229C9" w14:textId="69FD7FBE" w:rsidR="00646AC2" w:rsidRPr="00DD5334" w:rsidRDefault="00202AFC" w:rsidP="00BC1806">
      <w:pPr>
        <w:overflowPunct/>
        <w:adjustRightInd/>
        <w:jc w:val="center"/>
        <w:textAlignment w:val="auto"/>
      </w:pPr>
      <w:r>
        <w:rPr>
          <w:noProof/>
        </w:rPr>
        <w:drawing>
          <wp:inline distT="0" distB="0" distL="0" distR="0" wp14:anchorId="61F4947B" wp14:editId="43713B52">
            <wp:extent cx="1792605" cy="1241425"/>
            <wp:effectExtent l="0" t="0" r="0" b="0"/>
            <wp:docPr id="2" name="Picture 2" title="EESCLogo_GA"/>
            <wp:cNvGraphicFramePr/>
            <a:graphic xmlns:a="http://schemas.openxmlformats.org/drawingml/2006/main">
              <a:graphicData uri="http://schemas.openxmlformats.org/drawingml/2006/picture">
                <pic:pic xmlns:pic="http://schemas.openxmlformats.org/drawingml/2006/picture">
                  <pic:nvPicPr>
                    <pic:cNvPr id="2" name="Picture 2" title="EESCLogo_GA"/>
                    <pic:cNvPicPr/>
                  </pic:nvPicPr>
                  <pic:blipFill>
                    <a:blip r:embed="rId12"/>
                    <a:stretch>
                      <a:fillRect/>
                    </a:stretch>
                  </pic:blipFill>
                  <pic:spPr>
                    <a:xfrm>
                      <a:off x="0" y="0"/>
                      <a:ext cx="1792605" cy="1241425"/>
                    </a:xfrm>
                    <a:prstGeom prst="rect">
                      <a:avLst/>
                    </a:prstGeom>
                  </pic:spPr>
                </pic:pic>
              </a:graphicData>
            </a:graphic>
          </wp:inline>
        </w:drawing>
      </w:r>
      <w:r w:rsidR="00ED18B9">
        <w:rPr>
          <w:noProof/>
          <w:sz w:val="20"/>
        </w:rPr>
        <mc:AlternateContent>
          <mc:Choice Requires="wps">
            <w:drawing>
              <wp:anchor distT="0" distB="0" distL="114300" distR="114300" simplePos="0" relativeHeight="251661312" behindDoc="1" locked="0" layoutInCell="0" allowOverlap="1" wp14:anchorId="572791BF" wp14:editId="3D1A9CC0">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7E995" w14:textId="77777777" w:rsidR="00DB53C1" w:rsidRPr="00260E65" w:rsidRDefault="00DB53C1">
                            <w:pPr>
                              <w:jc w:val="center"/>
                              <w:rPr>
                                <w:rFonts w:ascii="Arial" w:hAnsi="Arial" w:cs="Arial"/>
                                <w:b/>
                                <w:bCs/>
                                <w:sz w:val="48"/>
                              </w:rPr>
                            </w:pPr>
                            <w:r>
                              <w:rPr>
                                <w:rFonts w:ascii="Arial" w:hAnsi="Arial"/>
                                <w:b/>
                                <w:sz w:val="48"/>
                              </w:rPr>
                              <w:t>GA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2791BF" id="_x0000_t202" coordsize="21600,21600" o:spt="202" path="m,l,21600r21600,l21600,xe">
                <v:stroke joinstyle="miter"/>
                <v:path gradientshapeok="t" o:connecttype="rect"/>
              </v:shapetype>
              <v:shape id="Text Box 17" o:spid="_x0000_s1026" type="#_x0000_t202" style="position:absolute;left:0;text-align:left;margin-left:533pt;margin-top:793.8pt;width:51pt;height:31.2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" o:allowincell="f" filled="f" stroked="f">
                <v:textbox>
                  <w:txbxContent>
                    <w:p w14:paraId="3F07E995" w14:textId="77777777" w:rsidR="00DB53C1" w:rsidRPr="00260E65" w:rsidRDefault="00DB53C1">
                      <w:pPr>
                        <w:jc w:val="center"/>
                        <w:rPr>
                          <w:rFonts w:ascii="Arial" w:hAnsi="Arial" w:cs="Arial"/>
                          <w:b/>
                          <w:bCs/>
                          <w:sz w:val="48"/>
                        </w:rPr>
                      </w:pPr>
                      <w:r>
                        <w:rPr>
                          <w:rFonts w:ascii="Arial" w:hAnsi="Arial"/>
                          <w:b/>
                          <w:sz w:val="48"/>
                        </w:rPr>
                        <w:t>GA</w:t>
                      </w:r>
                    </w:p>
                  </w:txbxContent>
                </v:textbox>
                <w10:wrap anchorx="page" anchory="page"/>
              </v:shape>
            </w:pict>
          </mc:Fallback>
        </mc:AlternateContent>
      </w:r>
    </w:p>
    <w:p w14:paraId="058B9A77" w14:textId="77777777" w:rsidR="003E0EB4" w:rsidRPr="00AD4074" w:rsidRDefault="003E0EB4" w:rsidP="00BC1806">
      <w:pPr>
        <w:overflowPunct/>
        <w:adjustRightInd/>
        <w:jc w:val="left"/>
        <w:textAlignment w:val="auto"/>
      </w:pPr>
    </w:p>
    <w:p w14:paraId="6E5229CA" w14:textId="6C548330" w:rsidR="00646AC2" w:rsidRPr="00AD4074" w:rsidRDefault="00597D56" w:rsidP="00BC1806">
      <w:pPr>
        <w:overflowPunct/>
        <w:adjustRightInd/>
        <w:jc w:val="right"/>
        <w:textAlignment w:val="auto"/>
      </w:pPr>
      <w:r>
        <w:rPr>
          <w:b/>
        </w:rPr>
        <w:t>TEN/835</w:t>
      </w:r>
    </w:p>
    <w:p w14:paraId="6E5229CB" w14:textId="2789B8DE" w:rsidR="00563C84" w:rsidRPr="00AD4074" w:rsidRDefault="00597D56" w:rsidP="00BC1806">
      <w:pPr>
        <w:overflowPunct/>
        <w:adjustRightInd/>
        <w:jc w:val="right"/>
        <w:textAlignment w:val="auto"/>
      </w:pPr>
      <w:r>
        <w:rPr>
          <w:b/>
        </w:rPr>
        <w:t>Gníomh AE um an spás</w:t>
      </w:r>
    </w:p>
    <w:p w14:paraId="6E5229CC" w14:textId="77777777" w:rsidR="009B30AA" w:rsidRPr="00AD4074" w:rsidRDefault="009B30AA" w:rsidP="00BC1806">
      <w:pPr>
        <w:overflowPunct/>
        <w:adjustRightInd/>
        <w:textAlignment w:val="auto"/>
      </w:pPr>
    </w:p>
    <w:p w14:paraId="6E5229CD" w14:textId="77777777" w:rsidR="009B30AA" w:rsidRPr="00AD4074" w:rsidRDefault="009B30AA" w:rsidP="00BC1806">
      <w:pPr>
        <w:overflowPunct/>
        <w:adjustRightInd/>
        <w:textAlignment w:val="auto"/>
      </w:pPr>
    </w:p>
    <w:p w14:paraId="14C229D4" w14:textId="50524DA8" w:rsidR="0061311D" w:rsidRPr="00AD4074" w:rsidRDefault="00AE407E" w:rsidP="00BC1806">
      <w:pPr>
        <w:overflowPunct/>
        <w:adjustRightInd/>
        <w:jc w:val="center"/>
        <w:textAlignment w:val="auto"/>
        <w:rPr>
          <w:b/>
          <w:bCs/>
          <w:sz w:val="28"/>
          <w:szCs w:val="28"/>
        </w:rPr>
      </w:pPr>
      <w:r>
        <w:rPr>
          <w:b/>
          <w:sz w:val="28"/>
        </w:rPr>
        <w:t>TUAIRIM</w:t>
      </w:r>
    </w:p>
    <w:p w14:paraId="38473EEC" w14:textId="77777777" w:rsidR="0061311D" w:rsidRPr="00AD4074" w:rsidRDefault="0061311D" w:rsidP="00BC1806">
      <w:pPr>
        <w:overflowPunct/>
        <w:adjustRightInd/>
        <w:jc w:val="center"/>
        <w:textAlignment w:val="auto"/>
      </w:pPr>
    </w:p>
    <w:p w14:paraId="7C7E984F" w14:textId="65844C68" w:rsidR="0061311D" w:rsidRPr="00AD4074" w:rsidRDefault="004B4A7D" w:rsidP="00BC1806">
      <w:pPr>
        <w:overflowPunct/>
        <w:adjustRightInd/>
        <w:jc w:val="center"/>
        <w:textAlignment w:val="auto"/>
      </w:pPr>
      <w:r>
        <w:t>An Rannóg um Iompar, Fuinneamh, Bonneagar agus an tSochaí Faisnéise</w:t>
      </w:r>
    </w:p>
    <w:p w14:paraId="74BA78CD" w14:textId="77777777" w:rsidR="0061311D" w:rsidRPr="00AD4074" w:rsidRDefault="0061311D" w:rsidP="00BC1806">
      <w:pPr>
        <w:overflowPunct/>
        <w:adjustRightInd/>
        <w:jc w:val="center"/>
        <w:textAlignment w:val="auto"/>
      </w:pPr>
    </w:p>
    <w:p w14:paraId="11068861" w14:textId="000FB37F" w:rsidR="0061311D" w:rsidRPr="00AD4074" w:rsidRDefault="00C04CB7" w:rsidP="00BC1806">
      <w:pPr>
        <w:overflowPunct/>
        <w:adjustRightInd/>
        <w:jc w:val="center"/>
        <w:textAlignment w:val="auto"/>
        <w:rPr>
          <w:b/>
          <w:bCs/>
        </w:rPr>
      </w:pPr>
      <w:r>
        <w:rPr>
          <w:b/>
        </w:rPr>
        <w:t>Togra le haghaidh Rialachán ó Pharlaimint na hEorpa agus ón gComhairle maidir le sábháilteacht, athléimneacht agus inbhuanaitheacht gníomhaíochtaí spáis san Aontas</w:t>
      </w:r>
    </w:p>
    <w:p w14:paraId="6E5229CE" w14:textId="63B89DFB" w:rsidR="00646AC2" w:rsidRPr="00AD4074" w:rsidRDefault="00AE407E" w:rsidP="00BC1806">
      <w:pPr>
        <w:overflowPunct/>
        <w:adjustRightInd/>
        <w:jc w:val="center"/>
        <w:textAlignment w:val="auto"/>
      </w:pPr>
      <w:r>
        <w:t xml:space="preserve">(COM(2025) 335 </w:t>
      </w:r>
      <w:proofErr w:type="spellStart"/>
      <w:r>
        <w:t>final</w:t>
      </w:r>
      <w:proofErr w:type="spellEnd"/>
      <w:r>
        <w:t xml:space="preserve"> - 2025/0335 (COD))</w:t>
      </w:r>
    </w:p>
    <w:p w14:paraId="6E5229CF" w14:textId="77777777" w:rsidR="009B30AA" w:rsidRPr="00AD4074" w:rsidRDefault="009B30AA" w:rsidP="00BC1806">
      <w:pPr>
        <w:overflowPunct/>
        <w:adjustRightInd/>
        <w:jc w:val="center"/>
        <w:textAlignment w:val="auto"/>
      </w:pPr>
    </w:p>
    <w:tbl>
      <w:tblPr>
        <w:tblpPr w:leftFromText="181" w:rightFromText="181" w:tblpYSpec="bottom"/>
        <w:tblOverlap w:val="never"/>
        <w:tblW w:w="9289" w:type="dxa"/>
        <w:tblLayout w:type="fixed"/>
        <w:tblLook w:val="04A0" w:firstRow="1" w:lastRow="0" w:firstColumn="1" w:lastColumn="0" w:noHBand="0" w:noVBand="1"/>
      </w:tblPr>
      <w:tblGrid>
        <w:gridCol w:w="3119"/>
        <w:gridCol w:w="6170"/>
      </w:tblGrid>
      <w:tr w:rsidR="00AE407E" w:rsidRPr="00AD4074" w14:paraId="6E5229D9" w14:textId="77777777" w:rsidTr="00E17E8F">
        <w:tc>
          <w:tcPr>
            <w:tcW w:w="3119" w:type="dxa"/>
          </w:tcPr>
          <w:p w14:paraId="6E5229D7" w14:textId="71F58BBE" w:rsidR="00AE407E" w:rsidRPr="00AD4074" w:rsidRDefault="00AE407E" w:rsidP="00BC1806">
            <w:pPr>
              <w:overflowPunct/>
              <w:adjustRightInd/>
              <w:jc w:val="left"/>
              <w:textAlignment w:val="auto"/>
              <w:rPr>
                <w:szCs w:val="22"/>
              </w:rPr>
            </w:pPr>
            <w:r>
              <w:t>Teagmháil</w:t>
            </w:r>
          </w:p>
        </w:tc>
        <w:tc>
          <w:tcPr>
            <w:tcW w:w="6170" w:type="dxa"/>
          </w:tcPr>
          <w:p w14:paraId="6E5229D8" w14:textId="0CBA7F4D" w:rsidR="00AE407E" w:rsidRPr="004169CE" w:rsidRDefault="00F0698F" w:rsidP="00BC1806">
            <w:pPr>
              <w:overflowPunct/>
              <w:adjustRightInd/>
              <w:jc w:val="left"/>
              <w:textAlignment w:val="auto"/>
              <w:rPr>
                <w:szCs w:val="22"/>
              </w:rPr>
            </w:pPr>
            <w:hyperlink r:id="rId13" w:history="1">
              <w:r w:rsidR="00202AFC">
                <w:rPr>
                  <w:rStyle w:val="Hyperlink"/>
                </w:rPr>
                <w:t>ten@eesc.europa.eu</w:t>
              </w:r>
            </w:hyperlink>
          </w:p>
        </w:tc>
      </w:tr>
      <w:tr w:rsidR="00AE407E" w:rsidRPr="00AD4074" w14:paraId="6E5229DC" w14:textId="77777777" w:rsidTr="00E17E8F">
        <w:tc>
          <w:tcPr>
            <w:tcW w:w="3119" w:type="dxa"/>
          </w:tcPr>
          <w:p w14:paraId="6E5229DA" w14:textId="49F7DF9D" w:rsidR="00AE407E" w:rsidRPr="00AD4074" w:rsidRDefault="00AE407E" w:rsidP="00BC1806">
            <w:pPr>
              <w:overflowPunct/>
              <w:adjustRightInd/>
              <w:jc w:val="left"/>
              <w:textAlignment w:val="auto"/>
              <w:rPr>
                <w:szCs w:val="22"/>
              </w:rPr>
            </w:pPr>
            <w:r>
              <w:t>Riarthóir</w:t>
            </w:r>
          </w:p>
        </w:tc>
        <w:tc>
          <w:tcPr>
            <w:tcW w:w="6170" w:type="dxa"/>
          </w:tcPr>
          <w:p w14:paraId="6E5229DB" w14:textId="6B086871" w:rsidR="00AE407E" w:rsidRPr="00AD4074" w:rsidRDefault="00AE407E" w:rsidP="00BC1806">
            <w:pPr>
              <w:overflowPunct/>
              <w:adjustRightInd/>
              <w:jc w:val="left"/>
              <w:textAlignment w:val="auto"/>
              <w:rPr>
                <w:szCs w:val="22"/>
              </w:rPr>
            </w:pPr>
            <w:proofErr w:type="spellStart"/>
            <w:r>
              <w:t>Giorgia</w:t>
            </w:r>
            <w:proofErr w:type="spellEnd"/>
            <w:r>
              <w:t xml:space="preserve"> BORDIGNON</w:t>
            </w:r>
          </w:p>
        </w:tc>
      </w:tr>
      <w:tr w:rsidR="00AE407E" w:rsidRPr="00AD4074" w14:paraId="6E5229DF" w14:textId="77777777" w:rsidTr="00E17E8F">
        <w:tc>
          <w:tcPr>
            <w:tcW w:w="3119" w:type="dxa"/>
          </w:tcPr>
          <w:p w14:paraId="6E5229DD" w14:textId="77777777" w:rsidR="00AE407E" w:rsidRPr="00AD4074" w:rsidRDefault="00AE407E" w:rsidP="00BC1806">
            <w:pPr>
              <w:overflowPunct/>
              <w:adjustRightInd/>
              <w:jc w:val="left"/>
              <w:textAlignment w:val="auto"/>
              <w:rPr>
                <w:szCs w:val="22"/>
              </w:rPr>
            </w:pPr>
            <w:r>
              <w:t>Dáta an doiciméid</w:t>
            </w:r>
          </w:p>
        </w:tc>
        <w:tc>
          <w:tcPr>
            <w:tcW w:w="6170" w:type="dxa"/>
          </w:tcPr>
          <w:p w14:paraId="6E5229DE" w14:textId="61B63290" w:rsidR="00AE407E" w:rsidRPr="00AD4074" w:rsidRDefault="00BC1806" w:rsidP="00BC1806">
            <w:pPr>
              <w:overflowPunct/>
              <w:adjustRightInd/>
              <w:jc w:val="left"/>
              <w:textAlignment w:val="auto"/>
              <w:rPr>
                <w:szCs w:val="22"/>
              </w:rPr>
            </w:pPr>
            <w:r>
              <w:t>14/11/2025</w:t>
            </w:r>
          </w:p>
        </w:tc>
      </w:tr>
    </w:tbl>
    <w:p w14:paraId="3F181471" w14:textId="1F740CD2" w:rsidR="00B3365D" w:rsidRPr="00AD4074" w:rsidRDefault="004B4A7D" w:rsidP="00BC1806">
      <w:pPr>
        <w:overflowPunct/>
        <w:adjustRightInd/>
        <w:jc w:val="center"/>
        <w:textAlignment w:val="auto"/>
        <w:rPr>
          <w:b/>
          <w:bCs/>
        </w:rPr>
      </w:pPr>
      <w:r>
        <w:t xml:space="preserve">Rapóirtéir: </w:t>
      </w:r>
      <w:proofErr w:type="spellStart"/>
      <w:r>
        <w:rPr>
          <w:b/>
        </w:rPr>
        <w:t>Angelo</w:t>
      </w:r>
      <w:proofErr w:type="spellEnd"/>
      <w:r>
        <w:rPr>
          <w:b/>
        </w:rPr>
        <w:t xml:space="preserve"> PAGLIARA</w:t>
      </w:r>
    </w:p>
    <w:p w14:paraId="3FE5ED98" w14:textId="7A55DFC1" w:rsidR="009F4871" w:rsidRPr="00F86913" w:rsidRDefault="009F4871" w:rsidP="00BC1806">
      <w:pPr>
        <w:overflowPunct/>
        <w:adjustRightInd/>
        <w:jc w:val="center"/>
        <w:textAlignment w:val="auto"/>
      </w:pPr>
    </w:p>
    <w:p w14:paraId="4B75EF2A" w14:textId="77777777" w:rsidR="009F4871" w:rsidRPr="00DD5334" w:rsidRDefault="009F4871" w:rsidP="00BC1806">
      <w:pPr>
        <w:overflowPunct/>
        <w:adjustRightInd/>
        <w:jc w:val="center"/>
        <w:textAlignment w:val="auto"/>
        <w:rPr>
          <w:bCs/>
        </w:rPr>
      </w:pPr>
    </w:p>
    <w:p w14:paraId="6E5229E3" w14:textId="51F8483F" w:rsidR="00646AC2" w:rsidRPr="00AD4074" w:rsidRDefault="00646AC2" w:rsidP="00BC1806">
      <w:pPr>
        <w:overflowPunct/>
        <w:adjustRightInd/>
        <w:jc w:val="center"/>
        <w:textAlignment w:val="auto"/>
        <w:sectPr w:rsidR="00646AC2" w:rsidRPr="00AD4074" w:rsidSect="008730E3">
          <w:headerReference w:type="even" r:id="rId14"/>
          <w:headerReference w:type="default" r:id="rId15"/>
          <w:footerReference w:type="even" r:id="rId16"/>
          <w:footerReference w:type="default" r:id="rId17"/>
          <w:headerReference w:type="first" r:id="rId18"/>
          <w:footerReference w:type="first" r:id="rId19"/>
          <w:pgSz w:w="11907" w:h="16839" w:code="9"/>
          <w:pgMar w:top="1417" w:right="1417" w:bottom="1417" w:left="1417" w:header="709" w:footer="709" w:gutter="0"/>
          <w:pgNumType w:start="1"/>
          <w:cols w:space="720"/>
          <w:docGrid w:linePitch="299"/>
        </w:sectPr>
      </w:pPr>
    </w:p>
    <w:tbl>
      <w:tblPr>
        <w:tblW w:w="0" w:type="auto"/>
        <w:tblLook w:val="04A0" w:firstRow="1" w:lastRow="0" w:firstColumn="1" w:lastColumn="0" w:noHBand="0" w:noVBand="1"/>
      </w:tblPr>
      <w:tblGrid>
        <w:gridCol w:w="3369"/>
        <w:gridCol w:w="5704"/>
      </w:tblGrid>
      <w:tr w:rsidR="00B757F4" w:rsidRPr="00AD4074" w14:paraId="05697181" w14:textId="77777777" w:rsidTr="00E17E8F">
        <w:tc>
          <w:tcPr>
            <w:tcW w:w="3369" w:type="dxa"/>
          </w:tcPr>
          <w:p w14:paraId="4C1C7B8B" w14:textId="45C2247C" w:rsidR="005A7B8E" w:rsidRPr="00AD4074" w:rsidRDefault="005A7B8E" w:rsidP="00BC1806">
            <w:pPr>
              <w:overflowPunct/>
              <w:adjustRightInd/>
              <w:jc w:val="left"/>
              <w:textAlignment w:val="auto"/>
            </w:pPr>
            <w:r>
              <w:lastRenderedPageBreak/>
              <w:t>Comhairleoir</w:t>
            </w:r>
          </w:p>
        </w:tc>
        <w:tc>
          <w:tcPr>
            <w:tcW w:w="5704" w:type="dxa"/>
          </w:tcPr>
          <w:p w14:paraId="7BBC6486" w14:textId="4473C454" w:rsidR="005A7B8E" w:rsidRPr="00AD4074" w:rsidRDefault="00516125" w:rsidP="00BC1806">
            <w:pPr>
              <w:overflowPunct/>
              <w:adjustRightInd/>
              <w:jc w:val="left"/>
              <w:textAlignment w:val="auto"/>
            </w:pPr>
            <w:proofErr w:type="spellStart"/>
            <w:r>
              <w:t>Sergio</w:t>
            </w:r>
            <w:proofErr w:type="spellEnd"/>
            <w:r>
              <w:t xml:space="preserve"> MARCHISIO (thar ceann an </w:t>
            </w:r>
            <w:proofErr w:type="spellStart"/>
            <w:r>
              <w:t>rapóirtéara</w:t>
            </w:r>
            <w:proofErr w:type="spellEnd"/>
            <w:r>
              <w:t>)</w:t>
            </w:r>
          </w:p>
        </w:tc>
      </w:tr>
      <w:tr w:rsidR="008462B4" w:rsidRPr="00AD4074" w14:paraId="08EA7E2B" w14:textId="77777777" w:rsidTr="00E17E8F">
        <w:tc>
          <w:tcPr>
            <w:tcW w:w="3369" w:type="dxa"/>
          </w:tcPr>
          <w:p w14:paraId="3FC3E107" w14:textId="77777777" w:rsidR="008462B4" w:rsidRPr="00AD4074" w:rsidRDefault="008462B4" w:rsidP="00BC1806">
            <w:pPr>
              <w:overflowPunct/>
              <w:adjustRightInd/>
              <w:jc w:val="left"/>
              <w:textAlignment w:val="auto"/>
            </w:pPr>
          </w:p>
        </w:tc>
        <w:tc>
          <w:tcPr>
            <w:tcW w:w="5704" w:type="dxa"/>
          </w:tcPr>
          <w:p w14:paraId="589C8D6D" w14:textId="77777777" w:rsidR="008462B4" w:rsidRPr="00AD4074" w:rsidRDefault="008462B4" w:rsidP="00BC1806">
            <w:pPr>
              <w:overflowPunct/>
              <w:adjustRightInd/>
              <w:jc w:val="left"/>
              <w:textAlignment w:val="auto"/>
            </w:pPr>
          </w:p>
        </w:tc>
      </w:tr>
      <w:tr w:rsidR="005A7B8E" w:rsidRPr="00AD4074" w14:paraId="23455585" w14:textId="77777777" w:rsidTr="00E17E8F">
        <w:tc>
          <w:tcPr>
            <w:tcW w:w="3369" w:type="dxa"/>
          </w:tcPr>
          <w:p w14:paraId="06970C77" w14:textId="0F84CA13" w:rsidR="005A7B8E" w:rsidRPr="00AD4074" w:rsidRDefault="00507EE9" w:rsidP="00BC1806">
            <w:pPr>
              <w:overflowPunct/>
              <w:adjustRightInd/>
              <w:jc w:val="left"/>
              <w:textAlignment w:val="auto"/>
            </w:pPr>
            <w:r>
              <w:t>Nós imeachta reachtach</w:t>
            </w:r>
          </w:p>
        </w:tc>
        <w:tc>
          <w:tcPr>
            <w:tcW w:w="5704" w:type="dxa"/>
          </w:tcPr>
          <w:p w14:paraId="6BC5EDEC" w14:textId="5813A68B" w:rsidR="00140323" w:rsidRPr="00DD5334" w:rsidRDefault="00F0698F" w:rsidP="00BC1806">
            <w:pPr>
              <w:overflowPunct/>
              <w:adjustRightInd/>
              <w:rPr>
                <w:rStyle w:val="Hyperlink"/>
              </w:rPr>
            </w:pPr>
            <w:hyperlink r:id="rId20" w:history="1">
              <w:r w:rsidR="00202AFC">
                <w:rPr>
                  <w:rStyle w:val="Hyperlink"/>
                </w:rPr>
                <w:t xml:space="preserve">EU </w:t>
              </w:r>
              <w:proofErr w:type="spellStart"/>
              <w:r w:rsidR="00202AFC">
                <w:rPr>
                  <w:rStyle w:val="Hyperlink"/>
                </w:rPr>
                <w:t>Law</w:t>
              </w:r>
              <w:proofErr w:type="spellEnd"/>
              <w:r w:rsidR="00202AFC">
                <w:rPr>
                  <w:rStyle w:val="Hyperlink"/>
                </w:rPr>
                <w:t xml:space="preserve"> </w:t>
              </w:r>
              <w:proofErr w:type="spellStart"/>
              <w:r w:rsidR="00202AFC">
                <w:rPr>
                  <w:rStyle w:val="Hyperlink"/>
                </w:rPr>
                <w:t>Tracker</w:t>
              </w:r>
              <w:proofErr w:type="spellEnd"/>
            </w:hyperlink>
          </w:p>
        </w:tc>
      </w:tr>
      <w:tr w:rsidR="00222D3C" w:rsidRPr="00AD4074" w14:paraId="6E522A03" w14:textId="77777777" w:rsidTr="00E17E8F">
        <w:tc>
          <w:tcPr>
            <w:tcW w:w="3369" w:type="dxa"/>
          </w:tcPr>
          <w:p w14:paraId="6E522A01" w14:textId="5C011C6A" w:rsidR="00222D3C" w:rsidRPr="00AD4074" w:rsidRDefault="00222D3C" w:rsidP="00BC1806">
            <w:pPr>
              <w:overflowPunct/>
              <w:adjustRightInd/>
              <w:jc w:val="left"/>
              <w:textAlignment w:val="auto"/>
              <w:rPr>
                <w:szCs w:val="22"/>
              </w:rPr>
            </w:pPr>
            <w:r>
              <w:t>Comhairliúchán</w:t>
            </w:r>
          </w:p>
        </w:tc>
        <w:tc>
          <w:tcPr>
            <w:tcW w:w="5704" w:type="dxa"/>
          </w:tcPr>
          <w:p w14:paraId="6E522A02" w14:textId="6CEC2C06" w:rsidR="00222D3C" w:rsidRPr="00AD4074" w:rsidRDefault="00222D3C" w:rsidP="00BC1806">
            <w:pPr>
              <w:overflowPunct/>
              <w:adjustRightInd/>
              <w:textAlignment w:val="auto"/>
              <w:rPr>
                <w:szCs w:val="22"/>
              </w:rPr>
            </w:pPr>
            <w:r>
              <w:t>Parlaimint na hEorpa, 08/09/2025; Comhairle an Aontais Eorpaigh, 30/09/2025</w:t>
            </w:r>
          </w:p>
        </w:tc>
      </w:tr>
      <w:tr w:rsidR="00222D3C" w:rsidRPr="00AD4074" w14:paraId="6E522A06" w14:textId="77777777" w:rsidTr="00E17E8F">
        <w:trPr>
          <w:trHeight w:val="251"/>
        </w:trPr>
        <w:tc>
          <w:tcPr>
            <w:tcW w:w="3369" w:type="dxa"/>
          </w:tcPr>
          <w:p w14:paraId="6E522A04" w14:textId="77777777" w:rsidR="00222D3C" w:rsidRPr="00AD4074" w:rsidRDefault="00222D3C" w:rsidP="00BC1806">
            <w:pPr>
              <w:overflowPunct/>
              <w:adjustRightInd/>
              <w:jc w:val="left"/>
              <w:textAlignment w:val="auto"/>
              <w:rPr>
                <w:szCs w:val="22"/>
              </w:rPr>
            </w:pPr>
            <w:r>
              <w:t>Bunús dlí</w:t>
            </w:r>
          </w:p>
        </w:tc>
        <w:tc>
          <w:tcPr>
            <w:tcW w:w="5704" w:type="dxa"/>
          </w:tcPr>
          <w:p w14:paraId="6E522A05" w14:textId="1DC06764" w:rsidR="00222D3C" w:rsidRPr="00AD4074" w:rsidRDefault="00222D3C" w:rsidP="00BC1806">
            <w:pPr>
              <w:overflowPunct/>
              <w:adjustRightInd/>
              <w:textAlignment w:val="auto"/>
              <w:rPr>
                <w:szCs w:val="22"/>
              </w:rPr>
            </w:pPr>
            <w:r>
              <w:t>Airteagal 114 agus Airteagal 304 den Chonradh ar Fheidhmiú an Aontais Eorpaigh</w:t>
            </w:r>
          </w:p>
        </w:tc>
      </w:tr>
      <w:tr w:rsidR="00222D3C" w:rsidRPr="00AD4074" w14:paraId="17A00E72" w14:textId="77777777" w:rsidTr="00E17E8F">
        <w:tc>
          <w:tcPr>
            <w:tcW w:w="3369" w:type="dxa"/>
          </w:tcPr>
          <w:p w14:paraId="5E86321D" w14:textId="1F90411C" w:rsidR="00222D3C" w:rsidRPr="00AD4074" w:rsidRDefault="00222D3C" w:rsidP="00BC1806">
            <w:pPr>
              <w:overflowPunct/>
              <w:adjustRightInd/>
              <w:jc w:val="left"/>
              <w:textAlignment w:val="auto"/>
            </w:pPr>
            <w:r>
              <w:t>Doiciméid an Choimisiúin Eorpaigh</w:t>
            </w:r>
          </w:p>
        </w:tc>
        <w:tc>
          <w:tcPr>
            <w:tcW w:w="5704" w:type="dxa"/>
            <w:vAlign w:val="bottom"/>
          </w:tcPr>
          <w:p w14:paraId="41997595" w14:textId="11ECDA66" w:rsidR="00222D3C" w:rsidRPr="00DD5334" w:rsidRDefault="00F0698F" w:rsidP="00BC1806">
            <w:pPr>
              <w:overflowPunct/>
              <w:adjustRightInd/>
              <w:textAlignment w:val="auto"/>
            </w:pPr>
            <w:hyperlink r:id="rId21" w:history="1">
              <w:r w:rsidR="00202AFC">
                <w:rPr>
                  <w:rStyle w:val="Hyperlink"/>
                </w:rPr>
                <w:t xml:space="preserve">COM(2025) 335 </w:t>
              </w:r>
              <w:proofErr w:type="spellStart"/>
              <w:r w:rsidR="00202AFC">
                <w:rPr>
                  <w:rStyle w:val="Hyperlink"/>
                </w:rPr>
                <w:t>final</w:t>
              </w:r>
              <w:proofErr w:type="spellEnd"/>
            </w:hyperlink>
          </w:p>
          <w:p w14:paraId="5D3D66DD" w14:textId="5E93AC05" w:rsidR="00222D3C" w:rsidRPr="00AD4074" w:rsidRDefault="00222D3C" w:rsidP="00BC1806">
            <w:pPr>
              <w:overflowPunct/>
              <w:adjustRightInd/>
              <w:textAlignment w:val="auto"/>
              <w:rPr>
                <w:color w:val="0000FF"/>
                <w:u w:val="single"/>
              </w:rPr>
            </w:pPr>
            <w:r>
              <w:rPr>
                <w:color w:val="0000FF"/>
                <w:u w:val="single"/>
              </w:rPr>
              <w:t>Achoimre</w:t>
            </w:r>
            <w:r>
              <w:t xml:space="preserve"> ar COM(2025) 335 </w:t>
            </w:r>
            <w:proofErr w:type="spellStart"/>
            <w:r>
              <w:t>final</w:t>
            </w:r>
            <w:proofErr w:type="spellEnd"/>
          </w:p>
        </w:tc>
      </w:tr>
      <w:tr w:rsidR="00222D3C" w:rsidRPr="00AD4074" w14:paraId="7C77CC0B" w14:textId="77777777" w:rsidTr="00E17E8F">
        <w:tc>
          <w:tcPr>
            <w:tcW w:w="3369" w:type="dxa"/>
          </w:tcPr>
          <w:p w14:paraId="23CEDCFD" w14:textId="7818928E" w:rsidR="00222D3C" w:rsidRPr="00AD4074" w:rsidRDefault="00222D3C" w:rsidP="00BC1806">
            <w:pPr>
              <w:overflowPunct/>
              <w:adjustRightInd/>
              <w:jc w:val="left"/>
              <w:textAlignment w:val="auto"/>
            </w:pPr>
            <w:r>
              <w:t>Na spriocanna forbartha inbhuanaithe (</w:t>
            </w:r>
            <w:proofErr w:type="spellStart"/>
            <w:r>
              <w:t>SDGanna</w:t>
            </w:r>
            <w:proofErr w:type="spellEnd"/>
            <w:r>
              <w:t>) lena mbaineann</w:t>
            </w:r>
          </w:p>
        </w:tc>
        <w:tc>
          <w:tcPr>
            <w:tcW w:w="5704" w:type="dxa"/>
            <w:vAlign w:val="bottom"/>
          </w:tcPr>
          <w:p w14:paraId="52009C44" w14:textId="7BA3D69B" w:rsidR="00222D3C" w:rsidRPr="00DD5334" w:rsidRDefault="00F0698F" w:rsidP="00BC1806">
            <w:pPr>
              <w:overflowPunct/>
              <w:adjustRightInd/>
              <w:textAlignment w:val="auto"/>
              <w:rPr>
                <w:rStyle w:val="Hyperlink"/>
              </w:rPr>
            </w:pPr>
            <w:hyperlink r:id="rId22" w:history="1">
              <w:r w:rsidR="00202AFC">
                <w:rPr>
                  <w:rStyle w:val="Hyperlink"/>
                </w:rPr>
                <w:t>SDG X – .…</w:t>
              </w:r>
            </w:hyperlink>
          </w:p>
        </w:tc>
      </w:tr>
      <w:tr w:rsidR="00222D3C" w:rsidRPr="00AD4074" w14:paraId="600139B0" w14:textId="77777777" w:rsidTr="00E17E8F">
        <w:tc>
          <w:tcPr>
            <w:tcW w:w="3369" w:type="dxa"/>
          </w:tcPr>
          <w:p w14:paraId="687027A1" w14:textId="77777777" w:rsidR="00222D3C" w:rsidRPr="00AD4074" w:rsidRDefault="00222D3C" w:rsidP="00BC1806">
            <w:pPr>
              <w:overflowPunct/>
              <w:adjustRightInd/>
              <w:jc w:val="left"/>
              <w:textAlignment w:val="auto"/>
            </w:pPr>
          </w:p>
        </w:tc>
        <w:tc>
          <w:tcPr>
            <w:tcW w:w="5704" w:type="dxa"/>
          </w:tcPr>
          <w:p w14:paraId="31AD4A1E" w14:textId="77777777" w:rsidR="00222D3C" w:rsidRPr="00AD4074" w:rsidRDefault="00222D3C" w:rsidP="00BC1806">
            <w:pPr>
              <w:overflowPunct/>
              <w:adjustRightInd/>
              <w:textAlignment w:val="auto"/>
            </w:pPr>
          </w:p>
        </w:tc>
      </w:tr>
      <w:tr w:rsidR="00222D3C" w:rsidRPr="00AD4074" w14:paraId="6E522A21" w14:textId="77777777" w:rsidTr="00E17E8F">
        <w:tc>
          <w:tcPr>
            <w:tcW w:w="3369" w:type="dxa"/>
          </w:tcPr>
          <w:p w14:paraId="6E522A1F" w14:textId="2E8723BF" w:rsidR="00222D3C" w:rsidRPr="00AD4074" w:rsidRDefault="00222D3C" w:rsidP="00BC1806">
            <w:pPr>
              <w:overflowPunct/>
              <w:adjustRightInd/>
              <w:jc w:val="left"/>
              <w:textAlignment w:val="auto"/>
              <w:rPr>
                <w:szCs w:val="22"/>
              </w:rPr>
            </w:pPr>
            <w:r>
              <w:t>An rannóg atá freagrach</w:t>
            </w:r>
          </w:p>
        </w:tc>
        <w:tc>
          <w:tcPr>
            <w:tcW w:w="5704" w:type="dxa"/>
          </w:tcPr>
          <w:p w14:paraId="6E522A20" w14:textId="5AFB6009" w:rsidR="00222D3C" w:rsidRPr="00AD4074" w:rsidRDefault="00222D3C" w:rsidP="00BC1806">
            <w:pPr>
              <w:overflowPunct/>
              <w:adjustRightInd/>
              <w:textAlignment w:val="auto"/>
              <w:rPr>
                <w:szCs w:val="22"/>
              </w:rPr>
            </w:pPr>
            <w:r>
              <w:t>Iompar, Fuinneamh, Bonneagar agus an tSochaí Faisnéise</w:t>
            </w:r>
          </w:p>
        </w:tc>
      </w:tr>
      <w:tr w:rsidR="00222D3C" w:rsidRPr="00AD4074" w14:paraId="6E522A24" w14:textId="77777777" w:rsidTr="00E17E8F">
        <w:tc>
          <w:tcPr>
            <w:tcW w:w="3369" w:type="dxa"/>
          </w:tcPr>
          <w:p w14:paraId="6E522A22" w14:textId="69160F6F" w:rsidR="00222D3C" w:rsidRPr="00AD4074" w:rsidRDefault="00222D3C" w:rsidP="00BC1806">
            <w:pPr>
              <w:overflowPunct/>
              <w:adjustRightInd/>
              <w:jc w:val="left"/>
              <w:textAlignment w:val="auto"/>
              <w:rPr>
                <w:szCs w:val="22"/>
              </w:rPr>
            </w:pPr>
            <w:r>
              <w:t>Dáta a glactha sa rannóg</w:t>
            </w:r>
          </w:p>
        </w:tc>
        <w:tc>
          <w:tcPr>
            <w:tcW w:w="5704" w:type="dxa"/>
          </w:tcPr>
          <w:p w14:paraId="6E522A23" w14:textId="1FBCC0D1" w:rsidR="00222D3C" w:rsidRPr="00AD4074" w:rsidRDefault="0059380C" w:rsidP="00BC1806">
            <w:pPr>
              <w:overflowPunct/>
              <w:adjustRightInd/>
              <w:textAlignment w:val="auto"/>
              <w:rPr>
                <w:szCs w:val="22"/>
              </w:rPr>
            </w:pPr>
            <w:r>
              <w:t>12/11/2025</w:t>
            </w:r>
          </w:p>
        </w:tc>
      </w:tr>
      <w:tr w:rsidR="00222D3C" w:rsidRPr="00AD4074" w14:paraId="30435AD6" w14:textId="77777777" w:rsidTr="00E17E8F">
        <w:tc>
          <w:tcPr>
            <w:tcW w:w="3369" w:type="dxa"/>
          </w:tcPr>
          <w:p w14:paraId="4A574C94" w14:textId="04818650" w:rsidR="00222D3C" w:rsidRPr="00AD4074" w:rsidRDefault="00222D3C" w:rsidP="00BC1806">
            <w:pPr>
              <w:overflowPunct/>
              <w:adjustRightInd/>
              <w:jc w:val="left"/>
              <w:textAlignment w:val="auto"/>
            </w:pPr>
            <w:r>
              <w:t>Toradh na vótála</w:t>
            </w:r>
            <w:r>
              <w:br/>
              <w:t>(ar son/in aghaidh/staonadh)</w:t>
            </w:r>
          </w:p>
        </w:tc>
        <w:tc>
          <w:tcPr>
            <w:tcW w:w="5704" w:type="dxa"/>
            <w:vAlign w:val="bottom"/>
          </w:tcPr>
          <w:p w14:paraId="1221A854" w14:textId="273DE519" w:rsidR="00222D3C" w:rsidRPr="00AD4074" w:rsidRDefault="008C579A" w:rsidP="00BC1806">
            <w:pPr>
              <w:overflowPunct/>
              <w:adjustRightInd/>
              <w:textAlignment w:val="auto"/>
            </w:pPr>
            <w:r>
              <w:t>72/0/0</w:t>
            </w:r>
          </w:p>
        </w:tc>
      </w:tr>
      <w:tr w:rsidR="00222D3C" w:rsidRPr="00AD4074" w14:paraId="6E522A27" w14:textId="77777777" w:rsidTr="00E17E8F">
        <w:tc>
          <w:tcPr>
            <w:tcW w:w="3369" w:type="dxa"/>
          </w:tcPr>
          <w:p w14:paraId="6E522A25" w14:textId="1BBBBA02" w:rsidR="00222D3C" w:rsidRPr="00AD4074" w:rsidRDefault="00222D3C" w:rsidP="00BC1806">
            <w:pPr>
              <w:overflowPunct/>
              <w:adjustRightInd/>
              <w:jc w:val="left"/>
              <w:textAlignment w:val="auto"/>
              <w:rPr>
                <w:szCs w:val="22"/>
              </w:rPr>
            </w:pPr>
            <w:r>
              <w:t>Dáta a glactha sa seisiún iomlánach</w:t>
            </w:r>
          </w:p>
        </w:tc>
        <w:tc>
          <w:tcPr>
            <w:tcW w:w="5704" w:type="dxa"/>
          </w:tcPr>
          <w:p w14:paraId="6E522A26" w14:textId="3E777582" w:rsidR="00222D3C" w:rsidRPr="00AD4074" w:rsidRDefault="00222D3C" w:rsidP="00BC1806">
            <w:pPr>
              <w:overflowPunct/>
              <w:adjustRightInd/>
              <w:textAlignment w:val="auto"/>
              <w:rPr>
                <w:szCs w:val="22"/>
              </w:rPr>
            </w:pPr>
            <w:r>
              <w:t>D/M/YYYY</w:t>
            </w:r>
          </w:p>
        </w:tc>
      </w:tr>
      <w:tr w:rsidR="00222D3C" w:rsidRPr="00AD4074" w14:paraId="6E522A2A" w14:textId="77777777" w:rsidTr="00E17E8F">
        <w:tc>
          <w:tcPr>
            <w:tcW w:w="3369" w:type="dxa"/>
          </w:tcPr>
          <w:p w14:paraId="6E522A28" w14:textId="1E7511CC" w:rsidR="00222D3C" w:rsidRPr="00AD4074" w:rsidRDefault="00222D3C" w:rsidP="00BC1806">
            <w:pPr>
              <w:overflowPunct/>
              <w:adjustRightInd/>
              <w:jc w:val="left"/>
              <w:textAlignment w:val="auto"/>
              <w:rPr>
                <w:szCs w:val="22"/>
              </w:rPr>
            </w:pPr>
            <w:r>
              <w:t>Seisiún iomlánach Uimh.</w:t>
            </w:r>
          </w:p>
        </w:tc>
        <w:tc>
          <w:tcPr>
            <w:tcW w:w="5704" w:type="dxa"/>
          </w:tcPr>
          <w:p w14:paraId="6E522A29" w14:textId="77777777" w:rsidR="00222D3C" w:rsidRPr="00AD4074" w:rsidRDefault="00222D3C" w:rsidP="00BC1806">
            <w:pPr>
              <w:overflowPunct/>
              <w:adjustRightInd/>
              <w:textAlignment w:val="auto"/>
              <w:rPr>
                <w:szCs w:val="22"/>
              </w:rPr>
            </w:pPr>
            <w:r>
              <w:t>…</w:t>
            </w:r>
          </w:p>
        </w:tc>
      </w:tr>
      <w:tr w:rsidR="00222D3C" w:rsidRPr="00AD4074" w14:paraId="6E522A2D" w14:textId="77777777" w:rsidTr="00E17E8F">
        <w:tc>
          <w:tcPr>
            <w:tcW w:w="3369" w:type="dxa"/>
          </w:tcPr>
          <w:p w14:paraId="6E522A2B" w14:textId="104372DD" w:rsidR="00222D3C" w:rsidRPr="00AD4074" w:rsidRDefault="00222D3C" w:rsidP="00BC1806">
            <w:pPr>
              <w:overflowPunct/>
              <w:adjustRightInd/>
              <w:jc w:val="left"/>
            </w:pPr>
            <w:r>
              <w:t>Toradh na vótála</w:t>
            </w:r>
            <w:r>
              <w:br/>
              <w:t>(ar son/in aghaidh/staonadh)</w:t>
            </w:r>
          </w:p>
        </w:tc>
        <w:tc>
          <w:tcPr>
            <w:tcW w:w="5704" w:type="dxa"/>
            <w:vAlign w:val="bottom"/>
          </w:tcPr>
          <w:p w14:paraId="6E522A2C" w14:textId="77777777" w:rsidR="00222D3C" w:rsidRPr="00AD4074" w:rsidRDefault="00222D3C" w:rsidP="00BC1806">
            <w:pPr>
              <w:overflowPunct/>
              <w:adjustRightInd/>
              <w:textAlignment w:val="auto"/>
              <w:rPr>
                <w:szCs w:val="22"/>
              </w:rPr>
            </w:pPr>
            <w:r>
              <w:t>…/…/…</w:t>
            </w:r>
          </w:p>
        </w:tc>
      </w:tr>
    </w:tbl>
    <w:p w14:paraId="6E522A2E" w14:textId="77777777" w:rsidR="0090053A" w:rsidRPr="00AD4074" w:rsidRDefault="0090053A" w:rsidP="00BC1806">
      <w:pPr>
        <w:overflowPunct/>
        <w:adjustRightInd/>
        <w:textAlignment w:val="auto"/>
      </w:pPr>
    </w:p>
    <w:p w14:paraId="673ED91D" w14:textId="77777777" w:rsidR="00B261C8" w:rsidRPr="00AD4074" w:rsidRDefault="00B261C8" w:rsidP="00BC1806">
      <w:pPr>
        <w:overflowPunct/>
        <w:autoSpaceDE/>
        <w:autoSpaceDN/>
        <w:adjustRightInd/>
        <w:jc w:val="left"/>
        <w:textAlignment w:val="auto"/>
      </w:pPr>
      <w:r>
        <w:br w:type="page"/>
      </w:r>
    </w:p>
    <w:p w14:paraId="6E522A30" w14:textId="085E1C00" w:rsidR="00194B36" w:rsidRPr="00AD4074" w:rsidRDefault="00E67B8E" w:rsidP="00BC1806">
      <w:pPr>
        <w:pStyle w:val="Heading1"/>
        <w:ind w:left="567" w:hanging="567"/>
      </w:pPr>
      <w:r>
        <w:rPr>
          <w:b/>
        </w:rPr>
        <w:lastRenderedPageBreak/>
        <w:t>MOLTAÍ</w:t>
      </w:r>
    </w:p>
    <w:p w14:paraId="3865EE70" w14:textId="77777777" w:rsidR="000B68FA" w:rsidRPr="00AD4074" w:rsidRDefault="000B68FA" w:rsidP="00BC1806">
      <w:pPr>
        <w:overflowPunct/>
        <w:adjustRightInd/>
        <w:jc w:val="left"/>
        <w:textAlignment w:val="auto"/>
      </w:pPr>
    </w:p>
    <w:p w14:paraId="2E3EDD4F" w14:textId="341B2827" w:rsidR="00A55911" w:rsidRPr="00AD4074" w:rsidRDefault="00A774EA" w:rsidP="00BC1806">
      <w:pPr>
        <w:overflowPunct/>
        <w:adjustRightInd/>
        <w:jc w:val="left"/>
        <w:textAlignment w:val="auto"/>
      </w:pPr>
      <w:r>
        <w:t>Seo seasamh Choiste Eacnamaíoch agus Sóisialta na hEorpa (CESE):</w:t>
      </w:r>
    </w:p>
    <w:p w14:paraId="3CBCDFC3" w14:textId="77777777" w:rsidR="00A55911" w:rsidRPr="00AD4074" w:rsidRDefault="00A55911" w:rsidP="00BC1806">
      <w:pPr>
        <w:overflowPunct/>
        <w:adjustRightInd/>
        <w:ind w:left="142" w:hanging="142"/>
        <w:jc w:val="left"/>
        <w:textAlignment w:val="auto"/>
      </w:pPr>
    </w:p>
    <w:p w14:paraId="7F86FEB8" w14:textId="43D5CE4A" w:rsidR="00DD6066" w:rsidRPr="00AD4074" w:rsidRDefault="00D84C01" w:rsidP="00BC1806">
      <w:pPr>
        <w:pStyle w:val="Heading2"/>
        <w:ind w:left="567" w:hanging="567"/>
      </w:pPr>
      <w:r>
        <w:t>Tacaíonn sé le cuspóirí an Ghnímh um an spás atá beartaithe. Ag an am céanna, tá CESE den tuairim gur cheart an infheistíocht phoiblí Eorpach sa spás a neartú ar bhonn struchtúrtha agus láithreach bonn agus an infheistíocht sa spás a mhéadú go 0.2 % ar a laghad den olltáirgeacht intíre (OTI) idir seo agus 2030. D’fhágfadh sin go mbeadh an bhearna idir an Eoraip agus na Stáit Aontaithe agus an tSín á dúnadh de réir a chéile, rud atá i gcomhréir leis an bhfís atá leagtha amach sa Rialachán, is é sin ról an Aontais Eorpaigh mar cheannaire domhanda a chinntiú i réimse an spáis.</w:t>
      </w:r>
    </w:p>
    <w:p w14:paraId="3BC711D6" w14:textId="77777777" w:rsidR="00A55911" w:rsidRPr="00AD4074" w:rsidRDefault="00A55911" w:rsidP="00BC1806"/>
    <w:p w14:paraId="5F04258B" w14:textId="0C8ABB63" w:rsidR="00A55911" w:rsidRPr="00AD4074" w:rsidRDefault="009B26CA" w:rsidP="00BC1806">
      <w:pPr>
        <w:pStyle w:val="Heading2"/>
        <w:ind w:left="567" w:hanging="567"/>
      </w:pPr>
      <w:r>
        <w:t xml:space="preserve">Meabhraíonn CESE go bhfuil sé tugtha le fios sa Rialachán go bhfuil gá le creat rialála soiléir chun infheistíocht phríobháideach a mhealladh. Iarrann sé go mbeadh straitéis thionsclaíoch agus theicneolaíoch ag gabháil leis an gcreat sin chun go bhféadfaí an toradh eacnamaíoch agus sóisialta a bheadh ann do shaoránaigh na hEorpa a uasmhéadú, go saineofaí uirlisí chun an spleáchas ar sholáthairtí tábhachtacha ó </w:t>
      </w:r>
      <w:proofErr w:type="spellStart"/>
      <w:r>
        <w:t>thríú</w:t>
      </w:r>
      <w:proofErr w:type="spellEnd"/>
      <w:r>
        <w:t xml:space="preserve"> tíortha a laghdú agus go gcuirfí tacaíocht ar fáil chun acmhainn lainseála Eorpach a fhorbairt.</w:t>
      </w:r>
    </w:p>
    <w:p w14:paraId="3D21276E" w14:textId="77777777" w:rsidR="00A55911" w:rsidRPr="00AD4074" w:rsidRDefault="00A55911" w:rsidP="00BC1806"/>
    <w:p w14:paraId="2DF36B05" w14:textId="41438D7F" w:rsidR="00EA57E5" w:rsidRPr="00AD4074" w:rsidRDefault="00A064E8" w:rsidP="00BC1806">
      <w:pPr>
        <w:pStyle w:val="Heading2"/>
        <w:ind w:left="567" w:hanging="567"/>
      </w:pPr>
      <w:r>
        <w:t>Molann CESE míniú níos mionsonraithe a thabhairt ar an gcaoi ar féidir le hAirteagal 114 den Chonradh feidhmiú mar bhunús dlí chun an margadh inmheánach do tháirgí, do sheirbhísí agus do shonraí a bhaineann leis an spás a bhunú agus a oibriú. Ag an am céanna, molann sé a bheith cúramach chun comhsheasmhacht agus aonfhoirmeacht a áirithiú sa téarmaíocht a úsáidtear ar fud an rialacháin. Thairis sin, d’fhonn comhsheasmhacht rialála a ráthú, molann sé clásal a thabhairt isteach lena sonraítear nach mór forálacha an Ghnímh um an spás a léirmhíniú i bhfianaise na n-oibleagáidí idirnáisiúnta ar ghlac na Ballstáit leo cheana i ndáil le gníomhaíochtaí spáis.</w:t>
      </w:r>
    </w:p>
    <w:p w14:paraId="5DD75196" w14:textId="77777777" w:rsidR="00A55911" w:rsidRPr="00AD4074" w:rsidRDefault="00A55911" w:rsidP="00BC1806">
      <w:pPr>
        <w:pStyle w:val="Heading2"/>
        <w:numPr>
          <w:ilvl w:val="0"/>
          <w:numId w:val="0"/>
        </w:numPr>
      </w:pPr>
    </w:p>
    <w:p w14:paraId="4A3A086C" w14:textId="31065E6F" w:rsidR="002806E2" w:rsidRPr="00AD4074" w:rsidRDefault="00A064E8" w:rsidP="00BC1806">
      <w:pPr>
        <w:pStyle w:val="Heading2"/>
        <w:ind w:left="567" w:hanging="567"/>
      </w:pPr>
      <w:r>
        <w:t>Molann CESE go míneofaí na cúiseanna nach dtagraíonn Teideal I ach do Bhallstát bunaíochta an oibreora nó Stát bunaíochta oibreora spáis tríú tír, gan aon tagairt a dhéanamh do Stát náisiúntachta na n-oibreoirí sin (féach, mar shampla, Airteagal 1(2)(a) agus sainmhínithe (17) agus (19) in Airteagal 5). Thairis sin, molann sé Airteagal 6(3) a shoiléiriú chun comhordú níos fearr a áirithiú le reachtaíocht náisiúnta spáis na mBallstát lena sainaithnítear oibreoirí a bhfuil gá leo chun údarú a fháil le haghaidh gníomhaíochtaí spáis ar bhonn náisiúntachta nó na críche óna ndéantar an ghníomhaíocht spáis.</w:t>
      </w:r>
    </w:p>
    <w:p w14:paraId="75A15984" w14:textId="77777777" w:rsidR="00A55911" w:rsidRPr="00AD4074" w:rsidRDefault="00A55911" w:rsidP="00BC1806">
      <w:pPr>
        <w:pStyle w:val="Heading2"/>
        <w:numPr>
          <w:ilvl w:val="0"/>
          <w:numId w:val="0"/>
        </w:numPr>
      </w:pPr>
    </w:p>
    <w:p w14:paraId="49F40853" w14:textId="57981462" w:rsidR="00A55911" w:rsidRPr="00AD4074" w:rsidRDefault="009B26CA" w:rsidP="00BC1806">
      <w:pPr>
        <w:pStyle w:val="Heading2"/>
        <w:ind w:left="567" w:hanging="567"/>
      </w:pPr>
      <w:r>
        <w:t>Molann CESE go ndéanfaí a shoiléiriú i dTeideal II an chaoi a bhfeidhmíonn na maoluithe agus an tsolúbthacht i bpróiseas an údaraithe, trí mhionsonraí a thabhairt i dtaobh na n-amanna próiseála, na rialacha a bheadh infheidhme maidir le misin neamhthráchtála, chumhachtaí cigireachta an Choimisiúin agus ról oibríochtúil na Gníomhaireachta Eorpaí Spáis (ESA) agus Ghníomhaireacht an Aontais Eorpaigh um an gClár Spáis (EUSPA).</w:t>
      </w:r>
    </w:p>
    <w:p w14:paraId="31F03D3B" w14:textId="77777777" w:rsidR="00A55911" w:rsidRPr="00AD4074" w:rsidRDefault="00A55911" w:rsidP="00BC1806">
      <w:pPr>
        <w:pStyle w:val="Heading2"/>
        <w:numPr>
          <w:ilvl w:val="0"/>
          <w:numId w:val="0"/>
        </w:numPr>
      </w:pPr>
    </w:p>
    <w:p w14:paraId="6869DB8B" w14:textId="2616961C" w:rsidR="00A55911" w:rsidRPr="00AD4074" w:rsidRDefault="009B26CA" w:rsidP="00BC1806">
      <w:pPr>
        <w:pStyle w:val="Heading2"/>
        <w:ind w:left="567" w:hanging="567"/>
      </w:pPr>
      <w:r>
        <w:t>Molann CESE go ndéanfaí a shoiléiriú sa Rialachán gurb é atá i gClár an Aontais um Réada Spáis (URSO) ionstraim inmheánach de chuid an Aontais trínar féidir oibreoirí údaraithe a chlárú, an téarmaíocht a chaighdeánú agus forluí le cláir náisiúnta nó idirnáisiúnta a sheachaint.</w:t>
      </w:r>
    </w:p>
    <w:p w14:paraId="40185EE7" w14:textId="77777777" w:rsidR="00A55911" w:rsidRPr="00AD4074" w:rsidRDefault="00A55911" w:rsidP="00BC1806">
      <w:pPr>
        <w:pStyle w:val="Heading2"/>
        <w:numPr>
          <w:ilvl w:val="0"/>
          <w:numId w:val="0"/>
        </w:numPr>
      </w:pPr>
    </w:p>
    <w:p w14:paraId="01FDA3FB" w14:textId="48C7B2A8" w:rsidR="00A55911" w:rsidRPr="00AD4074" w:rsidRDefault="00FD2ED3" w:rsidP="00BC1806">
      <w:pPr>
        <w:pStyle w:val="Heading2"/>
        <w:ind w:left="567" w:hanging="567"/>
      </w:pPr>
      <w:r>
        <w:lastRenderedPageBreak/>
        <w:t xml:space="preserve">Molann CESE go leagfaí síos go beacht na teorainneacha ar laistigh díobh is féidir leis na Ballstáit ceanglais níos déine a fhorchur maidir le saorghluaiseacht sonraí </w:t>
      </w:r>
      <w:proofErr w:type="spellStart"/>
      <w:r>
        <w:t>spásbhunaithe</w:t>
      </w:r>
      <w:proofErr w:type="spellEnd"/>
      <w:r>
        <w:t xml:space="preserve"> agus seirbhísí spáis san Aontas, ar chúiseanna sábháilteachta, </w:t>
      </w:r>
      <w:proofErr w:type="spellStart"/>
      <w:r>
        <w:t>athléimneachta</w:t>
      </w:r>
      <w:proofErr w:type="spellEnd"/>
      <w:r>
        <w:t xml:space="preserve"> agus </w:t>
      </w:r>
      <w:proofErr w:type="spellStart"/>
      <w:r>
        <w:t>inbhuanaitheachta</w:t>
      </w:r>
      <w:proofErr w:type="spellEnd"/>
      <w:r>
        <w:t xml:space="preserve"> comhshaoil, agus maidir leis na </w:t>
      </w:r>
      <w:proofErr w:type="spellStart"/>
      <w:r>
        <w:t>húdaruithe</w:t>
      </w:r>
      <w:proofErr w:type="spellEnd"/>
      <w:r>
        <w:t xml:space="preserve"> arna ndeonú ag Ballstáit eile, chun aon saobhadh ar an margadh inmheánach a chosc.</w:t>
      </w:r>
    </w:p>
    <w:p w14:paraId="7A888269" w14:textId="77777777" w:rsidR="00A55911" w:rsidRPr="00AD4074" w:rsidRDefault="00A55911" w:rsidP="00BC1806">
      <w:pPr>
        <w:pStyle w:val="Heading2"/>
        <w:numPr>
          <w:ilvl w:val="0"/>
          <w:numId w:val="0"/>
        </w:numPr>
      </w:pPr>
    </w:p>
    <w:p w14:paraId="61FFF91F" w14:textId="0052C5E1" w:rsidR="00A55911" w:rsidRPr="00AD4074" w:rsidRDefault="00FD2ED3" w:rsidP="00BC1806">
      <w:pPr>
        <w:pStyle w:val="Heading2"/>
        <w:ind w:left="567" w:hanging="567"/>
        <w:rPr>
          <w:szCs w:val="22"/>
        </w:rPr>
      </w:pPr>
      <w:r>
        <w:rPr>
          <w:color w:val="000000"/>
        </w:rPr>
        <w:t xml:space="preserve">Meabhraíonn CESE gur gá prionsabal an aitheantais fhrithpháirtigh maille leis na rialacha coiteanna a neartú ionas go bhféadfar an ilroinnt agus bacainní maorlathais a sheachaint, trí chreat comhchuibhithe a chruthú ar leibhéal an Aontais a thacódh leis na hoibreoirí agus na Ballstáit cuspóirí an Ghnímh um an Spás a bhaint amach. Sa chomhthéacs sin, molann sé machnamh a dhéanamh, i gcomhar le EUSPA, ar ionad ilfhreastail Eorpach a bhunú le haghaidh phróisis an </w:t>
      </w:r>
      <w:proofErr w:type="spellStart"/>
      <w:r>
        <w:rPr>
          <w:color w:val="000000"/>
        </w:rPr>
        <w:t>údaruithe</w:t>
      </w:r>
      <w:proofErr w:type="spellEnd"/>
      <w:r>
        <w:rPr>
          <w:color w:val="000000"/>
        </w:rPr>
        <w:t xml:space="preserve"> agus an chlárúcháin, trína bhféadfaí na nósanna imeachta a </w:t>
      </w:r>
      <w:proofErr w:type="spellStart"/>
      <w:r>
        <w:rPr>
          <w:color w:val="000000"/>
        </w:rPr>
        <w:t>chuíchóiriú</w:t>
      </w:r>
      <w:proofErr w:type="spellEnd"/>
      <w:r>
        <w:rPr>
          <w:color w:val="000000"/>
        </w:rPr>
        <w:t xml:space="preserve"> agus, an tráth céanna, comhlíonadh na gcaighdeán sábháilteachta, </w:t>
      </w:r>
      <w:proofErr w:type="spellStart"/>
      <w:r>
        <w:rPr>
          <w:color w:val="000000"/>
        </w:rPr>
        <w:t>athléimneachta</w:t>
      </w:r>
      <w:proofErr w:type="spellEnd"/>
      <w:r>
        <w:rPr>
          <w:color w:val="000000"/>
        </w:rPr>
        <w:t xml:space="preserve"> agus </w:t>
      </w:r>
      <w:proofErr w:type="spellStart"/>
      <w:r>
        <w:rPr>
          <w:color w:val="000000"/>
        </w:rPr>
        <w:t>inbhuanaitheachta</w:t>
      </w:r>
      <w:proofErr w:type="spellEnd"/>
      <w:r>
        <w:rPr>
          <w:color w:val="000000"/>
        </w:rPr>
        <w:t xml:space="preserve"> a leagtar síos sa Rialachán (Airteagail 8, 10, 19, 62, 69) a áirithiú.</w:t>
      </w:r>
    </w:p>
    <w:p w14:paraId="3DB653E0" w14:textId="77777777" w:rsidR="00A55911" w:rsidRPr="00AD4074" w:rsidRDefault="00A55911" w:rsidP="00BC1806">
      <w:pPr>
        <w:pStyle w:val="Heading2"/>
        <w:numPr>
          <w:ilvl w:val="0"/>
          <w:numId w:val="0"/>
        </w:numPr>
      </w:pPr>
    </w:p>
    <w:p w14:paraId="16BC912B" w14:textId="301DA927" w:rsidR="00A55911" w:rsidRPr="00AD4074" w:rsidRDefault="00FD2ED3" w:rsidP="00BC1806">
      <w:pPr>
        <w:pStyle w:val="Heading2"/>
        <w:ind w:left="567" w:hanging="567"/>
      </w:pPr>
      <w:r>
        <w:t>Tá CESE den tuairim gur cheart a áirithiú go dtarraingeofaí na gníomhartha cur chun feidhme agus tarmligthe suas ar bhealach ina mbeadh na Ballstáit, na páirtithe leasmhara agus na comhpháirtithe sóisialta páirteach sa phróiseas sin ar bhonn struchtúrtha.</w:t>
      </w:r>
    </w:p>
    <w:p w14:paraId="5B19DB76" w14:textId="77777777" w:rsidR="00A55911" w:rsidRPr="00AD4074" w:rsidRDefault="00A55911" w:rsidP="00BC1806">
      <w:pPr>
        <w:pStyle w:val="Heading2"/>
        <w:numPr>
          <w:ilvl w:val="0"/>
          <w:numId w:val="0"/>
        </w:numPr>
      </w:pPr>
    </w:p>
    <w:p w14:paraId="0A052A97" w14:textId="48B93FBE" w:rsidR="00A55911" w:rsidRPr="00AD4074" w:rsidRDefault="00FD2ED3" w:rsidP="00BC1806">
      <w:pPr>
        <w:pStyle w:val="Heading2"/>
        <w:ind w:left="567" w:hanging="567"/>
      </w:pPr>
      <w:r>
        <w:t xml:space="preserve">Tá CESE den tuairim gur cheart a shoiléiriú gur cheart don Rialachán forluí a sheachaint le </w:t>
      </w:r>
      <w:proofErr w:type="spellStart"/>
      <w:r>
        <w:t>hionstraimí</w:t>
      </w:r>
      <w:proofErr w:type="spellEnd"/>
      <w:r>
        <w:t xml:space="preserve"> an Aontais atá i bhfeidhm cheana i réimse na </w:t>
      </w:r>
      <w:proofErr w:type="spellStart"/>
      <w:r>
        <w:t>cibearshlándála</w:t>
      </w:r>
      <w:proofErr w:type="spellEnd"/>
      <w:r>
        <w:t xml:space="preserve"> agus an bhonneagair chriticiúil (an Dara Treoir NIS, an Treoir maidir le </w:t>
      </w:r>
      <w:proofErr w:type="spellStart"/>
      <w:r>
        <w:t>hAthléimneacht</w:t>
      </w:r>
      <w:proofErr w:type="spellEnd"/>
      <w:r>
        <w:t xml:space="preserve"> Eintiteas Criticiúil, an Gníomh um an </w:t>
      </w:r>
      <w:proofErr w:type="spellStart"/>
      <w:r>
        <w:t>gCibear</w:t>
      </w:r>
      <w:proofErr w:type="spellEnd"/>
      <w:r>
        <w:t>-Athléimneacht).</w:t>
      </w:r>
    </w:p>
    <w:p w14:paraId="033FABD7" w14:textId="77777777" w:rsidR="00A55911" w:rsidRPr="00AD4074" w:rsidRDefault="00A55911" w:rsidP="00BC1806">
      <w:pPr>
        <w:pStyle w:val="Heading2"/>
        <w:numPr>
          <w:ilvl w:val="0"/>
          <w:numId w:val="0"/>
        </w:numPr>
      </w:pPr>
    </w:p>
    <w:p w14:paraId="3CB0076F" w14:textId="027DE6CA" w:rsidR="00A55911" w:rsidRPr="00AD4074" w:rsidRDefault="00FD2ED3" w:rsidP="00BC1806">
      <w:pPr>
        <w:pStyle w:val="Heading2"/>
        <w:ind w:left="567" w:hanging="567"/>
      </w:pPr>
      <w:r>
        <w:t xml:space="preserve">Molann CESE go leagfaí síos i dTeideal III, agus go háirithe i ndáil le hAirteagal 16, critéir thrédhearcacha infhíoraithe lena bhféadfaí aitheantas a thabhairt do chórais rialála choibhéiseacha i </w:t>
      </w:r>
      <w:proofErr w:type="spellStart"/>
      <w:r>
        <w:t>dtríú</w:t>
      </w:r>
      <w:proofErr w:type="spellEnd"/>
      <w:r>
        <w:t xml:space="preserve"> tíortha, lena n-áirítear sásraí chun faireachán agus athbhreithniú rialta a dhéanamh. Iarrann sé freisin go ndéanfaí a shoiléiriú mar is féidir leis an Aontas a chur ina luí ar oibreoirí tríú tíortha na rialacha a chomhlíonadh, is é sin trí chumhachtaí cigireachta, coinníollacha le haghaidh comhaontuithe comhair le húdaráis tríú tíortha agus sásraí </w:t>
      </w:r>
      <w:proofErr w:type="spellStart"/>
      <w:r>
        <w:t>forfheidhmithe</w:t>
      </w:r>
      <w:proofErr w:type="spellEnd"/>
      <w:r>
        <w:t xml:space="preserve"> éifeachtacha a shainiú.</w:t>
      </w:r>
    </w:p>
    <w:p w14:paraId="481A0D3C" w14:textId="77777777" w:rsidR="00A55911" w:rsidRPr="00AD4074" w:rsidRDefault="00A55911" w:rsidP="00BC1806">
      <w:pPr>
        <w:pStyle w:val="Heading2"/>
        <w:numPr>
          <w:ilvl w:val="0"/>
          <w:numId w:val="0"/>
        </w:numPr>
      </w:pPr>
    </w:p>
    <w:p w14:paraId="2A7A9475" w14:textId="7430DC20" w:rsidR="00A55911" w:rsidRPr="00AD4074" w:rsidRDefault="00FD2ED3" w:rsidP="00BC1806">
      <w:pPr>
        <w:pStyle w:val="Heading2"/>
        <w:ind w:left="567" w:hanging="567"/>
      </w:pPr>
      <w:r>
        <w:t>Tá CESE den tuairim gur cheart a áirithiú go ndéanfaí an córas ceangailteach trína ríomhtar agus trína ndeimhnítear lorg comhshaoil na misean spáis a chur chun feidhme go comhréireach, agus iomaíochas na hearnála a chosaint, agus réitigh an gheilleagair chiorclaigh á gcur chun cinn i gcás inar féidir.</w:t>
      </w:r>
    </w:p>
    <w:p w14:paraId="3D7C8C47" w14:textId="77777777" w:rsidR="00A55911" w:rsidRPr="00AD4074" w:rsidRDefault="00A55911" w:rsidP="00BC1806"/>
    <w:p w14:paraId="6E1E611F" w14:textId="3108874E" w:rsidR="00A55911" w:rsidRPr="00AD4074" w:rsidRDefault="00FD2ED3" w:rsidP="00BC1806">
      <w:pPr>
        <w:pStyle w:val="Heading2"/>
        <w:ind w:left="567" w:hanging="567"/>
      </w:pPr>
      <w:r>
        <w:t xml:space="preserve">Tá CESE den tuairim gur cheart an ról atá ag </w:t>
      </w:r>
      <w:proofErr w:type="spellStart"/>
      <w:r>
        <w:t>FBManna</w:t>
      </w:r>
      <w:proofErr w:type="spellEnd"/>
      <w:r>
        <w:t xml:space="preserve"> agus gnólachtaí nuathionscanta na hEorpa i ngeilleagar an spáis a neartú trí fhoráil a dhéanamh maidir le bearta sonracha ar leith agus tríd an rochtain atá ag na gnólachtaí sin ar na cistí Eorpacha a éascú, ar choinníoll go bhfuil critéir shonracha maidir leis an inbhuanaitheacht shóisialta comhlíonta acu.</w:t>
      </w:r>
    </w:p>
    <w:p w14:paraId="1E80E098" w14:textId="77777777" w:rsidR="00A55911" w:rsidRPr="00AD4074" w:rsidRDefault="00A55911" w:rsidP="00BC1806"/>
    <w:p w14:paraId="5134E449" w14:textId="2B045134" w:rsidR="00A55911" w:rsidRPr="004169CE" w:rsidRDefault="00FD2ED3" w:rsidP="00BC1806">
      <w:pPr>
        <w:pStyle w:val="Heading2"/>
        <w:ind w:left="567" w:hanging="567"/>
      </w:pPr>
      <w:r>
        <w:t xml:space="preserve">Molann CESE go ndéanfaí an Straitéis Spáis don Eoraip a nascadh le </w:t>
      </w:r>
      <w:proofErr w:type="spellStart"/>
      <w:r>
        <w:t>huathriail</w:t>
      </w:r>
      <w:proofErr w:type="spellEnd"/>
      <w:r>
        <w:t xml:space="preserve"> straitéiseach na hEorpa agus go ndéanfaí éiceachórais chomhlántacha agus éifeacht iolraitheora gheilleagar an spáis a chur chun cinn chun tacú le hearnálacha ar leith, lena n-áirítear an fheirmeoireacht bheacht, an intleacht shaorga, an róbataic ardfhorbartha, an fuinneamh sa spás, faireachán an </w:t>
      </w:r>
      <w:r>
        <w:lastRenderedPageBreak/>
        <w:t xml:space="preserve">chomhshaoil agus an </w:t>
      </w:r>
      <w:proofErr w:type="spellStart"/>
      <w:r>
        <w:t>teilileigheas</w:t>
      </w:r>
      <w:proofErr w:type="spellEnd"/>
      <w:r>
        <w:t xml:space="preserve">, agus treoir á tabhairt do na Ballstáit maidir leis an gcaoi ar féidir le dlí an Aontais </w:t>
      </w:r>
      <w:proofErr w:type="spellStart"/>
      <w:r>
        <w:t>sineirgí</w:t>
      </w:r>
      <w:proofErr w:type="spellEnd"/>
      <w:r>
        <w:t xml:space="preserve"> den sórt sin a chothú</w:t>
      </w:r>
      <w:r w:rsidR="004A7478" w:rsidRPr="00DD5334">
        <w:rPr>
          <w:rStyle w:val="FootnoteReference"/>
        </w:rPr>
        <w:footnoteReference w:id="2"/>
      </w:r>
      <w:r>
        <w:t>.</w:t>
      </w:r>
    </w:p>
    <w:p w14:paraId="75269FC7" w14:textId="77777777" w:rsidR="00A55911" w:rsidRPr="00AD4074" w:rsidRDefault="00A55911" w:rsidP="00BC1806"/>
    <w:p w14:paraId="65CC9EA2" w14:textId="113ED078" w:rsidR="00A55911" w:rsidRPr="00AD4074" w:rsidRDefault="00FD2ED3" w:rsidP="00BC1806">
      <w:pPr>
        <w:pStyle w:val="Heading2"/>
        <w:ind w:left="567" w:hanging="567"/>
      </w:pPr>
      <w:r>
        <w:t xml:space="preserve">Tá CESE den tuairim gur cheart straitéis chomhtháite a fhorbairt maidir le scileanna agus poist i réimse an spáis agus gur cheart Clár Oibre Eorpach um scileanna réimse an spáis a ghlacadh, dhá rud a chabhródh le </w:t>
      </w:r>
      <w:proofErr w:type="spellStart"/>
      <w:r>
        <w:t>comhpháirtíochtaí</w:t>
      </w:r>
      <w:proofErr w:type="spellEnd"/>
      <w:r>
        <w:t xml:space="preserve"> a chruthú idir na comhpháirtithe sóisialta, na scoileanna, na hollscoileanna agus na gníomhaireachtaí spáis.</w:t>
      </w:r>
    </w:p>
    <w:p w14:paraId="75EEAB1A" w14:textId="77777777" w:rsidR="00A55911" w:rsidRPr="00AD4074" w:rsidRDefault="00A55911" w:rsidP="00BC1806">
      <w:pPr>
        <w:ind w:left="567" w:hanging="567"/>
      </w:pPr>
    </w:p>
    <w:p w14:paraId="0B1BC39A" w14:textId="18A375E1" w:rsidR="00062983" w:rsidRPr="00AD4074" w:rsidRDefault="00FD2ED3" w:rsidP="00BC1806">
      <w:pPr>
        <w:pStyle w:val="Heading2"/>
        <w:ind w:left="567" w:hanging="567"/>
      </w:pPr>
      <w:r>
        <w:t>Iarrann CESE go dtabharfaí gealltanas go mbeadh na hacmhainní iomchuí curtha ar fáil ionas gur féidir oibríochtaí EUSPA a neartú sa chéad leagan eile den Chreat Airgeadais Ilbhliantúil, is é sin 2028-2034.</w:t>
      </w:r>
    </w:p>
    <w:p w14:paraId="2AAD7C24" w14:textId="77777777" w:rsidR="00062983" w:rsidRPr="00AD4074" w:rsidRDefault="00062983" w:rsidP="00BC1806">
      <w:pPr>
        <w:pStyle w:val="Heading2"/>
        <w:numPr>
          <w:ilvl w:val="0"/>
          <w:numId w:val="0"/>
        </w:numPr>
      </w:pPr>
    </w:p>
    <w:p w14:paraId="6027071E" w14:textId="0E1E8017" w:rsidR="00A55911" w:rsidRPr="00AD4074" w:rsidRDefault="005620BE" w:rsidP="00BC1806">
      <w:pPr>
        <w:pStyle w:val="Heading2"/>
        <w:ind w:left="567" w:hanging="567"/>
      </w:pPr>
      <w:r>
        <w:t xml:space="preserve">Molann CESE go ndéanfaí Roinn 3 maidir le comhlachtaí teicniúla cáilithe le haghaidh gníomhaíochtaí spáis (Airteagal 34 agus ina dhiaidh sin) a shoiléiriú chun inniúlachtaí agus róil na gcomhlachtaí teicniúla cáilithe a shainiú ar bhealach níos fearr chun </w:t>
      </w:r>
      <w:proofErr w:type="spellStart"/>
      <w:r>
        <w:t>coinbhleachtaí</w:t>
      </w:r>
      <w:proofErr w:type="spellEnd"/>
      <w:r>
        <w:t xml:space="preserve"> a d’fhéadfadh a bheith ann le cúraimí EUSPA a sheachaint.</w:t>
      </w:r>
    </w:p>
    <w:p w14:paraId="544901B5" w14:textId="77777777" w:rsidR="00A55911" w:rsidRPr="00AD4074" w:rsidRDefault="00A55911" w:rsidP="00BC1806">
      <w:pPr>
        <w:pStyle w:val="Heading2"/>
        <w:numPr>
          <w:ilvl w:val="0"/>
          <w:numId w:val="0"/>
        </w:numPr>
      </w:pPr>
    </w:p>
    <w:p w14:paraId="0FD3679B" w14:textId="43A29660" w:rsidR="00A55911" w:rsidRPr="00AD4074" w:rsidRDefault="00FD2ED3" w:rsidP="00BC1806">
      <w:pPr>
        <w:pStyle w:val="Heading2"/>
        <w:ind w:left="567" w:hanging="567"/>
      </w:pPr>
      <w:r>
        <w:t xml:space="preserve">Meabhraíonn CESE gur gá córas atá cothrom ó thaobh na saoirse fiontraíochta agus na comhfhreagrachta de a chur chun cinn sa Rialachán, tríd an infheistíocht phríobháideach agus an nuálaíocht a </w:t>
      </w:r>
      <w:proofErr w:type="spellStart"/>
      <w:r>
        <w:t>dhreasú</w:t>
      </w:r>
      <w:proofErr w:type="spellEnd"/>
      <w:r>
        <w:t xml:space="preserve"> agus caighdeáin </w:t>
      </w:r>
      <w:proofErr w:type="spellStart"/>
      <w:r>
        <w:t>cheangailteacha</w:t>
      </w:r>
      <w:proofErr w:type="spellEnd"/>
      <w:r>
        <w:t xml:space="preserve"> a leagan síos freisin maidir leis an trédhearcacht, an inbhuanaitheacht, an chothroime agus cosaint leas ginearálta na hEorpa.</w:t>
      </w:r>
    </w:p>
    <w:p w14:paraId="5354218D" w14:textId="77777777" w:rsidR="00A55911" w:rsidRPr="00AD4074" w:rsidRDefault="00A55911" w:rsidP="00BC1806"/>
    <w:p w14:paraId="5D98137C" w14:textId="51C1ECB1" w:rsidR="00A55911" w:rsidRPr="00AD4074" w:rsidRDefault="00A55911" w:rsidP="00BC1806">
      <w:pPr>
        <w:pStyle w:val="Heading1"/>
        <w:keepNext/>
        <w:keepLines/>
        <w:ind w:left="567" w:hanging="567"/>
        <w:rPr>
          <w:b/>
          <w:bCs/>
        </w:rPr>
      </w:pPr>
      <w:r>
        <w:rPr>
          <w:b/>
        </w:rPr>
        <w:t>NÓTAÍ MÍNIÚCHÁIN</w:t>
      </w:r>
    </w:p>
    <w:p w14:paraId="2E306027" w14:textId="77777777" w:rsidR="00A55911" w:rsidRPr="00AD4074" w:rsidRDefault="00A55911" w:rsidP="00BC1806">
      <w:pPr>
        <w:keepNext/>
        <w:keepLines/>
        <w:overflowPunct/>
        <w:adjustRightInd/>
        <w:textAlignment w:val="auto"/>
      </w:pPr>
    </w:p>
    <w:p w14:paraId="10E5856C" w14:textId="77777777" w:rsidR="00A55911" w:rsidRPr="00AD4074" w:rsidRDefault="00A55911" w:rsidP="00BC1806">
      <w:pPr>
        <w:keepNext/>
        <w:keepLines/>
        <w:overflowPunct/>
        <w:adjustRightInd/>
        <w:ind w:left="567"/>
        <w:textAlignment w:val="auto"/>
        <w:rPr>
          <w:i/>
          <w:iCs/>
        </w:rPr>
      </w:pPr>
      <w:r>
        <w:rPr>
          <w:i/>
        </w:rPr>
        <w:t>Argóintí a thacaíonn le moladh 1.1</w:t>
      </w:r>
    </w:p>
    <w:p w14:paraId="503C3E20" w14:textId="77777777" w:rsidR="00A55911" w:rsidRPr="00AD4074" w:rsidRDefault="00A55911" w:rsidP="00BC1806">
      <w:pPr>
        <w:keepNext/>
        <w:keepLines/>
      </w:pPr>
    </w:p>
    <w:p w14:paraId="32282CD0" w14:textId="42294EE3" w:rsidR="00A55911" w:rsidRPr="00AD4074" w:rsidRDefault="00A55911" w:rsidP="00BC1806">
      <w:pPr>
        <w:pStyle w:val="Heading2"/>
        <w:ind w:left="567" w:hanging="567"/>
      </w:pPr>
      <w:r>
        <w:t xml:space="preserve">Léirítear sa Rialachán go dtuigtear gur gá iomaíochas éiceachóras spáis na hEorpa a mhéadú le hinfheistíocht spriocdhírithe. Aithníonn sé freisin an iomaíocht dhomhanda sin agus tá sé tiomanta seasamh an Aontais mar </w:t>
      </w:r>
      <w:proofErr w:type="spellStart"/>
      <w:r>
        <w:t>phríomhghníomhaí</w:t>
      </w:r>
      <w:proofErr w:type="spellEnd"/>
      <w:r>
        <w:t xml:space="preserve"> i réimse an spáis a neartú. Creideann CESE, áfach, go bhfuil gá le </w:t>
      </w:r>
      <w:proofErr w:type="spellStart"/>
      <w:r>
        <w:t>hionstraimí</w:t>
      </w:r>
      <w:proofErr w:type="spellEnd"/>
      <w:r>
        <w:t xml:space="preserve"> airgeadais agus tionsclaíocha breise chun an sprioc sin a bhaint amach.</w:t>
      </w:r>
    </w:p>
    <w:p w14:paraId="4A4C0393" w14:textId="77777777" w:rsidR="00A55911" w:rsidRPr="00AD4074" w:rsidRDefault="00A55911" w:rsidP="00BC1806"/>
    <w:p w14:paraId="30C2E768" w14:textId="739E0425" w:rsidR="0021085F" w:rsidRPr="00AD4074" w:rsidRDefault="00A55911" w:rsidP="00BC1806">
      <w:pPr>
        <w:pStyle w:val="Heading2"/>
        <w:ind w:left="567" w:hanging="567"/>
      </w:pPr>
      <w:r>
        <w:t xml:space="preserve">Beidh ar an Aontas seasamh níos láidre a léiriú ionas gur féidir leas a bhaint as an acmhainn eacnamaíoch dhomhanda atá sa spás. De réir na tuarascála a d’fhoilsigh </w:t>
      </w:r>
      <w:proofErr w:type="spellStart"/>
      <w:r>
        <w:t>Mario</w:t>
      </w:r>
      <w:proofErr w:type="spellEnd"/>
      <w:r>
        <w:t xml:space="preserve"> </w:t>
      </w:r>
      <w:proofErr w:type="spellStart"/>
      <w:r>
        <w:t>Draghi</w:t>
      </w:r>
      <w:proofErr w:type="spellEnd"/>
      <w:r>
        <w:t xml:space="preserve">, bhí luach gheilleagar domhanda an spáis cothrom le EUR 572 bhilliún in 2023 agus meastar go mbeidh sé os cionn EUR 1 628 mbilliún faoi 2035, agus ráta fáis bliantúil os cionn 9 % ann. </w:t>
      </w:r>
    </w:p>
    <w:p w14:paraId="03F2A2DE" w14:textId="77777777" w:rsidR="005A537C" w:rsidRPr="00AD4074" w:rsidRDefault="005A537C" w:rsidP="00F86913"/>
    <w:p w14:paraId="3EB9B99E" w14:textId="07BF3E2F" w:rsidR="0021085F" w:rsidRPr="00AD4074" w:rsidRDefault="005A537C" w:rsidP="00BC1806">
      <w:pPr>
        <w:pStyle w:val="Heading2"/>
        <w:ind w:left="567" w:hanging="567"/>
      </w:pPr>
      <w:r>
        <w:t xml:space="preserve">Ba cheart cuspóirí na Straitéise maidir le gnólachtaí atá ag méadú a d’eisigh an Coimisiún Eorpach le déanaí a leathnú chuig tionscal an </w:t>
      </w:r>
      <w:proofErr w:type="spellStart"/>
      <w:r>
        <w:t>aeraspáis</w:t>
      </w:r>
      <w:proofErr w:type="spellEnd"/>
      <w:r>
        <w:t xml:space="preserve">. Thacódh sé sin le ceannairí domhanda a dhéanamh de chuideachtaí na hEorpa i réimse an spáis, agus d’áiritheofaí go gcuirfeadh beartais thionsclaíocha na huirlisí airgeadais, rialála agus teicneolaíochta is gá ar fáil chun uas-scálú a </w:t>
      </w:r>
      <w:r>
        <w:lastRenderedPageBreak/>
        <w:t>dhéanamh agus poist ardcháilíochta agus poist atá inbhuanaithe go sóisialta a choinneáil san Eoraip ag an am céanna.</w:t>
      </w:r>
    </w:p>
    <w:p w14:paraId="70336D79" w14:textId="77777777" w:rsidR="008845FF" w:rsidRPr="00AD4074" w:rsidRDefault="008845FF" w:rsidP="00BC1806"/>
    <w:p w14:paraId="53671BD5" w14:textId="6D75ADD2" w:rsidR="00844038" w:rsidRPr="00AD4074" w:rsidRDefault="000B279C" w:rsidP="00BC1806">
      <w:pPr>
        <w:pStyle w:val="Heading2"/>
        <w:ind w:left="567" w:hanging="567"/>
      </w:pPr>
      <w:r>
        <w:t xml:space="preserve">D’fhonn uathriail straitéiseach an Aontais a áirithiú, ba cheart rochtain ar mhargadh spáis na hEorpa a bheith bunaithe ar </w:t>
      </w:r>
      <w:proofErr w:type="spellStart"/>
      <w:r>
        <w:t>phrionsabal</w:t>
      </w:r>
      <w:proofErr w:type="spellEnd"/>
      <w:r>
        <w:t xml:space="preserve"> na cómhalartachta le tríú tíortha. Ag an am céanna, ba cheart beartais thionsclaíocha a dhíriú ar ghníomhaithe láidre Eorpacha a chomhdhlúthú seachas ilroinnt iomarcach a chothú. Maidir le rannpháirtíocht i gcláir straitéiseacha agus dé-úsáide, ba cheart tosaíocht a thabhairt d’oibreoirí Eorpacha creidiúnaithe. Ní mór do na hoibreoirí sin a bheith faoi réir sásraí um rialú costas agus ba cheart dóibh na ceanglais shóisialta agus chomhshaoil a chomhlíonadh go hiomlán. Áiritheofar leis sin iomaíochas agus cosaint leas ginearálta na hEorpa.</w:t>
      </w:r>
    </w:p>
    <w:p w14:paraId="555DB093" w14:textId="77777777" w:rsidR="00A55911" w:rsidRPr="00AD4074" w:rsidRDefault="00A55911" w:rsidP="00BC1806">
      <w:pPr>
        <w:pStyle w:val="Heading2"/>
        <w:numPr>
          <w:ilvl w:val="0"/>
          <w:numId w:val="0"/>
        </w:numPr>
      </w:pPr>
    </w:p>
    <w:p w14:paraId="258A4A7E" w14:textId="77777777" w:rsidR="00A55911" w:rsidRPr="00AD4074" w:rsidRDefault="00A55911" w:rsidP="00BC1806">
      <w:pPr>
        <w:keepNext/>
        <w:keepLines/>
        <w:ind w:left="567"/>
        <w:rPr>
          <w:i/>
          <w:iCs/>
        </w:rPr>
      </w:pPr>
      <w:r>
        <w:rPr>
          <w:i/>
        </w:rPr>
        <w:t>Argóintí a thacaíonn le moladh 1.2</w:t>
      </w:r>
    </w:p>
    <w:p w14:paraId="455879A6" w14:textId="77777777" w:rsidR="00A55911" w:rsidRPr="00AD4074" w:rsidRDefault="00A55911" w:rsidP="00BC1806">
      <w:pPr>
        <w:keepNext/>
        <w:keepLines/>
      </w:pPr>
    </w:p>
    <w:p w14:paraId="19E1AAA1" w14:textId="323451F9" w:rsidR="00A55911" w:rsidRPr="00AD4074" w:rsidRDefault="00A55911" w:rsidP="00BC1806">
      <w:pPr>
        <w:pStyle w:val="Heading2"/>
        <w:ind w:left="567" w:hanging="567"/>
      </w:pPr>
      <w:r>
        <w:t xml:space="preserve">Tá inbhuanaitheacht, slándáil agus athléimneacht na ngníomhaíochtaí i réimse an spáis á gcur chun cinn sa Rialachán, ach ní mór beartais thionsclaíocha </w:t>
      </w:r>
      <w:proofErr w:type="spellStart"/>
      <w:r>
        <w:t>uaillmhianacha</w:t>
      </w:r>
      <w:proofErr w:type="spellEnd"/>
      <w:r>
        <w:t xml:space="preserve"> ar leibhéal an Aontais a bheith ag gabháil leis na cuspóirí sin. Mura ndéanfar an infheistíocht a mhéadú ar bhonn struchtúrtha, ní bheidh aon toradh dáiríre ar chuspóirí na slándála, an iomaíochais agus na huathrialach atá luaite sa Rialachán.</w:t>
      </w:r>
    </w:p>
    <w:p w14:paraId="015B966B" w14:textId="77777777" w:rsidR="00A55911" w:rsidRPr="00AD4074" w:rsidRDefault="00A55911" w:rsidP="00BC1806">
      <w:pPr>
        <w:pStyle w:val="Heading2"/>
        <w:numPr>
          <w:ilvl w:val="0"/>
          <w:numId w:val="0"/>
        </w:numPr>
        <w:ind w:left="567" w:hanging="567"/>
      </w:pPr>
    </w:p>
    <w:p w14:paraId="31A635A1" w14:textId="1C399547" w:rsidR="00A55911" w:rsidRPr="004169CE" w:rsidRDefault="00A55911" w:rsidP="00BC1806">
      <w:pPr>
        <w:pStyle w:val="Heading2"/>
        <w:ind w:left="567" w:hanging="567"/>
      </w:pPr>
      <w:r>
        <w:t xml:space="preserve">Is leochaileacht an-mhór, go háirithe i gcomhthéacs </w:t>
      </w:r>
      <w:proofErr w:type="spellStart"/>
      <w:r>
        <w:t>geopholaitiúil</w:t>
      </w:r>
      <w:proofErr w:type="spellEnd"/>
      <w:r>
        <w:t xml:space="preserve"> éiginnte, é spleáchas na hEorpa ar sholáthraithe nach bhfuil san Eoraip chun teacht ar chomhpháirteanna tábhachtacha (</w:t>
      </w:r>
      <w:proofErr w:type="spellStart"/>
      <w:r>
        <w:t>e.g</w:t>
      </w:r>
      <w:proofErr w:type="spellEnd"/>
      <w:r>
        <w:t xml:space="preserve">. </w:t>
      </w:r>
      <w:proofErr w:type="spellStart"/>
      <w:r>
        <w:t>leathsheoltóirí</w:t>
      </w:r>
      <w:proofErr w:type="spellEnd"/>
      <w:r>
        <w:t>, córais tiomána, teicneolaíochtaí lainseála)</w:t>
      </w:r>
      <w:r w:rsidRPr="00DD5334">
        <w:rPr>
          <w:rStyle w:val="FootnoteReference"/>
        </w:rPr>
        <w:footnoteReference w:id="3"/>
      </w:r>
      <w:r>
        <w:t xml:space="preserve">. Ina theannta sin, thit sciar na hEorpa de na </w:t>
      </w:r>
      <w:proofErr w:type="spellStart"/>
      <w:r>
        <w:t>spáslainseálacha</w:t>
      </w:r>
      <w:proofErr w:type="spellEnd"/>
      <w:r>
        <w:t xml:space="preserve"> domhanda ó 11 % in 2021 go 4 % in 2022, rud is cúis le caillteanas mór acmhainne tionsclaíche agus uathrialach straitéisí</w:t>
      </w:r>
      <w:r w:rsidRPr="00DD5334">
        <w:rPr>
          <w:rStyle w:val="FootnoteReference"/>
        </w:rPr>
        <w:footnoteReference w:id="4"/>
      </w:r>
      <w:r>
        <w:t>.</w:t>
      </w:r>
    </w:p>
    <w:p w14:paraId="214E66AD" w14:textId="77777777" w:rsidR="00A55911" w:rsidRPr="00AD4074" w:rsidRDefault="00A55911" w:rsidP="00BC1806">
      <w:pPr>
        <w:ind w:left="567" w:hanging="567"/>
      </w:pPr>
    </w:p>
    <w:p w14:paraId="57C5CE64" w14:textId="4A86CC55" w:rsidR="00A55911" w:rsidRPr="004169CE" w:rsidRDefault="00A55911" w:rsidP="00BC1806">
      <w:pPr>
        <w:pStyle w:val="Heading2"/>
        <w:ind w:left="567" w:hanging="567"/>
      </w:pPr>
      <w:r>
        <w:t xml:space="preserve">Tá infheistíocht na hEorpa sa spás i bhfad níos ísle ná an infheistíocht a dhéanann na </w:t>
      </w:r>
      <w:proofErr w:type="spellStart"/>
      <w:r>
        <w:t>príomhghníomhaithe</w:t>
      </w:r>
      <w:proofErr w:type="spellEnd"/>
      <w:r>
        <w:t xml:space="preserve"> domhanda eile atá in iomaíocht léi. Faoi láthair, ní chuireann an tAontas Eorpach ach 0.07 % d’OTI na hEorpa i leataobh le haghaidh réimse an spáis, sin i gcomparáid le 0.25 % ar an meán sna Stáit Aontaithe, agus tá leibhéil níos airde sa tSín, san India agus sa tSeapáin freisin. Fágann an éagothroime struchtúrach sin go bhfuil dochar á dhéanamh do chumas na hEorpa </w:t>
      </w:r>
      <w:proofErr w:type="spellStart"/>
      <w:r>
        <w:t>nuálaíochtaí</w:t>
      </w:r>
      <w:proofErr w:type="spellEnd"/>
      <w:r>
        <w:t xml:space="preserve"> dá cuid féin a chothú, bonneagar criticiúil straitéiseach a chothabháil agus cur i gcoinne an spleáchais ar </w:t>
      </w:r>
      <w:proofErr w:type="spellStart"/>
      <w:r>
        <w:t>theicneolaíochtaí</w:t>
      </w:r>
      <w:proofErr w:type="spellEnd"/>
      <w:r>
        <w:t>, sonraí agus seirbhísí as tríú tíortha</w:t>
      </w:r>
      <w:r w:rsidRPr="00DD5334">
        <w:rPr>
          <w:rStyle w:val="FootnoteReference"/>
        </w:rPr>
        <w:footnoteReference w:id="5"/>
      </w:r>
      <w:r>
        <w:t>.</w:t>
      </w:r>
    </w:p>
    <w:p w14:paraId="5A8BC079" w14:textId="77777777" w:rsidR="00A55911" w:rsidRPr="00AD4074" w:rsidRDefault="00A55911" w:rsidP="00BC1806"/>
    <w:p w14:paraId="3E63BC3F" w14:textId="77777777" w:rsidR="00A55911" w:rsidRPr="00AD4074" w:rsidRDefault="00A55911" w:rsidP="00BC1806">
      <w:pPr>
        <w:keepNext/>
        <w:keepLines/>
        <w:ind w:left="567"/>
        <w:rPr>
          <w:i/>
          <w:iCs/>
        </w:rPr>
      </w:pPr>
      <w:r>
        <w:rPr>
          <w:i/>
        </w:rPr>
        <w:t>Argóintí a thacaíonn le moladh 1.3</w:t>
      </w:r>
    </w:p>
    <w:p w14:paraId="13399202" w14:textId="77777777" w:rsidR="00A55911" w:rsidRPr="00AD4074" w:rsidRDefault="00A55911" w:rsidP="00BC1806">
      <w:pPr>
        <w:keepNext/>
      </w:pPr>
    </w:p>
    <w:p w14:paraId="50564DF9" w14:textId="101206B1" w:rsidR="00123BC4" w:rsidRPr="00AD4074" w:rsidRDefault="00A55911" w:rsidP="00BC1806">
      <w:pPr>
        <w:pStyle w:val="Heading2"/>
        <w:ind w:left="567" w:hanging="567"/>
      </w:pPr>
      <w:r>
        <w:t xml:space="preserve">Maidir leis an ilroinnt reachtaíochta ó Bhallstát go chéile, ní </w:t>
      </w:r>
      <w:proofErr w:type="spellStart"/>
      <w:r>
        <w:t>hé</w:t>
      </w:r>
      <w:proofErr w:type="spellEnd"/>
      <w:r>
        <w:t xml:space="preserve"> go dtagann an ilroinnt sin as difríochtaí substainte a bhaineann le </w:t>
      </w:r>
      <w:proofErr w:type="spellStart"/>
      <w:r>
        <w:t>hinneachar</w:t>
      </w:r>
      <w:proofErr w:type="spellEnd"/>
      <w:r>
        <w:t xml:space="preserve"> na ndlíthe náisiúnta – óir tá samhail choiteann a leanann as Rún 68/74 de chuid na Náisiún Aontaithe mar bhunús leo – ach nach bhfuil comhchuibhiú na reachtaíochta náisiúnta san áireamh in Airteagal 189(2) CFAE. Mar sin féin, </w:t>
      </w:r>
      <w:r>
        <w:lastRenderedPageBreak/>
        <w:t xml:space="preserve">d’fhéadfadh baol </w:t>
      </w:r>
      <w:proofErr w:type="spellStart"/>
      <w:r>
        <w:t>neamhréireachta</w:t>
      </w:r>
      <w:proofErr w:type="spellEnd"/>
      <w:r>
        <w:t xml:space="preserve"> a bheith ann dá dtabharfaí isteach leis an Rialachán oibleagáidí a bheadh ag teacht salach ar chonarthaí atá daingnithe ag na Náisiúin Aontaithe (OST, ARRA, LIAB, REG). Mura mbeidh an tAontas ina pháirtí sna coinbhinsiúin sin, ní bheidh sé chomh </w:t>
      </w:r>
      <w:proofErr w:type="spellStart"/>
      <w:r>
        <w:t>hinchreidte</w:t>
      </w:r>
      <w:proofErr w:type="spellEnd"/>
      <w:r>
        <w:t xml:space="preserve"> céanna mar eintiteas domhanda a leagann síos caighdeáin. Is é a chiallaíonn sin go gcaithfear cloí leis na gealltanais idirnáisiúnta atá i bhfeidhm.</w:t>
      </w:r>
    </w:p>
    <w:p w14:paraId="460993C4" w14:textId="77777777" w:rsidR="00123BC4" w:rsidRPr="00AD4074" w:rsidRDefault="00123BC4" w:rsidP="00BC1806">
      <w:pPr>
        <w:pStyle w:val="Heading2"/>
        <w:numPr>
          <w:ilvl w:val="0"/>
          <w:numId w:val="0"/>
        </w:numPr>
      </w:pPr>
    </w:p>
    <w:p w14:paraId="586F48F7" w14:textId="1E976289" w:rsidR="00792BD4" w:rsidRPr="00AD4074" w:rsidRDefault="009E2CE3" w:rsidP="00BC1806">
      <w:pPr>
        <w:pStyle w:val="Heading2"/>
        <w:ind w:left="567" w:hanging="567"/>
      </w:pPr>
      <w:r>
        <w:t xml:space="preserve">Tacaíonn CESE leis an rialachán mar chéim chinntitheach i dtreo creat spáis Eorpach atá comhleanúnach agus iomaíoch. Mar sin féin, tá gá le soiléiriú a thabhairt ar an úsáid a bhaintear as Airteagal 114 CFAE mar bhunús dlí chun a ráthú go </w:t>
      </w:r>
      <w:proofErr w:type="spellStart"/>
      <w:r>
        <w:t>rannchuideoidh</w:t>
      </w:r>
      <w:proofErr w:type="spellEnd"/>
      <w:r>
        <w:t xml:space="preserve"> an rialachán go héifeachtach le cuspóirí straitéiseacha an Aontais a bhaint amach laistigh de chreat dlíthiúil agus beartais na hEorpa.</w:t>
      </w:r>
    </w:p>
    <w:p w14:paraId="2BDC4E90" w14:textId="77777777" w:rsidR="00792BD4" w:rsidRPr="00AD4074" w:rsidRDefault="00792BD4" w:rsidP="00BC1806">
      <w:pPr>
        <w:pStyle w:val="Heading2"/>
        <w:numPr>
          <w:ilvl w:val="0"/>
          <w:numId w:val="0"/>
        </w:numPr>
      </w:pPr>
    </w:p>
    <w:p w14:paraId="05D976D6" w14:textId="30ABD805" w:rsidR="00123BC4" w:rsidRPr="00AD4074" w:rsidRDefault="00D91962" w:rsidP="00BC1806">
      <w:pPr>
        <w:pStyle w:val="Heading2"/>
        <w:ind w:left="567" w:hanging="567"/>
      </w:pPr>
      <w:r>
        <w:t xml:space="preserve">Is cosúil go bhfuil téarmaí áirithe á gcur i bhfeidhm ar bhealach neamhréireach. Mar shampla, ní thagraítear in Airteagal 1(1) ach do ‘sonraí </w:t>
      </w:r>
      <w:proofErr w:type="spellStart"/>
      <w:r>
        <w:t>spásbhunaithe</w:t>
      </w:r>
      <w:proofErr w:type="spellEnd"/>
      <w:r>
        <w:t xml:space="preserve"> agus seirbhísí spáis’, ach tagraíonn na </w:t>
      </w:r>
      <w:proofErr w:type="spellStart"/>
      <w:r>
        <w:t>haithrisí</w:t>
      </w:r>
      <w:proofErr w:type="spellEnd"/>
      <w:r>
        <w:t xml:space="preserve"> agus na forálacha eile do ‘táirgí spáis’ freisin. Ba cheart an frása ‘táirgí, seirbhísí agus sonraí spáis’ a úsáid go comhsheasmhach ar fud théacs an rialacháin. </w:t>
      </w:r>
    </w:p>
    <w:p w14:paraId="65C527CD" w14:textId="3B37ACDA" w:rsidR="00A55911" w:rsidRPr="00AD4074" w:rsidRDefault="00A55911" w:rsidP="00BC1806">
      <w:pPr>
        <w:overflowPunct/>
        <w:adjustRightInd/>
        <w:textAlignment w:val="auto"/>
        <w:rPr>
          <w:i/>
          <w:iCs/>
        </w:rPr>
      </w:pPr>
    </w:p>
    <w:p w14:paraId="5794C075" w14:textId="77777777" w:rsidR="00A55911" w:rsidRPr="00AD4074" w:rsidRDefault="00A55911" w:rsidP="00BC1806">
      <w:pPr>
        <w:keepNext/>
        <w:keepLines/>
        <w:overflowPunct/>
        <w:adjustRightInd/>
        <w:ind w:left="567"/>
        <w:jc w:val="left"/>
        <w:textAlignment w:val="auto"/>
        <w:rPr>
          <w:i/>
        </w:rPr>
      </w:pPr>
      <w:r>
        <w:rPr>
          <w:i/>
        </w:rPr>
        <w:t>Argóintí a thacaíonn le moladh 1.4.</w:t>
      </w:r>
    </w:p>
    <w:p w14:paraId="4F9EA018" w14:textId="77777777" w:rsidR="00A55911" w:rsidRPr="00AD4074" w:rsidRDefault="00A55911" w:rsidP="00BC1806">
      <w:pPr>
        <w:keepNext/>
        <w:keepLines/>
        <w:overflowPunct/>
        <w:adjustRightInd/>
        <w:jc w:val="left"/>
        <w:textAlignment w:val="auto"/>
      </w:pPr>
    </w:p>
    <w:p w14:paraId="137096AF" w14:textId="4AA52605" w:rsidR="00A55911" w:rsidRPr="00AD4074" w:rsidRDefault="00A55911" w:rsidP="00BC1806">
      <w:pPr>
        <w:pStyle w:val="Heading2"/>
        <w:ind w:left="567" w:hanging="567"/>
        <w:rPr>
          <w:i/>
        </w:rPr>
      </w:pPr>
      <w:r>
        <w:t xml:space="preserve">Le conarthaí agus coinbhinsiúin na Náisiún Aontaithe maidir le cianspás, go háirithe OST (an Conradh </w:t>
      </w:r>
      <w:proofErr w:type="spellStart"/>
      <w:r>
        <w:t>Cianspáis</w:t>
      </w:r>
      <w:proofErr w:type="spellEnd"/>
      <w:r>
        <w:t xml:space="preserve"> ó 1967), leagtar síos freagrachtaí agus oibleagáidí a bhíonn le comhlíonadh ag Stát náisiúntachta an oibreora. Mura ndéanfaí tagairt ach do chritéar an Stáit bunaíochta, rud is amhlaidh sa dréacht reatha den rialachán, d’fhéadfadh sé tarlú go mbeadh éiginnteacht ann ó thaobh léirmhínithe de nó go mbeadh sé ar neamhréir leis an dlí idirnáisiúnta. Dá gcuirfí an dá chritéar san áireamh bheifí ag comhlíonadh na gceanglas maidir le soiléire rialála, an chosaint dlí agus comhroinnt cheart freagrachtaí, rud a sheachnódh díospóidí trasteorann. Tá gá leis an soiléiriú sin freisin i bhfianaise an ghá atá le comhordú sonrach le dlíthe náisiúnta áirithe, amhail Dlí Spáis na </w:t>
      </w:r>
      <w:proofErr w:type="spellStart"/>
      <w:r>
        <w:t>hIodáile</w:t>
      </w:r>
      <w:proofErr w:type="spellEnd"/>
      <w:r>
        <w:t xml:space="preserve"> 2025 agus Dlí Spáis na Portaingéile 2019, lena ndéantar foráil cheana féin maidir leis an bhféidearthacht </w:t>
      </w:r>
      <w:proofErr w:type="spellStart"/>
      <w:r>
        <w:t>údaruithe</w:t>
      </w:r>
      <w:proofErr w:type="spellEnd"/>
      <w:r>
        <w:t xml:space="preserve"> nó ceadúnais arna n-eisiúint ag Stáit eachtracha a aithint ar bhonn coibhéiseach.</w:t>
      </w:r>
    </w:p>
    <w:p w14:paraId="61516DF8" w14:textId="77777777" w:rsidR="00A55911" w:rsidRPr="00AD4074" w:rsidRDefault="00A55911" w:rsidP="00BC1806">
      <w:pPr>
        <w:overflowPunct/>
        <w:adjustRightInd/>
        <w:textAlignment w:val="auto"/>
        <w:rPr>
          <w:i/>
          <w:iCs/>
        </w:rPr>
      </w:pPr>
    </w:p>
    <w:p w14:paraId="0BF4BE5B" w14:textId="77777777" w:rsidR="00A55911" w:rsidRPr="00AD4074" w:rsidRDefault="00A55911" w:rsidP="00BC1806">
      <w:pPr>
        <w:keepNext/>
        <w:keepLines/>
        <w:overflowPunct/>
        <w:adjustRightInd/>
        <w:ind w:left="567"/>
        <w:jc w:val="left"/>
        <w:textAlignment w:val="auto"/>
        <w:rPr>
          <w:i/>
        </w:rPr>
      </w:pPr>
      <w:r>
        <w:rPr>
          <w:i/>
        </w:rPr>
        <w:t>Argóintí a thacaíonn le moladh 1.5</w:t>
      </w:r>
    </w:p>
    <w:p w14:paraId="473754D1" w14:textId="77777777" w:rsidR="00A55911" w:rsidRPr="00AD4074" w:rsidRDefault="00A55911" w:rsidP="00BC1806">
      <w:pPr>
        <w:keepNext/>
        <w:keepLines/>
        <w:overflowPunct/>
        <w:adjustRightInd/>
        <w:jc w:val="left"/>
        <w:textAlignment w:val="auto"/>
        <w:rPr>
          <w:iCs/>
        </w:rPr>
      </w:pPr>
    </w:p>
    <w:p w14:paraId="30BDB2C3" w14:textId="4B8AFEC6" w:rsidR="00A55911" w:rsidRPr="00AD4074" w:rsidRDefault="00A55911" w:rsidP="00BC1806">
      <w:pPr>
        <w:pStyle w:val="Heading2"/>
        <w:ind w:left="567" w:hanging="567"/>
        <w:rPr>
          <w:iCs/>
        </w:rPr>
      </w:pPr>
      <w:r>
        <w:t xml:space="preserve">I dTeideal II tagraítear do na córais náisiúnta chun na gníomhaíochtaí sa spás a údarú agus a dheimhniú, agus é mar aidhm leis sin </w:t>
      </w:r>
      <w:proofErr w:type="spellStart"/>
      <w:r>
        <w:t>íoschaighdeáin</w:t>
      </w:r>
      <w:proofErr w:type="spellEnd"/>
      <w:r>
        <w:t xml:space="preserve"> sábháilteachta, </w:t>
      </w:r>
      <w:proofErr w:type="spellStart"/>
      <w:r>
        <w:t>athléimneachta</w:t>
      </w:r>
      <w:proofErr w:type="spellEnd"/>
      <w:r>
        <w:t xml:space="preserve"> agus </w:t>
      </w:r>
      <w:proofErr w:type="spellStart"/>
      <w:r>
        <w:t>inbhuanaitheachta</w:t>
      </w:r>
      <w:proofErr w:type="spellEnd"/>
      <w:r>
        <w:t xml:space="preserve"> a chomhchuibhiú, agus na </w:t>
      </w:r>
      <w:proofErr w:type="spellStart"/>
      <w:r>
        <w:t>sainchearta</w:t>
      </w:r>
      <w:proofErr w:type="spellEnd"/>
      <w:r>
        <w:t xml:space="preserve"> náisiúnta agus an cosc ar chomhchuibhiú a leagtar síos in Airteagal 189(2) CFAE á n-urramú freisin. Tá an chuma ar an togra go bhfuil sé cothrom: is éard is aidhm dó creat coiteann Eorpach a chruthú chun éagsúlachtaí rialála a sheachaint toisc go bhféadfadh na </w:t>
      </w:r>
      <w:proofErr w:type="spellStart"/>
      <w:r>
        <w:t>héagsúlachtaí</w:t>
      </w:r>
      <w:proofErr w:type="spellEnd"/>
      <w:r>
        <w:t xml:space="preserve"> sin an margadh inmheánach a shaobhadh, ach gan na freagrachtaí atá ar na Ballstáit a athrú ach an oiread. Mar sin féin, tá soiléiriú fós ag teastáil i dtaobh pointí áirithe éiginnte chun gur féidir an deimhneacht dhlíthiúil agus an cur i bhfeidhm aonfhoirmeach a áirithiú:</w:t>
      </w:r>
    </w:p>
    <w:p w14:paraId="3CBA7780" w14:textId="77777777" w:rsidR="00010421" w:rsidRPr="00AD4074" w:rsidRDefault="00010421" w:rsidP="00BC1806">
      <w:pPr>
        <w:ind w:left="567"/>
      </w:pPr>
    </w:p>
    <w:p w14:paraId="787FBEB3" w14:textId="790A4CEB" w:rsidR="00A55911" w:rsidRPr="00AD4074" w:rsidRDefault="00010421" w:rsidP="00BC1806">
      <w:pPr>
        <w:pStyle w:val="ListParagraph"/>
        <w:numPr>
          <w:ilvl w:val="0"/>
          <w:numId w:val="6"/>
        </w:numPr>
        <w:overflowPunct/>
        <w:adjustRightInd/>
        <w:ind w:left="936" w:hanging="369"/>
        <w:textAlignment w:val="auto"/>
        <w:rPr>
          <w:iCs/>
        </w:rPr>
      </w:pPr>
      <w:r>
        <w:t>maoluithe: níl na critéir, na coinníollacha ná na teorainneacha a bhaineann le feidhmiú na maoluithe soiléir go leor;</w:t>
      </w:r>
    </w:p>
    <w:p w14:paraId="57C3CD64" w14:textId="1B35C75D" w:rsidR="00A55911" w:rsidRPr="00AD4074" w:rsidRDefault="00010421" w:rsidP="00BC1806">
      <w:pPr>
        <w:pStyle w:val="ListParagraph"/>
        <w:numPr>
          <w:ilvl w:val="0"/>
          <w:numId w:val="6"/>
        </w:numPr>
        <w:overflowPunct/>
        <w:adjustRightInd/>
        <w:ind w:left="936" w:hanging="369"/>
        <w:textAlignment w:val="auto"/>
        <w:rPr>
          <w:iCs/>
        </w:rPr>
      </w:pPr>
      <w:r>
        <w:lastRenderedPageBreak/>
        <w:t>solúbthacht: de thoradh na solúbthachta atá á tabhairt do na Ballstáit i bpróiseas an údaraithe, d’fhéadfadh scálaí ama agus coinníollacha éagsúla a bheith ann;</w:t>
      </w:r>
    </w:p>
    <w:p w14:paraId="0DAB529E" w14:textId="7322C61C" w:rsidR="00A55911" w:rsidRPr="00AD4074" w:rsidRDefault="00010421" w:rsidP="00BC1806">
      <w:pPr>
        <w:pStyle w:val="ListParagraph"/>
        <w:numPr>
          <w:ilvl w:val="0"/>
          <w:numId w:val="6"/>
        </w:numPr>
        <w:overflowPunct/>
        <w:adjustRightInd/>
        <w:ind w:left="936" w:hanging="369"/>
        <w:textAlignment w:val="auto"/>
        <w:rPr>
          <w:iCs/>
        </w:rPr>
      </w:pPr>
      <w:r>
        <w:t>am próiseála an údaraithe: toisc nach bhfuil sprioc-amanna soiléire leagtha síos, d’fhéadfadh sé go gcruthófaí éiginnteacht i measc na n-oibreoirí;</w:t>
      </w:r>
    </w:p>
    <w:p w14:paraId="008D3059" w14:textId="18172493" w:rsidR="00A55911" w:rsidRPr="00AD4074" w:rsidRDefault="00010421" w:rsidP="00BC1806">
      <w:pPr>
        <w:pStyle w:val="ListParagraph"/>
        <w:numPr>
          <w:ilvl w:val="0"/>
          <w:numId w:val="6"/>
        </w:numPr>
        <w:overflowPunct/>
        <w:adjustRightInd/>
        <w:ind w:left="936" w:hanging="369"/>
        <w:textAlignment w:val="auto"/>
        <w:rPr>
          <w:iCs/>
        </w:rPr>
      </w:pPr>
      <w:r>
        <w:t>misin neamhthráchtála: ní léir an chaoi a rachaidh na rialacha i bhfeidhm ar mhisin neamhthráchtála ná a mhéid a bheadh sin amhlaidh;</w:t>
      </w:r>
    </w:p>
    <w:p w14:paraId="43847B9B" w14:textId="4AE2CD61" w:rsidR="00A55911" w:rsidRPr="00AD4074" w:rsidRDefault="00010421" w:rsidP="00BC1806">
      <w:pPr>
        <w:pStyle w:val="ListParagraph"/>
        <w:numPr>
          <w:ilvl w:val="0"/>
          <w:numId w:val="6"/>
        </w:numPr>
        <w:overflowPunct/>
        <w:adjustRightInd/>
        <w:ind w:left="936" w:hanging="369"/>
        <w:textAlignment w:val="auto"/>
        <w:rPr>
          <w:iCs/>
        </w:rPr>
      </w:pPr>
      <w:r>
        <w:t xml:space="preserve">cumhachtaí cigireachta an Choimisiúin: is gá na teorainneacha, na socruithe agus an nasc leis na </w:t>
      </w:r>
      <w:proofErr w:type="spellStart"/>
      <w:r>
        <w:t>hinniúlachtaí</w:t>
      </w:r>
      <w:proofErr w:type="spellEnd"/>
      <w:r>
        <w:t xml:space="preserve"> náisiúnta a shoiléiriú;</w:t>
      </w:r>
    </w:p>
    <w:p w14:paraId="4C86C8C5" w14:textId="4BB7CA04" w:rsidR="00A55911" w:rsidRPr="00AD4074" w:rsidRDefault="00010421" w:rsidP="00BC1806">
      <w:pPr>
        <w:pStyle w:val="ListParagraph"/>
        <w:numPr>
          <w:ilvl w:val="0"/>
          <w:numId w:val="6"/>
        </w:numPr>
        <w:overflowPunct/>
        <w:adjustRightInd/>
        <w:ind w:left="936" w:hanging="369"/>
        <w:textAlignment w:val="auto"/>
        <w:rPr>
          <w:iCs/>
        </w:rPr>
      </w:pPr>
      <w:r>
        <w:t>ról ESA agus EUSPA: níl comhroinnt na freagrachta idir an dá eagraíocht leagtha síos go soiléir.</w:t>
      </w:r>
    </w:p>
    <w:p w14:paraId="5E218C3D" w14:textId="77777777" w:rsidR="00010421" w:rsidRPr="00AD4074" w:rsidRDefault="00010421" w:rsidP="00BC1806">
      <w:pPr>
        <w:pStyle w:val="ListParagraph"/>
        <w:overflowPunct/>
        <w:adjustRightInd/>
        <w:ind w:left="567"/>
        <w:textAlignment w:val="auto"/>
        <w:rPr>
          <w:iCs/>
        </w:rPr>
      </w:pPr>
    </w:p>
    <w:p w14:paraId="69D0FC3D" w14:textId="2D1DFF98" w:rsidR="00A55911" w:rsidRPr="00AD4074" w:rsidRDefault="00A55911" w:rsidP="00BC1806">
      <w:pPr>
        <w:overflowPunct/>
        <w:adjustRightInd/>
        <w:ind w:left="567"/>
        <w:textAlignment w:val="auto"/>
        <w:rPr>
          <w:iCs/>
        </w:rPr>
      </w:pPr>
      <w:r>
        <w:t xml:space="preserve">Dá gcuirfí treoir shonrach ar fáil maidir leis na gnéithe sin, sheachnófaí cásanna ina mbeadh forluí idir na </w:t>
      </w:r>
      <w:proofErr w:type="spellStart"/>
      <w:r>
        <w:t>hinniúlachtaí</w:t>
      </w:r>
      <w:proofErr w:type="spellEnd"/>
      <w:r>
        <w:t xml:space="preserve"> agus d’éascófaí cur chun feidhme comhchuibhithe an Rialacháin.</w:t>
      </w:r>
    </w:p>
    <w:p w14:paraId="1D0783D3" w14:textId="77777777" w:rsidR="00A55911" w:rsidRPr="00AD4074" w:rsidRDefault="00A55911" w:rsidP="00BC1806">
      <w:pPr>
        <w:overflowPunct/>
        <w:adjustRightInd/>
        <w:textAlignment w:val="auto"/>
        <w:rPr>
          <w:i/>
          <w:iCs/>
        </w:rPr>
      </w:pPr>
    </w:p>
    <w:p w14:paraId="4458F26B" w14:textId="21BD2235" w:rsidR="00A55911" w:rsidRPr="00AD4074" w:rsidRDefault="00A55911" w:rsidP="00BC1806">
      <w:pPr>
        <w:keepNext/>
        <w:keepLines/>
        <w:overflowPunct/>
        <w:adjustRightInd/>
        <w:ind w:left="567"/>
        <w:jc w:val="left"/>
        <w:textAlignment w:val="auto"/>
        <w:rPr>
          <w:i/>
        </w:rPr>
      </w:pPr>
      <w:r>
        <w:rPr>
          <w:i/>
        </w:rPr>
        <w:t>Argóintí a thacaíonn le moladh 1.6</w:t>
      </w:r>
    </w:p>
    <w:p w14:paraId="2358D8A0" w14:textId="77777777" w:rsidR="00A55911" w:rsidRPr="00AD4074" w:rsidRDefault="00A55911" w:rsidP="00BC1806">
      <w:pPr>
        <w:keepNext/>
        <w:keepLines/>
        <w:overflowPunct/>
        <w:adjustRightInd/>
        <w:jc w:val="left"/>
        <w:textAlignment w:val="auto"/>
        <w:rPr>
          <w:iCs/>
        </w:rPr>
      </w:pPr>
    </w:p>
    <w:p w14:paraId="6D356A63" w14:textId="39163555" w:rsidR="00A55911" w:rsidRPr="00AD4074" w:rsidRDefault="00A55911" w:rsidP="00BC1806">
      <w:pPr>
        <w:pStyle w:val="Heading2"/>
        <w:ind w:left="567" w:hanging="567"/>
        <w:rPr>
          <w:i/>
        </w:rPr>
      </w:pPr>
      <w:r>
        <w:t xml:space="preserve">Leis an bhfoclaíocht atá ann faoi láthair, tugtar isteach roinnt </w:t>
      </w:r>
      <w:proofErr w:type="spellStart"/>
      <w:r>
        <w:t>débhríochta</w:t>
      </w:r>
      <w:proofErr w:type="spellEnd"/>
      <w:r>
        <w:t xml:space="preserve"> maidir leis an acrainm </w:t>
      </w:r>
      <w:r>
        <w:rPr>
          <w:b/>
          <w:bCs/>
        </w:rPr>
        <w:t>URSO</w:t>
      </w:r>
      <w:r>
        <w:t>, mar a shainmhínítear in Airteagal 24</w:t>
      </w:r>
      <w:r w:rsidR="00735809" w:rsidRPr="00DD5334">
        <w:rPr>
          <w:rStyle w:val="FootnoteReference"/>
          <w:color w:val="212121"/>
          <w:szCs w:val="22"/>
        </w:rPr>
        <w:footnoteReference w:id="6"/>
      </w:r>
      <w:r>
        <w:t>. Ós rud é nach ndeachaigh an tAontas isteach i gCoinbhinsiún Clárúcháin na Náisiún Aontaithe 1975, ba cheart a shoiléiriú nach ndéanann URSO a dhualgais chlárúcháin a mhacasamhlú ach go n-eisíonn sé deimhniú leictreonach d’oibreoirí spáis faoi Airteagal 25.</w:t>
      </w:r>
      <w:r>
        <w:rPr>
          <w:color w:val="212121"/>
        </w:rPr>
        <w:t xml:space="preserve"> Dá réir sin, bheadh sé níos iomchuí URSO a athainmniú mar</w:t>
      </w:r>
      <w:r>
        <w:rPr>
          <w:b/>
          <w:color w:val="212121"/>
        </w:rPr>
        <w:t xml:space="preserve"> Clár an Aontais um</w:t>
      </w:r>
      <w:r>
        <w:rPr>
          <w:color w:val="212121"/>
        </w:rPr>
        <w:t xml:space="preserve"> </w:t>
      </w:r>
      <w:r>
        <w:rPr>
          <w:b/>
          <w:color w:val="212121"/>
        </w:rPr>
        <w:t>Oibreoirí Spáis</w:t>
      </w:r>
      <w:r>
        <w:rPr>
          <w:color w:val="212121"/>
        </w:rPr>
        <w:t xml:space="preserve">, seachas </w:t>
      </w:r>
      <w:r>
        <w:rPr>
          <w:b/>
          <w:color w:val="212121"/>
        </w:rPr>
        <w:t>Clár an Aontais um Réada Spáis</w:t>
      </w:r>
      <w:r>
        <w:rPr>
          <w:color w:val="212121"/>
        </w:rPr>
        <w:t>.</w:t>
      </w:r>
    </w:p>
    <w:p w14:paraId="63281092" w14:textId="77777777" w:rsidR="00735809" w:rsidRPr="00AD4074" w:rsidRDefault="00735809" w:rsidP="00BC1806">
      <w:pPr>
        <w:overflowPunct/>
        <w:adjustRightInd/>
        <w:textAlignment w:val="auto"/>
        <w:rPr>
          <w:i/>
          <w:iCs/>
        </w:rPr>
      </w:pPr>
    </w:p>
    <w:p w14:paraId="55D66D07" w14:textId="77777777" w:rsidR="00A55911" w:rsidRPr="00AD4074" w:rsidRDefault="00A55911" w:rsidP="00BC1806">
      <w:pPr>
        <w:keepNext/>
        <w:overflowPunct/>
        <w:adjustRightInd/>
        <w:ind w:left="567"/>
        <w:jc w:val="left"/>
        <w:textAlignment w:val="auto"/>
        <w:rPr>
          <w:i/>
        </w:rPr>
      </w:pPr>
      <w:r>
        <w:rPr>
          <w:i/>
        </w:rPr>
        <w:t>Argóintí a thacaíonn le moladh 1.7</w:t>
      </w:r>
    </w:p>
    <w:p w14:paraId="1E218F7E" w14:textId="77777777" w:rsidR="00A55911" w:rsidRPr="00AD4074" w:rsidRDefault="00A55911" w:rsidP="00BC1806">
      <w:pPr>
        <w:pStyle w:val="Heading2"/>
        <w:keepNext/>
        <w:numPr>
          <w:ilvl w:val="0"/>
          <w:numId w:val="0"/>
        </w:numPr>
        <w:rPr>
          <w:i/>
          <w:iCs/>
        </w:rPr>
      </w:pPr>
    </w:p>
    <w:p w14:paraId="088AA879" w14:textId="03A44FDF" w:rsidR="00A55911" w:rsidRPr="00AD4074" w:rsidRDefault="00A55911" w:rsidP="00BC1806">
      <w:pPr>
        <w:pStyle w:val="Heading2"/>
        <w:ind w:left="567" w:hanging="567"/>
      </w:pPr>
      <w:r>
        <w:t xml:space="preserve">Tá aontacht an mhargaidh spáis san Eoraip ag brath go mór ar </w:t>
      </w:r>
      <w:proofErr w:type="spellStart"/>
      <w:r>
        <w:t>phrionsabal</w:t>
      </w:r>
      <w:proofErr w:type="spellEnd"/>
      <w:r>
        <w:t xml:space="preserve"> an aitheantais fhrithpháirtigh. Mar sin féin, ba cheart tuilleadh mionsonraí a thabhairt i dtaobh na bhféidearthachtaí a bheadh ann ceanglais bhreise a thabhairt isteach ar chúiseanna a bhaineann leis an tsábháilteacht, an athléimneacht nó an inbhuanaitheacht (Airteagail 10, 62, 79, 96). Gan critéir oibiachtúla a bheith ann, is baolach go gcruthófaí arís eile bacainní inmheánacha agus éiginnteacht rialála a chuirfeadh isteach ar na hoibreoirí, rud a dhéanfadh dochar d’iomaíochas na hEorpa i dtimpeallacht dhomhanda atá ag éirí níos iomaíche.</w:t>
      </w:r>
    </w:p>
    <w:p w14:paraId="4A6DD950" w14:textId="77777777" w:rsidR="00A55911" w:rsidRPr="00AD4074" w:rsidRDefault="00A55911" w:rsidP="00BC1806">
      <w:pPr>
        <w:overflowPunct/>
        <w:adjustRightInd/>
        <w:textAlignment w:val="auto"/>
        <w:rPr>
          <w:i/>
          <w:iCs/>
        </w:rPr>
      </w:pPr>
    </w:p>
    <w:p w14:paraId="7336A41B" w14:textId="77777777" w:rsidR="00A55911" w:rsidRPr="00AD4074" w:rsidRDefault="00A55911" w:rsidP="00BC1806">
      <w:pPr>
        <w:keepNext/>
        <w:keepLines/>
        <w:overflowPunct/>
        <w:adjustRightInd/>
        <w:ind w:left="567"/>
        <w:jc w:val="left"/>
        <w:textAlignment w:val="auto"/>
        <w:rPr>
          <w:i/>
        </w:rPr>
      </w:pPr>
      <w:r>
        <w:rPr>
          <w:i/>
        </w:rPr>
        <w:t>Argóintí a thacaíonn le moladh 1.8</w:t>
      </w:r>
    </w:p>
    <w:p w14:paraId="12429C0B" w14:textId="77777777" w:rsidR="00A55911" w:rsidRPr="00AD4074" w:rsidRDefault="00A55911" w:rsidP="00BC1806">
      <w:pPr>
        <w:keepNext/>
        <w:keepLines/>
        <w:overflowPunct/>
        <w:adjustRightInd/>
        <w:jc w:val="left"/>
        <w:textAlignment w:val="auto"/>
        <w:rPr>
          <w:iCs/>
        </w:rPr>
      </w:pPr>
    </w:p>
    <w:p w14:paraId="20690BC5" w14:textId="518FA3B3" w:rsidR="00A55911" w:rsidRPr="00AD4074" w:rsidRDefault="00A55911" w:rsidP="00BC1806">
      <w:pPr>
        <w:pStyle w:val="Heading2"/>
        <w:ind w:left="567" w:hanging="567"/>
        <w:rPr>
          <w:szCs w:val="22"/>
        </w:rPr>
      </w:pPr>
      <w:r>
        <w:t>Ilroinnt na reachtaíochta a sheachaint: le hAirteagal 8 den Rialachán, tugtar isteach prionsabal an aitheantais fhrithpháirtigh i dtaobh na n-</w:t>
      </w:r>
      <w:proofErr w:type="spellStart"/>
      <w:r>
        <w:t>údaruithe</w:t>
      </w:r>
      <w:proofErr w:type="spellEnd"/>
      <w:r>
        <w:t xml:space="preserve"> a d’eiseodh na Ballstáit. D’fhéadfaí an baol go ndéanfaí dúbailt ar nósanna imeachta nó go mbeadh nósanna imeachta éagsúla ann a sheachaint dá ndéanfaí an fhoráil sin a neartú agus a chur chun feidhme ar shlí ní ba </w:t>
      </w:r>
      <w:proofErr w:type="spellStart"/>
      <w:r>
        <w:t>phraiticiúla</w:t>
      </w:r>
      <w:proofErr w:type="spellEnd"/>
      <w:r>
        <w:t>, rud a chuirfeadh cosc ar an ‘siopadóireacht dlínse’ agus a chinnteodh go mbeadh cothroime iomaíochta sa mhargadh inmheánach.</w:t>
      </w:r>
    </w:p>
    <w:p w14:paraId="1A093784" w14:textId="77777777" w:rsidR="00A55911" w:rsidRPr="00AD4074" w:rsidRDefault="00A55911" w:rsidP="00BC1806">
      <w:pPr>
        <w:rPr>
          <w:lang w:eastAsia="it-IT"/>
        </w:rPr>
      </w:pPr>
    </w:p>
    <w:p w14:paraId="78F539C3" w14:textId="6E9B1ABA" w:rsidR="00A55911" w:rsidRPr="00AD4074" w:rsidRDefault="00A55911" w:rsidP="00BC1806">
      <w:pPr>
        <w:pStyle w:val="Heading2"/>
        <w:ind w:left="567" w:hanging="567"/>
        <w:rPr>
          <w:color w:val="000000"/>
          <w:szCs w:val="22"/>
        </w:rPr>
      </w:pPr>
      <w:r>
        <w:rPr>
          <w:color w:val="000000"/>
        </w:rPr>
        <w:t xml:space="preserve">Nósanna imeachta níos simplí le haghaidh </w:t>
      </w:r>
      <w:proofErr w:type="spellStart"/>
      <w:r>
        <w:rPr>
          <w:color w:val="000000"/>
        </w:rPr>
        <w:t>FBManna</w:t>
      </w:r>
      <w:proofErr w:type="spellEnd"/>
      <w:r>
        <w:rPr>
          <w:color w:val="000000"/>
        </w:rPr>
        <w:t xml:space="preserve"> agus oibreoirí beaga: foráiltear le hAirteagail 10, 62 agus 69 go mbeadh córas scaoilte agus ceanglais speisialta ann le haghaidh eintitis bheaga; chabhródh ionad ilfhreastail arna chomhordú ag EUSPA leis an </w:t>
      </w:r>
      <w:proofErr w:type="spellStart"/>
      <w:r>
        <w:rPr>
          <w:color w:val="000000"/>
        </w:rPr>
        <w:t>simpliúchán</w:t>
      </w:r>
      <w:proofErr w:type="spellEnd"/>
      <w:r>
        <w:rPr>
          <w:color w:val="000000"/>
        </w:rPr>
        <w:t xml:space="preserve"> sin a dhéanamh ar bhealach aonfhoirmeach, rud a shábhálfadh am agus costas.</w:t>
      </w:r>
    </w:p>
    <w:p w14:paraId="23FE0DF5" w14:textId="77777777" w:rsidR="00A55911" w:rsidRPr="00AD4074" w:rsidRDefault="00A55911" w:rsidP="00BC1806">
      <w:pPr>
        <w:rPr>
          <w:lang w:eastAsia="it-IT"/>
        </w:rPr>
      </w:pPr>
    </w:p>
    <w:p w14:paraId="72B5ECB1" w14:textId="4F5D3F90" w:rsidR="00A55911" w:rsidRPr="00AD4074" w:rsidRDefault="00A55911" w:rsidP="00BC1806">
      <w:pPr>
        <w:pStyle w:val="Heading2"/>
        <w:ind w:left="567" w:hanging="567"/>
        <w:rPr>
          <w:color w:val="000000"/>
          <w:szCs w:val="22"/>
        </w:rPr>
      </w:pPr>
      <w:r>
        <w:rPr>
          <w:color w:val="000000"/>
        </w:rPr>
        <w:t>Ról oibríochtúil EUSPA: le hAirteagal 19 tugtar ról tacaíochta teicniúla agus comhordúcháin do EUSPA. D’fhágfadh ionad ilfhreastail gurbh fhearr a d’fhéadfaí na feidhmeanna sin a chomhlíonadh, rud a chinnteodh go mbeadh trédhearcacht ann agus go bhféadfadh na hoibreoirí treoir a lorg agus caidreamh a dhéanamh leis na húdaráis náisiúnta.</w:t>
      </w:r>
    </w:p>
    <w:p w14:paraId="3BFD10AA" w14:textId="77777777" w:rsidR="00A55911" w:rsidRPr="00AD4074" w:rsidRDefault="00A55911" w:rsidP="00BC1806">
      <w:pPr>
        <w:rPr>
          <w:lang w:eastAsia="it-IT"/>
        </w:rPr>
      </w:pPr>
    </w:p>
    <w:p w14:paraId="48463012" w14:textId="1218D7BF" w:rsidR="00A55911" w:rsidRPr="00AD4074" w:rsidRDefault="00A55911" w:rsidP="00BC1806">
      <w:pPr>
        <w:pStyle w:val="Heading2"/>
        <w:ind w:left="567" w:hanging="567"/>
        <w:rPr>
          <w:color w:val="000000"/>
          <w:szCs w:val="22"/>
        </w:rPr>
      </w:pPr>
      <w:r>
        <w:rPr>
          <w:color w:val="000000"/>
        </w:rPr>
        <w:t>Tacaíocht don iomaíochas agus don uathriail straitéiseach: d’fhágfadh córas comhchuibhithe láraithe go laghdófaí na bacainní riaracháin, rud a chuirfeadh le cé chomh tarraingteach agus a bheadh an creat rialála Eorpach agus a neartódh ceannaireacht an Aontais Eorpaigh i réimse an spáis.</w:t>
      </w:r>
    </w:p>
    <w:p w14:paraId="423EC939" w14:textId="77777777" w:rsidR="00A55911" w:rsidRPr="00AD4074" w:rsidRDefault="00A55911" w:rsidP="00BC1806">
      <w:pPr>
        <w:rPr>
          <w:lang w:eastAsia="it-IT"/>
        </w:rPr>
      </w:pPr>
    </w:p>
    <w:p w14:paraId="1FB01FEE" w14:textId="475C6A07" w:rsidR="00A55911" w:rsidRPr="00AD4074" w:rsidRDefault="00A55911" w:rsidP="00BC1806">
      <w:pPr>
        <w:pStyle w:val="Heading2"/>
        <w:ind w:left="567" w:hanging="567"/>
        <w:rPr>
          <w:szCs w:val="22"/>
        </w:rPr>
      </w:pPr>
      <w:r>
        <w:rPr>
          <w:color w:val="000000"/>
        </w:rPr>
        <w:t>Comhsheasmhacht leis an dlí idirnáisiúnta: d’fhágfadh an comhordú lárnach agus an t-aitheantas frithpháirteach go n-</w:t>
      </w:r>
      <w:proofErr w:type="spellStart"/>
      <w:r>
        <w:rPr>
          <w:color w:val="000000"/>
        </w:rPr>
        <w:t>éascófaí</w:t>
      </w:r>
      <w:proofErr w:type="spellEnd"/>
      <w:r>
        <w:rPr>
          <w:color w:val="000000"/>
        </w:rPr>
        <w:t xml:space="preserve"> a bheith de réir na n-oibleagáidí idirnáisiúnta dá dtagraítear in Airteagal 6. Lena chois sin, chuirfí leis an idir-inoibritheacht le cláir dhomhanda ar nós chlár na Náisiún Aontaithe.</w:t>
      </w:r>
    </w:p>
    <w:p w14:paraId="42C5A821" w14:textId="77777777" w:rsidR="00A55911" w:rsidRPr="00AD4074" w:rsidRDefault="00A55911" w:rsidP="00BC1806">
      <w:pPr>
        <w:overflowPunct/>
        <w:adjustRightInd/>
        <w:textAlignment w:val="auto"/>
        <w:rPr>
          <w:i/>
          <w:iCs/>
        </w:rPr>
      </w:pPr>
    </w:p>
    <w:p w14:paraId="33CFDC72" w14:textId="77777777" w:rsidR="00A55911" w:rsidRPr="00AD4074" w:rsidRDefault="00A55911" w:rsidP="00BC1806">
      <w:pPr>
        <w:keepNext/>
        <w:keepLines/>
        <w:overflowPunct/>
        <w:adjustRightInd/>
        <w:ind w:left="567"/>
        <w:jc w:val="left"/>
        <w:textAlignment w:val="auto"/>
        <w:rPr>
          <w:i/>
        </w:rPr>
      </w:pPr>
      <w:r>
        <w:rPr>
          <w:i/>
        </w:rPr>
        <w:t>Argóintí a thacaíonn le moladh 1.9</w:t>
      </w:r>
    </w:p>
    <w:p w14:paraId="2C32F3C1" w14:textId="77777777" w:rsidR="00A55911" w:rsidRPr="00AD4074" w:rsidRDefault="00A55911" w:rsidP="00BC1806">
      <w:pPr>
        <w:keepNext/>
        <w:keepLines/>
        <w:overflowPunct/>
        <w:adjustRightInd/>
        <w:jc w:val="left"/>
        <w:textAlignment w:val="auto"/>
        <w:rPr>
          <w:i/>
          <w:iCs/>
        </w:rPr>
      </w:pPr>
    </w:p>
    <w:p w14:paraId="49FB4A36" w14:textId="671FC71B" w:rsidR="00A55911" w:rsidRPr="00AD4074" w:rsidRDefault="00A55911" w:rsidP="00BC1806">
      <w:pPr>
        <w:pStyle w:val="Heading2"/>
        <w:ind w:left="567" w:hanging="567"/>
      </w:pPr>
      <w:r>
        <w:t xml:space="preserve">Déanfar an chuid is mó de na ceanglais </w:t>
      </w:r>
      <w:proofErr w:type="spellStart"/>
      <w:r>
        <w:t>oibríochtúla</w:t>
      </w:r>
      <w:proofErr w:type="spellEnd"/>
      <w:r>
        <w:t xml:space="preserve"> shonracha a shainiú sna gníomhartha cur chun feidhme. D’fhágfadh próiseas rannpháirteach go gcuirfí cosc ar réitigh atá ró-láraithe nó atá ró-scoite ó fhírinne an tionscail agus go gcinnteofaí go ndéanfaí na gníomhartha a chomhchuibhiú go héifeachtach agus go </w:t>
      </w:r>
      <w:proofErr w:type="spellStart"/>
      <w:r>
        <w:t>hinbhuanaithe</w:t>
      </w:r>
      <w:proofErr w:type="spellEnd"/>
      <w:r>
        <w:t>.</w:t>
      </w:r>
    </w:p>
    <w:p w14:paraId="485ACE83" w14:textId="77777777" w:rsidR="00A55911" w:rsidRPr="00AD4074" w:rsidRDefault="00A55911" w:rsidP="00BC1806">
      <w:pPr>
        <w:overflowPunct/>
        <w:adjustRightInd/>
        <w:textAlignment w:val="auto"/>
        <w:rPr>
          <w:iCs/>
        </w:rPr>
      </w:pPr>
    </w:p>
    <w:p w14:paraId="5EB149B6" w14:textId="77777777" w:rsidR="00A55911" w:rsidRPr="00AD4074" w:rsidRDefault="00A55911" w:rsidP="00BC1806">
      <w:pPr>
        <w:keepNext/>
        <w:keepLines/>
        <w:overflowPunct/>
        <w:adjustRightInd/>
        <w:ind w:left="567"/>
        <w:jc w:val="left"/>
        <w:textAlignment w:val="auto"/>
        <w:rPr>
          <w:i/>
        </w:rPr>
      </w:pPr>
      <w:r>
        <w:rPr>
          <w:i/>
        </w:rPr>
        <w:t>Argóintí a thacaíonn le moladh 1.10</w:t>
      </w:r>
    </w:p>
    <w:p w14:paraId="5265A7F4" w14:textId="77777777" w:rsidR="00A55911" w:rsidRPr="00AD4074" w:rsidRDefault="00A55911" w:rsidP="00BC1806">
      <w:pPr>
        <w:keepNext/>
        <w:keepLines/>
        <w:overflowPunct/>
        <w:adjustRightInd/>
        <w:jc w:val="left"/>
        <w:textAlignment w:val="auto"/>
        <w:rPr>
          <w:iCs/>
        </w:rPr>
      </w:pPr>
    </w:p>
    <w:p w14:paraId="50E4647F" w14:textId="4295D78F" w:rsidR="00A55911" w:rsidRPr="00AD4074" w:rsidRDefault="00A55911" w:rsidP="00BC1806">
      <w:pPr>
        <w:pStyle w:val="Heading2"/>
        <w:ind w:left="567" w:hanging="567"/>
      </w:pPr>
      <w:r>
        <w:t xml:space="preserve">Tá an-tábhacht le colún na </w:t>
      </w:r>
      <w:proofErr w:type="spellStart"/>
      <w:r>
        <w:t>hathléimneachta</w:t>
      </w:r>
      <w:proofErr w:type="spellEnd"/>
      <w:r>
        <w:t xml:space="preserve">, ach tá an baol ann go bhfágfaidh an creat reatha go gcruthófar an iliomad oibleagáidí a d’fhéadfadh teacht salach ar a chéile. Trí na rialacha a chomhordú go sainráite, bheadh comhsheasmhacht ann, laghdófaí na costais a bhaineann le comhlíonadh na rialacha agus chuirfí le </w:t>
      </w:r>
      <w:proofErr w:type="spellStart"/>
      <w:r>
        <w:t>héifeachtacht</w:t>
      </w:r>
      <w:proofErr w:type="spellEnd"/>
      <w:r>
        <w:t xml:space="preserve"> na mbeart slándála.</w:t>
      </w:r>
    </w:p>
    <w:p w14:paraId="64F0347A" w14:textId="77777777" w:rsidR="00A55911" w:rsidRPr="00AD4074" w:rsidRDefault="00A55911" w:rsidP="00BC1806">
      <w:pPr>
        <w:overflowPunct/>
        <w:adjustRightInd/>
        <w:textAlignment w:val="auto"/>
        <w:rPr>
          <w:iCs/>
        </w:rPr>
      </w:pPr>
    </w:p>
    <w:p w14:paraId="6E1A0C14" w14:textId="77777777" w:rsidR="00A55911" w:rsidRPr="00AD4074" w:rsidRDefault="00A55911" w:rsidP="00BC1806">
      <w:pPr>
        <w:keepNext/>
        <w:keepLines/>
        <w:overflowPunct/>
        <w:adjustRightInd/>
        <w:ind w:left="567"/>
        <w:jc w:val="left"/>
        <w:textAlignment w:val="auto"/>
        <w:rPr>
          <w:i/>
        </w:rPr>
      </w:pPr>
      <w:r>
        <w:rPr>
          <w:i/>
        </w:rPr>
        <w:t>Argóintí a thacaíonn le moladh 1.11</w:t>
      </w:r>
    </w:p>
    <w:p w14:paraId="784E3A59" w14:textId="77777777" w:rsidR="00A55911" w:rsidRPr="00AD4074" w:rsidRDefault="00A55911" w:rsidP="00BC1806">
      <w:pPr>
        <w:keepNext/>
        <w:keepLines/>
        <w:overflowPunct/>
        <w:adjustRightInd/>
        <w:ind w:left="567"/>
        <w:jc w:val="left"/>
        <w:textAlignment w:val="auto"/>
        <w:rPr>
          <w:i/>
          <w:iCs/>
        </w:rPr>
      </w:pPr>
    </w:p>
    <w:p w14:paraId="6C215580" w14:textId="5BA1070A" w:rsidR="00A55911" w:rsidRPr="00AD4074" w:rsidRDefault="00A55911" w:rsidP="00BC1806">
      <w:pPr>
        <w:pStyle w:val="Heading2"/>
        <w:ind w:left="567" w:hanging="567"/>
      </w:pPr>
      <w:r>
        <w:t>Maidir le rochtain a thabhairt d’oibreoirí tríú tíortha ar mhargadh an Aontais, ní mór an chothroime iomaíochta a áirithiú agus spleáchais in earnálacha straitéiseacha a sheachaint. D’fhágfadh nósanna imeachta soiléire go mbeadh intuarthacht bhreise ann do ghnólachtaí agus go mbeadh an tAontas ní ba inchreidte mar údarás rialála.</w:t>
      </w:r>
    </w:p>
    <w:p w14:paraId="3A9742E9" w14:textId="77777777" w:rsidR="00B261C8" w:rsidRPr="00AD4074" w:rsidRDefault="00B261C8" w:rsidP="00F86913"/>
    <w:p w14:paraId="55DA025D" w14:textId="53F00907" w:rsidR="00A55911" w:rsidRPr="00AD4074" w:rsidRDefault="00A55911" w:rsidP="00BC1806">
      <w:pPr>
        <w:pStyle w:val="Heading2"/>
        <w:numPr>
          <w:ilvl w:val="0"/>
          <w:numId w:val="0"/>
        </w:numPr>
        <w:ind w:left="567"/>
        <w:rPr>
          <w:iCs/>
        </w:rPr>
      </w:pPr>
      <w:r>
        <w:t xml:space="preserve">Tá sé luaite sa téacs reatha go mbunófaí córas casta ar bhonn comhaontuithe comhair le húdaráis tríú tíortha chun cigireachtaí a cheadú, ach ní shonraítear an mbeadh cumhachtaí díreacha cigireachta ag an Aontas nó conas a chinnteofaí go gcuirfí na rialacha i bhfeidhm </w:t>
      </w:r>
      <w:r>
        <w:lastRenderedPageBreak/>
        <w:t>lasmuigh den Aontas. D’fhéadfadh bearnaí rialaithe, díospóidí dlínse agus saobhadh margaidh a bheith mar thoradh ar an éiginnteacht sin.</w:t>
      </w:r>
    </w:p>
    <w:p w14:paraId="7C08D87C" w14:textId="77777777" w:rsidR="00B261C8" w:rsidRPr="00AD4074" w:rsidRDefault="00B261C8" w:rsidP="00F86913"/>
    <w:p w14:paraId="49FC0489" w14:textId="57EEB7AA" w:rsidR="00A55911" w:rsidRPr="00AD4074" w:rsidRDefault="00A55911" w:rsidP="00BC1806">
      <w:pPr>
        <w:pStyle w:val="Heading2"/>
        <w:numPr>
          <w:ilvl w:val="0"/>
          <w:numId w:val="0"/>
        </w:numPr>
        <w:ind w:left="567"/>
      </w:pPr>
      <w:r>
        <w:t xml:space="preserve">Dá mbunófaí rialacha beachta maidir le haitheantas, faireachán agus forfheidhmiú, chuirfí leis an deimhneacht dhlíthiúil, leis an gcur i bhfeidhm aonfhoirmeach agus le cé chomh </w:t>
      </w:r>
      <w:proofErr w:type="spellStart"/>
      <w:r>
        <w:t>hinchreidte</w:t>
      </w:r>
      <w:proofErr w:type="spellEnd"/>
      <w:r>
        <w:t xml:space="preserve"> agus atá an tAontas ar an leibhéal idirnáisiúnta, rud a chosnódh slándáil, inbhuanaitheacht agus iomaíochas earnáil spáis na hEorpa.</w:t>
      </w:r>
    </w:p>
    <w:p w14:paraId="6446CFEA" w14:textId="77777777" w:rsidR="00A55911" w:rsidRPr="00AD4074" w:rsidRDefault="00A55911" w:rsidP="00BC1806">
      <w:pPr>
        <w:overflowPunct/>
        <w:adjustRightInd/>
        <w:textAlignment w:val="auto"/>
        <w:rPr>
          <w:i/>
          <w:iCs/>
        </w:rPr>
      </w:pPr>
    </w:p>
    <w:p w14:paraId="0BA31D2D" w14:textId="77777777" w:rsidR="00A55911" w:rsidRPr="00AD4074" w:rsidRDefault="00A55911" w:rsidP="00BC1806">
      <w:pPr>
        <w:keepNext/>
        <w:keepLines/>
        <w:overflowPunct/>
        <w:adjustRightInd/>
        <w:ind w:left="567"/>
        <w:jc w:val="left"/>
        <w:textAlignment w:val="auto"/>
        <w:rPr>
          <w:i/>
        </w:rPr>
      </w:pPr>
      <w:r>
        <w:rPr>
          <w:i/>
        </w:rPr>
        <w:t>Argóintí a thacaíonn le moladh 1.12</w:t>
      </w:r>
    </w:p>
    <w:p w14:paraId="0BA300AC" w14:textId="77777777" w:rsidR="00A55911" w:rsidRPr="00AD4074" w:rsidRDefault="00A55911" w:rsidP="00BC1806">
      <w:pPr>
        <w:keepNext/>
        <w:keepLines/>
        <w:overflowPunct/>
        <w:adjustRightInd/>
        <w:jc w:val="left"/>
        <w:textAlignment w:val="auto"/>
        <w:rPr>
          <w:iCs/>
        </w:rPr>
      </w:pPr>
    </w:p>
    <w:p w14:paraId="057A698A" w14:textId="65A9D283" w:rsidR="00A55911" w:rsidRPr="00AD4074" w:rsidRDefault="00A55911" w:rsidP="00BC1806">
      <w:pPr>
        <w:pStyle w:val="Heading2"/>
        <w:ind w:left="567" w:hanging="567"/>
      </w:pPr>
      <w:r>
        <w:t>Is rud dearfach é córas ceangailteach a thabhairt isteach chun lorg comhshaoil na misean spáis a ríomh agus a dheimhniú, ach níor mhór an córas sin a chur chun feidhme go comhréireach. Tá sé thar a bheith tábhachtach acmhainn straitéiseach thionscail na hEorpa a chaomhnú, scileanna teicniúla a chosaint agus tionchar na hearnála ar an bhfostaíocht a neartú, ionas go mbeidh an inbhuanaitheacht comhshaoil ina spreagadh don fhás agus don iomaíochas.</w:t>
      </w:r>
    </w:p>
    <w:p w14:paraId="442F98BE" w14:textId="77777777" w:rsidR="00A55911" w:rsidRPr="00AD4074" w:rsidRDefault="00A55911" w:rsidP="00BC1806">
      <w:pPr>
        <w:overflowPunct/>
        <w:adjustRightInd/>
        <w:textAlignment w:val="auto"/>
        <w:rPr>
          <w:i/>
          <w:iCs/>
        </w:rPr>
      </w:pPr>
    </w:p>
    <w:p w14:paraId="7103810B" w14:textId="77777777" w:rsidR="00A55911" w:rsidRPr="00AD4074" w:rsidRDefault="00A55911" w:rsidP="00BC1806">
      <w:pPr>
        <w:keepNext/>
        <w:keepLines/>
        <w:overflowPunct/>
        <w:adjustRightInd/>
        <w:ind w:left="567"/>
        <w:jc w:val="left"/>
        <w:textAlignment w:val="auto"/>
        <w:rPr>
          <w:i/>
          <w:iCs/>
        </w:rPr>
      </w:pPr>
      <w:r>
        <w:rPr>
          <w:i/>
        </w:rPr>
        <w:t xml:space="preserve">Argóintí a thacaíonn le moladh 1.13 </w:t>
      </w:r>
    </w:p>
    <w:p w14:paraId="2E7A82E6" w14:textId="77777777" w:rsidR="00A55911" w:rsidRPr="00AD4074" w:rsidRDefault="00A55911" w:rsidP="00BC1806">
      <w:pPr>
        <w:keepNext/>
        <w:keepLines/>
      </w:pPr>
    </w:p>
    <w:p w14:paraId="2CFC8DCB" w14:textId="3F5C6BE7" w:rsidR="00A55911" w:rsidRPr="00AD4074" w:rsidRDefault="00A55911" w:rsidP="00BC1806">
      <w:pPr>
        <w:pStyle w:val="Heading2"/>
        <w:ind w:left="567" w:hanging="567"/>
      </w:pPr>
      <w:r>
        <w:t xml:space="preserve">Tugtar aitheantas sa Rialachán don ról atá ag teacht chun cinn in </w:t>
      </w:r>
      <w:proofErr w:type="spellStart"/>
      <w:r>
        <w:t>FBManna</w:t>
      </w:r>
      <w:proofErr w:type="spellEnd"/>
      <w:r>
        <w:t xml:space="preserve"> agus déantar foráil ann maidir le bearta cúnaimh theicniúil agus fothaithe </w:t>
      </w:r>
      <w:proofErr w:type="spellStart"/>
      <w:r>
        <w:t>acmhainneachta</w:t>
      </w:r>
      <w:proofErr w:type="spellEnd"/>
      <w:r>
        <w:t xml:space="preserve"> (Airteagail 30-32; leagtar béim in aithris 40 ar an ról atá ag </w:t>
      </w:r>
      <w:proofErr w:type="spellStart"/>
      <w:r>
        <w:t>FBManna</w:t>
      </w:r>
      <w:proofErr w:type="spellEnd"/>
      <w:r>
        <w:t xml:space="preserve"> maidir leis an nuálaíocht a chur chun cinn san earnáil), go háirithe trí EUSPA. Mar sin féin, ní mór an chaoi a gcuimsítear iad sna cláir um sholáthar agus taighde a neartú.</w:t>
      </w:r>
    </w:p>
    <w:p w14:paraId="19FAC94E" w14:textId="77777777" w:rsidR="00A55911" w:rsidRPr="00AD4074" w:rsidRDefault="00A55911" w:rsidP="00BC1806"/>
    <w:p w14:paraId="5D2FCCAD" w14:textId="587E4CAE" w:rsidR="00A55911" w:rsidRPr="004169CE" w:rsidRDefault="00A55911" w:rsidP="00BC1806">
      <w:pPr>
        <w:pStyle w:val="Heading2"/>
        <w:ind w:left="567" w:hanging="567"/>
      </w:pPr>
      <w:r>
        <w:t xml:space="preserve">Meastar go mbeidh an acmhainn eacnamaíoch a bheidh i ngníomhaíochtaí na hEorpa sa spás cothrom le EUR 140 billiún in aghaidh na bliana idir seo agus 2050. Tá sé tugtha le fios i dtuarascáil de chuid na </w:t>
      </w:r>
      <w:proofErr w:type="spellStart"/>
      <w:r>
        <w:t>hArd</w:t>
      </w:r>
      <w:proofErr w:type="spellEnd"/>
      <w:r>
        <w:t>-Stiúrthóireachta um Sheirbhísí Taighde Pharlaimintigh (EPRS) go bhféadfaí suas le EUR 140 billiún de shochair eacnamaíocha dhíreacha agus indíreacha a ghiniúint in aghaidh na bliana idir seo agus 2050 dá ndéanfaí beart éifeachtach comhordaithe ar an leibhéal Eorpach ó thaobh na reachtaíochta, na tionsclaíochta agus an bhonneagair de. Baineann an luach sin leis na príomhghníomhaíochtaí sa spás (</w:t>
      </w:r>
      <w:proofErr w:type="spellStart"/>
      <w:r>
        <w:t>lainseálacha</w:t>
      </w:r>
      <w:proofErr w:type="spellEnd"/>
      <w:r>
        <w:t xml:space="preserve">, réaltbhuíonta, seirbhísí GNSS) agus le hearnálacha ar leith, lena n-áirítear an fheirmeoireacht bheacht, an fuinneamh sa spás, an </w:t>
      </w:r>
      <w:proofErr w:type="spellStart"/>
      <w:r>
        <w:t>lóistíocht</w:t>
      </w:r>
      <w:proofErr w:type="spellEnd"/>
      <w:r>
        <w:t xml:space="preserve"> chliste, an athléimneacht in aghaidh an athraithe aeráide</w:t>
      </w:r>
      <w:r w:rsidRPr="00DD5334">
        <w:rPr>
          <w:rStyle w:val="FootnoteReference"/>
        </w:rPr>
        <w:footnoteReference w:id="7"/>
      </w:r>
      <w:r>
        <w:t>.</w:t>
      </w:r>
    </w:p>
    <w:p w14:paraId="499A21EB" w14:textId="77777777" w:rsidR="00A46212" w:rsidRPr="00AD4074" w:rsidRDefault="00A46212" w:rsidP="00BC1806"/>
    <w:p w14:paraId="0DCBE324" w14:textId="3E60A24C" w:rsidR="00A55911" w:rsidRPr="00AD4074" w:rsidRDefault="00A55911" w:rsidP="00F86913">
      <w:pPr>
        <w:keepNext/>
        <w:ind w:left="567"/>
      </w:pPr>
      <w:r>
        <w:rPr>
          <w:i/>
        </w:rPr>
        <w:t>Argóintí a thacaíonn le moladh 1.14</w:t>
      </w:r>
    </w:p>
    <w:p w14:paraId="61D58AD5" w14:textId="77777777" w:rsidR="00A55911" w:rsidRPr="00AD4074" w:rsidRDefault="00A55911" w:rsidP="00F86913">
      <w:pPr>
        <w:keepNext/>
      </w:pPr>
    </w:p>
    <w:p w14:paraId="583BF467" w14:textId="5E197F8B" w:rsidR="00A55911" w:rsidRPr="00AD4074" w:rsidRDefault="00A55911" w:rsidP="00BC1806">
      <w:pPr>
        <w:pStyle w:val="Heading2"/>
        <w:ind w:left="567" w:hanging="567"/>
      </w:pPr>
      <w:r>
        <w:t>Aithnítear sa Rialachán an acmhainn shistéamach atá i ngeilleagar an spáis, ach ní mór leas a bhaint as an idirnasc le beartais agus straitéisí Eorpacha (an Comhaontú Glas, an t-aistriú glas agus digiteach, an uathriail straitéiseach).</w:t>
      </w:r>
    </w:p>
    <w:p w14:paraId="41C23C99" w14:textId="77777777" w:rsidR="00A55911" w:rsidRPr="00AD4074" w:rsidRDefault="00A55911" w:rsidP="00BC1806"/>
    <w:p w14:paraId="539BA361" w14:textId="128169F8" w:rsidR="00A55911" w:rsidRPr="00AD4074" w:rsidRDefault="00A55911" w:rsidP="00BC1806">
      <w:pPr>
        <w:keepNext/>
        <w:ind w:left="567"/>
        <w:rPr>
          <w:i/>
        </w:rPr>
      </w:pPr>
      <w:r>
        <w:rPr>
          <w:i/>
        </w:rPr>
        <w:lastRenderedPageBreak/>
        <w:t>Argóintí a thacaíonn le moladh 1.15</w:t>
      </w:r>
    </w:p>
    <w:p w14:paraId="14D7AC5D" w14:textId="77777777" w:rsidR="00A55911" w:rsidRPr="00AD4074" w:rsidRDefault="00A55911" w:rsidP="00BC1806">
      <w:pPr>
        <w:keepNext/>
        <w:rPr>
          <w:i/>
        </w:rPr>
      </w:pPr>
    </w:p>
    <w:p w14:paraId="30FC2362" w14:textId="0B7E7709" w:rsidR="00A55911" w:rsidRPr="00AD4074" w:rsidRDefault="00A55911" w:rsidP="00BC1806">
      <w:pPr>
        <w:pStyle w:val="Heading2"/>
        <w:ind w:left="567" w:hanging="567"/>
      </w:pPr>
      <w:r>
        <w:t xml:space="preserve">Dírítear sa Rialachán ar fhothú </w:t>
      </w:r>
      <w:proofErr w:type="spellStart"/>
      <w:r>
        <w:t>acmhainneachta</w:t>
      </w:r>
      <w:proofErr w:type="spellEnd"/>
      <w:r>
        <w:t xml:space="preserve"> na n-oibreoirí. Gan lucht saothair oilte a bheith ann, ní fhéadfar an t-iomaíochas a rialáil ar dhóigh inbhuanaithe. Tugtar aitheantas sa Rialachán don tábhacht a bhaineann le scileanna, ach tá gá le straitéis struchtúrtha de chuid an Aontais chun daoine oilte a mhealladh.</w:t>
      </w:r>
    </w:p>
    <w:p w14:paraId="53E637E6" w14:textId="77777777" w:rsidR="00A55911" w:rsidRPr="00AD4074" w:rsidRDefault="00A55911" w:rsidP="00BC1806">
      <w:pPr>
        <w:ind w:left="567" w:hanging="567"/>
      </w:pPr>
    </w:p>
    <w:p w14:paraId="41FB4F77" w14:textId="7343B7CC" w:rsidR="00A55911" w:rsidRPr="004169CE" w:rsidRDefault="00A55911" w:rsidP="00BC1806">
      <w:pPr>
        <w:pStyle w:val="Heading2"/>
        <w:ind w:left="567" w:hanging="567"/>
      </w:pPr>
      <w:r>
        <w:t xml:space="preserve">Trí fhorbairt a dhéanamh ar gheilleagar an spáis cruthófar éiceachórais fostaíochta nua ina mbeifear in ann daoine oilte óga a mhealladh agus an comhtháthú </w:t>
      </w:r>
      <w:proofErr w:type="spellStart"/>
      <w:r>
        <w:t>críochach</w:t>
      </w:r>
      <w:proofErr w:type="spellEnd"/>
      <w:r>
        <w:t xml:space="preserve"> a neartú. De réir mheastacháin EPRS, d’fhéadfadh níos mó ná 1 mhilliún post nua a bheith i gceist faoi 2040 in earnálacha a bhfuil baint acu le geilleagar an spáis, mar shampla an intleacht shaorga, an róbataic, an ríomhaireacht chandamach, an talmhaíocht sa spás agus an </w:t>
      </w:r>
      <w:proofErr w:type="spellStart"/>
      <w:r>
        <w:t>ghrianchumhacht</w:t>
      </w:r>
      <w:proofErr w:type="spellEnd"/>
      <w:r>
        <w:t xml:space="preserve"> sa spás</w:t>
      </w:r>
      <w:r w:rsidRPr="00DD5334">
        <w:rPr>
          <w:rStyle w:val="FootnoteReference"/>
        </w:rPr>
        <w:footnoteReference w:id="8"/>
      </w:r>
      <w:r>
        <w:t>.</w:t>
      </w:r>
    </w:p>
    <w:p w14:paraId="4D2C0EB1" w14:textId="77777777" w:rsidR="00A55911" w:rsidRPr="00AD4074" w:rsidRDefault="00A55911" w:rsidP="00BC1806"/>
    <w:p w14:paraId="2E3C79E3" w14:textId="77777777" w:rsidR="00A55911" w:rsidRPr="00AD4074" w:rsidRDefault="00A55911" w:rsidP="00BC1806">
      <w:pPr>
        <w:keepNext/>
        <w:ind w:left="567"/>
        <w:rPr>
          <w:i/>
        </w:rPr>
      </w:pPr>
      <w:r>
        <w:rPr>
          <w:i/>
        </w:rPr>
        <w:t>Argóintí a thacaíonn le moladh 1.16</w:t>
      </w:r>
    </w:p>
    <w:p w14:paraId="611CCE48" w14:textId="77777777" w:rsidR="00A55911" w:rsidRPr="00AD4074" w:rsidRDefault="00A55911" w:rsidP="00BC1806">
      <w:pPr>
        <w:keepNext/>
        <w:rPr>
          <w:i/>
        </w:rPr>
      </w:pPr>
    </w:p>
    <w:p w14:paraId="4183041C" w14:textId="133EEA70" w:rsidR="008B7966" w:rsidRPr="00AD4074" w:rsidRDefault="00A55911" w:rsidP="00BC1806">
      <w:pPr>
        <w:pStyle w:val="Heading2"/>
        <w:ind w:left="567" w:hanging="567"/>
      </w:pPr>
      <w:r>
        <w:t>Is díol sásaimh do CESE an neartú ar ról EUSPA sa Ghníomh um an Spás. Mar sin féin, chun an ról sin a neartú, is gá na hacmhainní airgeadais iomchuí a chur ar fáil. Mura ndéanfar sin, ní fhéadfar na huaillmhianta atá sa Rialachán a fhíorú agus acmhainn oibríochtúil nithiúil a chruthú.</w:t>
      </w:r>
    </w:p>
    <w:p w14:paraId="45BFBCC6" w14:textId="77777777" w:rsidR="008B7966" w:rsidRPr="00AD4074" w:rsidRDefault="008B7966" w:rsidP="00BC1806">
      <w:pPr>
        <w:pStyle w:val="Heading2"/>
        <w:numPr>
          <w:ilvl w:val="0"/>
          <w:numId w:val="0"/>
        </w:numPr>
      </w:pPr>
    </w:p>
    <w:p w14:paraId="2E949870" w14:textId="6E74E231" w:rsidR="00DB2BE3" w:rsidRPr="00AD4074" w:rsidRDefault="009231FE" w:rsidP="00BC1806">
      <w:pPr>
        <w:pStyle w:val="Heading2"/>
        <w:ind w:left="567" w:hanging="567"/>
      </w:pPr>
      <w:r>
        <w:t>Le Teideal III den rialachán atá beartaithe, tugtar isteach oibleagáidí atá thar a bheith dian ar na Ballstáit. Tá sé ríthábhachtach, dá bhrí sin, acmhainneacht oibríochtúil EUSPA a neartú ionas gur féidir leis cúnamh teicniúil, treoir agus tacaíocht chomhordúcháin a chur ar fáil do na riaracháin náisiúnta.</w:t>
      </w:r>
    </w:p>
    <w:p w14:paraId="35234E8A" w14:textId="77777777" w:rsidR="00A55911" w:rsidRPr="00AD4074" w:rsidRDefault="00A55911" w:rsidP="00BC1806"/>
    <w:p w14:paraId="2688D5A8" w14:textId="77777777" w:rsidR="00A55911" w:rsidRPr="00AD4074" w:rsidRDefault="00A55911" w:rsidP="00BC1806">
      <w:pPr>
        <w:keepNext/>
        <w:ind w:left="567"/>
        <w:rPr>
          <w:i/>
        </w:rPr>
      </w:pPr>
      <w:r>
        <w:rPr>
          <w:i/>
        </w:rPr>
        <w:t>Argóintí a thacaíonn le moladh 1.17</w:t>
      </w:r>
    </w:p>
    <w:p w14:paraId="24426ABB" w14:textId="77777777" w:rsidR="00ED3BF6" w:rsidRPr="00AD4074" w:rsidRDefault="00ED3BF6" w:rsidP="00BC1806">
      <w:pPr>
        <w:keepNext/>
        <w:rPr>
          <w:i/>
        </w:rPr>
      </w:pPr>
    </w:p>
    <w:p w14:paraId="4F64557D" w14:textId="150FD0EE" w:rsidR="00ED3BF6" w:rsidRPr="00AD4074" w:rsidRDefault="00EA6C16" w:rsidP="00BC1806">
      <w:pPr>
        <w:pStyle w:val="Heading2"/>
        <w:ind w:left="567" w:hanging="567"/>
      </w:pPr>
      <w:r>
        <w:t>Maidir leis na comhlachtaí teicniúla cáilithe, tá gá le sainmhíniú níos soiléire ar a n-inniúlachtaí agus ar a sásra comhordúcháin chun dúbailt a chosc agus chun rialachas comhsheasmhach a chur chun cinn ar fud an Aontais.</w:t>
      </w:r>
    </w:p>
    <w:p w14:paraId="2540C373" w14:textId="77777777" w:rsidR="00ED3BF6" w:rsidRPr="00AD4074" w:rsidRDefault="00ED3BF6" w:rsidP="00BC1806">
      <w:pPr>
        <w:rPr>
          <w:iCs/>
        </w:rPr>
      </w:pPr>
    </w:p>
    <w:p w14:paraId="5DD86AE5" w14:textId="66453FF4" w:rsidR="00ED3BF6" w:rsidRPr="00AD4074" w:rsidRDefault="00ED3BF6" w:rsidP="00BC1806">
      <w:pPr>
        <w:keepNext/>
        <w:ind w:left="567"/>
        <w:rPr>
          <w:i/>
        </w:rPr>
      </w:pPr>
      <w:r>
        <w:rPr>
          <w:i/>
        </w:rPr>
        <w:t>Argóintí a thacaíonn le moladh 1.18</w:t>
      </w:r>
    </w:p>
    <w:p w14:paraId="6A79597B" w14:textId="77777777" w:rsidR="00A55911" w:rsidRPr="00AD4074" w:rsidRDefault="00A55911" w:rsidP="00BC1806">
      <w:pPr>
        <w:keepNext/>
        <w:rPr>
          <w:i/>
        </w:rPr>
      </w:pPr>
    </w:p>
    <w:p w14:paraId="64BAB224" w14:textId="00508F0C" w:rsidR="003A326E" w:rsidRPr="00AD4074" w:rsidRDefault="00A55911" w:rsidP="00BC1806">
      <w:pPr>
        <w:pStyle w:val="Heading2"/>
        <w:ind w:left="567" w:hanging="567"/>
      </w:pPr>
      <w:r>
        <w:t xml:space="preserve">Leis an Rialachán, tugtar isteach </w:t>
      </w:r>
      <w:proofErr w:type="spellStart"/>
      <w:r>
        <w:t>diancheanglais</w:t>
      </w:r>
      <w:proofErr w:type="spellEnd"/>
      <w:r>
        <w:t xml:space="preserve"> le haghaidh cuideachtaí i réimse an spáis (Airteagail 16 go 26), lena n-áirítear oibleagáidí a bhaineann le sábháilteacht oibríochtaí, inbhuanaitheacht an chomhshaoil agus an </w:t>
      </w:r>
      <w:proofErr w:type="spellStart"/>
      <w:r>
        <w:t>chibearshlándáil</w:t>
      </w:r>
      <w:proofErr w:type="spellEnd"/>
      <w:r>
        <w:t xml:space="preserve">, agus ba ghá na ceanglais sin a chomhlíonadh sula bhféadfaí údarú a fháil chun gníomhaíochtaí a chur i gcrích sa spás. </w:t>
      </w:r>
      <w:proofErr w:type="spellStart"/>
      <w:r>
        <w:t>Céadchéim</w:t>
      </w:r>
      <w:proofErr w:type="spellEnd"/>
      <w:r>
        <w:t xml:space="preserve"> agus céim thábhachtach i dtreo na rialála atá dírithe ar an bhfreagracht is ea na ceanglais sin, lena n-áirítear an measúnú saolré, pleananna maidir leis an </w:t>
      </w:r>
      <w:proofErr w:type="spellStart"/>
      <w:r>
        <w:t>dífhithisiú</w:t>
      </w:r>
      <w:proofErr w:type="spellEnd"/>
      <w:r>
        <w:t xml:space="preserve"> agus an leanúnachas gnó. Mar sin féin, de thoradh an mhéadaithe ar </w:t>
      </w:r>
      <w:proofErr w:type="spellStart"/>
      <w:r>
        <w:t>phríobháidiú</w:t>
      </w:r>
      <w:proofErr w:type="spellEnd"/>
      <w:r>
        <w:t xml:space="preserve"> na ngníomhaíochtaí sa spás agus teacht chun cinn gníomhaithe tionsclaíocha domhanda i réimse an spáis, ní mór prionsabal na freagrachta sóisialta </w:t>
      </w:r>
      <w:proofErr w:type="spellStart"/>
      <w:r>
        <w:t>corparáidí</w:t>
      </w:r>
      <w:proofErr w:type="spellEnd"/>
      <w:r>
        <w:t xml:space="preserve"> a neartú, lena n-áirítear i gcás chuspóirí an Aontais </w:t>
      </w:r>
      <w:r>
        <w:lastRenderedPageBreak/>
        <w:t xml:space="preserve">i réimsí an chomhtháthaithe shóisialta, na </w:t>
      </w:r>
      <w:proofErr w:type="spellStart"/>
      <w:r>
        <w:t>hinbhuanaitheachta</w:t>
      </w:r>
      <w:proofErr w:type="spellEnd"/>
      <w:r>
        <w:t xml:space="preserve"> agus an chothromais maidir leis an rochtain a thugtar ar acmhainní an spáis.</w:t>
      </w:r>
    </w:p>
    <w:p w14:paraId="11E62323" w14:textId="2CC9EA45" w:rsidR="00CB7FE8" w:rsidRPr="00AD4074" w:rsidRDefault="00CB7FE8" w:rsidP="00BC1806"/>
    <w:p w14:paraId="330D023A" w14:textId="291AF4F4" w:rsidR="0059380C" w:rsidRPr="00AD4074" w:rsidRDefault="0059380C" w:rsidP="00BC1806">
      <w:r>
        <w:t>An Bhruiséil, 12 Samhain 2025.</w:t>
      </w:r>
    </w:p>
    <w:p w14:paraId="151B3002" w14:textId="77777777" w:rsidR="0059380C" w:rsidRPr="00AD4074" w:rsidRDefault="0059380C" w:rsidP="00BC1806"/>
    <w:p w14:paraId="4F0D7466" w14:textId="0248E19E" w:rsidR="0059380C" w:rsidRPr="00AD4074" w:rsidRDefault="0059380C" w:rsidP="00BC1806"/>
    <w:p w14:paraId="592D1F0C" w14:textId="0620F1D2" w:rsidR="0059380C" w:rsidRPr="00AD4074" w:rsidRDefault="0059380C" w:rsidP="00BC1806">
      <w:pPr>
        <w:rPr>
          <w:i/>
          <w:iCs/>
        </w:rPr>
      </w:pPr>
      <w:r>
        <w:rPr>
          <w:i/>
        </w:rPr>
        <w:t>Cathaoirleach na Rannóige um Iompar, Fuinneamh, Bonneagar agus an tSochaí Faisnéise</w:t>
      </w:r>
    </w:p>
    <w:p w14:paraId="38E9A7E8" w14:textId="38C86C66" w:rsidR="0059380C" w:rsidRDefault="004169CE" w:rsidP="00BC1806">
      <w:proofErr w:type="spellStart"/>
      <w:r>
        <w:t>Marcin</w:t>
      </w:r>
      <w:proofErr w:type="spellEnd"/>
      <w:r>
        <w:t xml:space="preserve"> NOWACKI</w:t>
      </w:r>
    </w:p>
    <w:p w14:paraId="7BF35E11" w14:textId="77777777" w:rsidR="004169CE" w:rsidRPr="004169CE" w:rsidRDefault="004169CE" w:rsidP="00BC1806"/>
    <w:p w14:paraId="35C024CA" w14:textId="77777777" w:rsidR="001B0E96" w:rsidRPr="00AD4074" w:rsidRDefault="001B0E96" w:rsidP="00BC1806">
      <w:pPr>
        <w:jc w:val="center"/>
      </w:pPr>
      <w:r>
        <w:t>*</w:t>
      </w:r>
      <w:r>
        <w:br/>
      </w:r>
    </w:p>
    <w:p w14:paraId="275036D2" w14:textId="77777777" w:rsidR="001B0E96" w:rsidRPr="00AD4074" w:rsidRDefault="001B0E96" w:rsidP="00BC1806">
      <w:pPr>
        <w:jc w:val="center"/>
      </w:pPr>
      <w:r>
        <w:t>*</w:t>
      </w:r>
      <w:r>
        <w:tab/>
        <w:t>*</w:t>
      </w:r>
    </w:p>
    <w:p w14:paraId="4B53DD2C" w14:textId="77777777" w:rsidR="001B0E96" w:rsidRPr="00AD4074" w:rsidRDefault="001B0E96" w:rsidP="00BC1806">
      <w:pPr>
        <w:jc w:val="center"/>
      </w:pPr>
    </w:p>
    <w:p w14:paraId="6B58B461" w14:textId="77777777" w:rsidR="001B0E96" w:rsidRPr="00AD4074" w:rsidRDefault="001B0E96" w:rsidP="00BC1806">
      <w:r>
        <w:rPr>
          <w:b/>
        </w:rPr>
        <w:t>N.B.</w:t>
      </w:r>
      <w:r>
        <w:t>: Foscríbhinn ar an taobh eile den bhileog.</w:t>
      </w:r>
    </w:p>
    <w:p w14:paraId="3C892DC3" w14:textId="071A8655" w:rsidR="001B0E96" w:rsidRPr="00AD4074" w:rsidRDefault="001B0E96" w:rsidP="00BC1806">
      <w:pPr>
        <w:overflowPunct/>
        <w:autoSpaceDE/>
        <w:autoSpaceDN/>
        <w:adjustRightInd/>
        <w:jc w:val="left"/>
        <w:textAlignment w:val="auto"/>
        <w:rPr>
          <w:szCs w:val="22"/>
        </w:rPr>
      </w:pPr>
      <w:r>
        <w:br w:type="page"/>
      </w:r>
    </w:p>
    <w:p w14:paraId="6717052A" w14:textId="03682872" w:rsidR="00AD2C25" w:rsidRPr="00AD4074" w:rsidRDefault="00AD2C25" w:rsidP="00BC1806">
      <w:pPr>
        <w:jc w:val="center"/>
        <w:rPr>
          <w:szCs w:val="22"/>
        </w:rPr>
      </w:pPr>
      <w:r>
        <w:rPr>
          <w:b/>
        </w:rPr>
        <w:lastRenderedPageBreak/>
        <w:t xml:space="preserve">APPENDIX </w:t>
      </w:r>
      <w:proofErr w:type="spellStart"/>
      <w:r>
        <w:rPr>
          <w:b/>
        </w:rPr>
        <w:t>to</w:t>
      </w:r>
      <w:proofErr w:type="spellEnd"/>
      <w:r>
        <w:rPr>
          <w:b/>
        </w:rPr>
        <w:t xml:space="preserve"> </w:t>
      </w:r>
      <w:proofErr w:type="spellStart"/>
      <w:r>
        <w:rPr>
          <w:b/>
        </w:rPr>
        <w:t>the</w:t>
      </w:r>
      <w:proofErr w:type="spellEnd"/>
      <w:r>
        <w:rPr>
          <w:b/>
        </w:rPr>
        <w:t xml:space="preserve"> OPINION</w:t>
      </w:r>
      <w:r>
        <w:br/>
      </w:r>
      <w:proofErr w:type="spellStart"/>
      <w:r>
        <w:t>of</w:t>
      </w:r>
      <w:proofErr w:type="spellEnd"/>
      <w:r>
        <w:t xml:space="preserve"> </w:t>
      </w:r>
      <w:proofErr w:type="spellStart"/>
      <w:r>
        <w:t>the</w:t>
      </w:r>
      <w:proofErr w:type="spellEnd"/>
      <w:r>
        <w:br/>
      </w:r>
      <w:proofErr w:type="spellStart"/>
      <w:r>
        <w:t>Section</w:t>
      </w:r>
      <w:proofErr w:type="spellEnd"/>
      <w:r>
        <w:t xml:space="preserve"> </w:t>
      </w:r>
      <w:proofErr w:type="spellStart"/>
      <w:r>
        <w:t>for</w:t>
      </w:r>
      <w:proofErr w:type="spellEnd"/>
      <w:r>
        <w:t xml:space="preserve"> </w:t>
      </w:r>
      <w:proofErr w:type="spellStart"/>
      <w:r>
        <w:t>Transport</w:t>
      </w:r>
      <w:proofErr w:type="spellEnd"/>
      <w:r>
        <w:t xml:space="preserve">, </w:t>
      </w:r>
      <w:proofErr w:type="spellStart"/>
      <w:r>
        <w:t>Energy</w:t>
      </w:r>
      <w:proofErr w:type="spellEnd"/>
      <w:r>
        <w:t xml:space="preserve">, </w:t>
      </w:r>
      <w:proofErr w:type="spellStart"/>
      <w:r>
        <w:t>Infrastructure</w:t>
      </w:r>
      <w:proofErr w:type="spellEnd"/>
      <w:r>
        <w:t xml:space="preserve"> </w:t>
      </w:r>
      <w:proofErr w:type="spellStart"/>
      <w:r>
        <w:t>and</w:t>
      </w:r>
      <w:proofErr w:type="spellEnd"/>
      <w:r>
        <w:t xml:space="preserve"> </w:t>
      </w:r>
      <w:proofErr w:type="spellStart"/>
      <w:r>
        <w:t>the</w:t>
      </w:r>
      <w:proofErr w:type="spellEnd"/>
      <w:r>
        <w:t xml:space="preserve"> </w:t>
      </w:r>
      <w:proofErr w:type="spellStart"/>
      <w:r>
        <w:t>Information</w:t>
      </w:r>
      <w:proofErr w:type="spellEnd"/>
      <w:r>
        <w:t xml:space="preserve"> </w:t>
      </w:r>
      <w:proofErr w:type="spellStart"/>
      <w:r>
        <w:t>Society</w:t>
      </w:r>
      <w:proofErr w:type="spellEnd"/>
    </w:p>
    <w:p w14:paraId="792E0E38" w14:textId="77777777" w:rsidR="00AD2C25" w:rsidRPr="00AD4074" w:rsidRDefault="00AD2C25" w:rsidP="00BC1806">
      <w:pPr>
        <w:jc w:val="center"/>
        <w:rPr>
          <w:szCs w:val="22"/>
        </w:rPr>
      </w:pPr>
    </w:p>
    <w:p w14:paraId="76E4851C" w14:textId="77777777" w:rsidR="00AD2C25" w:rsidRPr="00AD4074" w:rsidRDefault="00AD2C25" w:rsidP="00BC1806">
      <w:pPr>
        <w:pStyle w:val="Footer"/>
        <w:jc w:val="center"/>
        <w:rPr>
          <w:szCs w:val="22"/>
        </w:rPr>
      </w:pPr>
      <w:r>
        <w:rPr>
          <w:b/>
        </w:rPr>
        <w:t>LEGISLATIVE FOOTPRINT</w:t>
      </w:r>
    </w:p>
    <w:p w14:paraId="37D36C4C" w14:textId="77777777" w:rsidR="00AD2C25" w:rsidRPr="00AD4074" w:rsidRDefault="00AD2C25" w:rsidP="00BC1806">
      <w:pPr>
        <w:jc w:val="left"/>
        <w:rPr>
          <w:i/>
          <w:iCs/>
          <w:szCs w:val="22"/>
          <w:u w:val="single"/>
        </w:rPr>
      </w:pPr>
    </w:p>
    <w:p w14:paraId="44EE7374" w14:textId="77777777" w:rsidR="00AD2C25" w:rsidRPr="00AD4074" w:rsidRDefault="00AD2C25" w:rsidP="00BC1806">
      <w:pPr>
        <w:jc w:val="center"/>
        <w:rPr>
          <w:b/>
          <w:bCs/>
          <w:szCs w:val="22"/>
        </w:rPr>
      </w:pPr>
      <w:r>
        <w:rPr>
          <w:b/>
        </w:rPr>
        <w:t>LIST OF INTEREST REPRESENTATIVES FROM WHOM THE RAPPORTEUR HAS RECEIVED INPUT</w:t>
      </w:r>
    </w:p>
    <w:p w14:paraId="0AD00CCC" w14:textId="77777777" w:rsidR="00AD2C25" w:rsidRPr="00AD4074" w:rsidRDefault="00AD2C25" w:rsidP="00BC1806">
      <w:pPr>
        <w:jc w:val="left"/>
        <w:rPr>
          <w:i/>
          <w:iCs/>
          <w:szCs w:val="22"/>
        </w:rPr>
      </w:pPr>
    </w:p>
    <w:p w14:paraId="48394D97" w14:textId="6DE70780" w:rsidR="00AD2C25" w:rsidRPr="00AD4074" w:rsidRDefault="00AD2C25" w:rsidP="00BC1806">
      <w:pPr>
        <w:rPr>
          <w:i/>
          <w:iCs/>
          <w:szCs w:val="22"/>
        </w:rPr>
      </w:pPr>
      <w:proofErr w:type="spellStart"/>
      <w:r>
        <w:rPr>
          <w:i/>
        </w:rPr>
        <w:t>The</w:t>
      </w:r>
      <w:proofErr w:type="spellEnd"/>
      <w:r>
        <w:rPr>
          <w:i/>
        </w:rPr>
        <w:t xml:space="preserve"> </w:t>
      </w:r>
      <w:proofErr w:type="spellStart"/>
      <w:r>
        <w:rPr>
          <w:i/>
        </w:rPr>
        <w:t>following</w:t>
      </w:r>
      <w:proofErr w:type="spellEnd"/>
      <w:r>
        <w:rPr>
          <w:i/>
        </w:rPr>
        <w:t xml:space="preserve"> </w:t>
      </w:r>
      <w:proofErr w:type="spellStart"/>
      <w:r>
        <w:rPr>
          <w:i/>
        </w:rPr>
        <w:t>list</w:t>
      </w:r>
      <w:proofErr w:type="spellEnd"/>
      <w:r>
        <w:rPr>
          <w:i/>
        </w:rPr>
        <w:t xml:space="preserve"> is </w:t>
      </w:r>
      <w:proofErr w:type="spellStart"/>
      <w:r>
        <w:rPr>
          <w:i/>
        </w:rPr>
        <w:t>drawn</w:t>
      </w:r>
      <w:proofErr w:type="spellEnd"/>
      <w:r>
        <w:rPr>
          <w:i/>
        </w:rPr>
        <w:t xml:space="preserve"> </w:t>
      </w:r>
      <w:proofErr w:type="spellStart"/>
      <w:r>
        <w:rPr>
          <w:i/>
        </w:rPr>
        <w:t>up</w:t>
      </w:r>
      <w:proofErr w:type="spellEnd"/>
      <w:r>
        <w:rPr>
          <w:i/>
        </w:rPr>
        <w:t xml:space="preserve"> </w:t>
      </w:r>
      <w:proofErr w:type="spellStart"/>
      <w:r>
        <w:rPr>
          <w:i/>
        </w:rPr>
        <w:t>on</w:t>
      </w:r>
      <w:proofErr w:type="spellEnd"/>
      <w:r>
        <w:rPr>
          <w:i/>
        </w:rPr>
        <w:t xml:space="preserve"> a </w:t>
      </w:r>
      <w:proofErr w:type="spellStart"/>
      <w:r>
        <w:rPr>
          <w:i/>
        </w:rPr>
        <w:t>purely</w:t>
      </w:r>
      <w:proofErr w:type="spellEnd"/>
      <w:r>
        <w:rPr>
          <w:i/>
        </w:rPr>
        <w:t xml:space="preserve"> </w:t>
      </w:r>
      <w:proofErr w:type="spellStart"/>
      <w:r>
        <w:rPr>
          <w:i/>
        </w:rPr>
        <w:t>voluntary</w:t>
      </w:r>
      <w:proofErr w:type="spellEnd"/>
      <w:r>
        <w:rPr>
          <w:i/>
        </w:rPr>
        <w:t xml:space="preserve"> </w:t>
      </w:r>
      <w:proofErr w:type="spellStart"/>
      <w:r>
        <w:rPr>
          <w:i/>
        </w:rPr>
        <w:t>basis</w:t>
      </w:r>
      <w:proofErr w:type="spellEnd"/>
      <w:r>
        <w:rPr>
          <w:i/>
        </w:rPr>
        <w:t xml:space="preserve"> </w:t>
      </w:r>
      <w:proofErr w:type="spellStart"/>
      <w:r>
        <w:rPr>
          <w:i/>
        </w:rPr>
        <w:t>under</w:t>
      </w:r>
      <w:proofErr w:type="spellEnd"/>
      <w:r>
        <w:rPr>
          <w:i/>
        </w:rPr>
        <w:t xml:space="preserve"> </w:t>
      </w:r>
      <w:proofErr w:type="spellStart"/>
      <w:r>
        <w:rPr>
          <w:i/>
        </w:rPr>
        <w:t>the</w:t>
      </w:r>
      <w:proofErr w:type="spellEnd"/>
      <w:r>
        <w:rPr>
          <w:i/>
        </w:rPr>
        <w:t xml:space="preserve"> </w:t>
      </w:r>
      <w:proofErr w:type="spellStart"/>
      <w:r>
        <w:rPr>
          <w:i/>
        </w:rPr>
        <w:t>exclusive</w:t>
      </w:r>
      <w:proofErr w:type="spellEnd"/>
      <w:r>
        <w:rPr>
          <w:i/>
        </w:rPr>
        <w:t xml:space="preserve"> </w:t>
      </w:r>
      <w:proofErr w:type="spellStart"/>
      <w:r>
        <w:rPr>
          <w:i/>
        </w:rPr>
        <w:t>responsibility</w:t>
      </w:r>
      <w:proofErr w:type="spellEnd"/>
      <w:r>
        <w:rPr>
          <w:i/>
        </w:rPr>
        <w:t xml:space="preserve"> </w:t>
      </w:r>
      <w:proofErr w:type="spellStart"/>
      <w:r>
        <w:rPr>
          <w:i/>
        </w:rPr>
        <w:t>of</w:t>
      </w:r>
      <w:proofErr w:type="spellEnd"/>
      <w:r>
        <w:rPr>
          <w:i/>
        </w:rPr>
        <w:t xml:space="preserve"> </w:t>
      </w:r>
      <w:proofErr w:type="spellStart"/>
      <w:r>
        <w:rPr>
          <w:i/>
        </w:rPr>
        <w:t>the</w:t>
      </w:r>
      <w:proofErr w:type="spellEnd"/>
      <w:r>
        <w:rPr>
          <w:i/>
        </w:rPr>
        <w:t xml:space="preserve"> </w:t>
      </w:r>
      <w:proofErr w:type="spellStart"/>
      <w:r>
        <w:rPr>
          <w:i/>
        </w:rPr>
        <w:t>rapporteur</w:t>
      </w:r>
      <w:proofErr w:type="spellEnd"/>
      <w:r>
        <w:rPr>
          <w:i/>
        </w:rPr>
        <w:t xml:space="preserve">. </w:t>
      </w:r>
      <w:proofErr w:type="spellStart"/>
      <w:r>
        <w:rPr>
          <w:i/>
        </w:rPr>
        <w:t>The</w:t>
      </w:r>
      <w:proofErr w:type="spellEnd"/>
      <w:r>
        <w:rPr>
          <w:i/>
        </w:rPr>
        <w:t xml:space="preserve"> </w:t>
      </w:r>
      <w:proofErr w:type="spellStart"/>
      <w:r>
        <w:rPr>
          <w:i/>
        </w:rPr>
        <w:t>rapporteur</w:t>
      </w:r>
      <w:proofErr w:type="spellEnd"/>
      <w:r>
        <w:rPr>
          <w:i/>
        </w:rPr>
        <w:t xml:space="preserve"> </w:t>
      </w:r>
      <w:proofErr w:type="spellStart"/>
      <w:r>
        <w:rPr>
          <w:i/>
        </w:rPr>
        <w:t>has</w:t>
      </w:r>
      <w:proofErr w:type="spellEnd"/>
      <w:r>
        <w:rPr>
          <w:i/>
        </w:rPr>
        <w:t xml:space="preserve"> </w:t>
      </w:r>
      <w:proofErr w:type="spellStart"/>
      <w:r>
        <w:rPr>
          <w:i/>
        </w:rPr>
        <w:t>received</w:t>
      </w:r>
      <w:proofErr w:type="spellEnd"/>
      <w:r>
        <w:rPr>
          <w:i/>
        </w:rPr>
        <w:t xml:space="preserve"> input </w:t>
      </w:r>
      <w:proofErr w:type="spellStart"/>
      <w:r>
        <w:rPr>
          <w:i/>
        </w:rPr>
        <w:t>from</w:t>
      </w:r>
      <w:proofErr w:type="spellEnd"/>
      <w:r>
        <w:rPr>
          <w:i/>
        </w:rPr>
        <w:t xml:space="preserve"> </w:t>
      </w:r>
      <w:proofErr w:type="spellStart"/>
      <w:r>
        <w:rPr>
          <w:i/>
        </w:rPr>
        <w:t>the</w:t>
      </w:r>
      <w:proofErr w:type="spellEnd"/>
      <w:r>
        <w:rPr>
          <w:i/>
        </w:rPr>
        <w:t xml:space="preserve"> </w:t>
      </w:r>
      <w:proofErr w:type="spellStart"/>
      <w:r>
        <w:rPr>
          <w:i/>
        </w:rPr>
        <w:t>following</w:t>
      </w:r>
      <w:proofErr w:type="spellEnd"/>
      <w:r>
        <w:rPr>
          <w:i/>
        </w:rPr>
        <w:t xml:space="preserve"> </w:t>
      </w:r>
      <w:proofErr w:type="spellStart"/>
      <w:r>
        <w:rPr>
          <w:i/>
        </w:rPr>
        <w:t>interest</w:t>
      </w:r>
      <w:proofErr w:type="spellEnd"/>
      <w:r>
        <w:rPr>
          <w:i/>
        </w:rPr>
        <w:t xml:space="preserve"> </w:t>
      </w:r>
      <w:proofErr w:type="spellStart"/>
      <w:r>
        <w:rPr>
          <w:i/>
        </w:rPr>
        <w:t>representatives</w:t>
      </w:r>
      <w:proofErr w:type="spellEnd"/>
      <w:r>
        <w:rPr>
          <w:i/>
        </w:rPr>
        <w:t xml:space="preserve"> (</w:t>
      </w:r>
      <w:proofErr w:type="spellStart"/>
      <w:r>
        <w:rPr>
          <w:i/>
        </w:rPr>
        <w:t>organisations</w:t>
      </w:r>
      <w:proofErr w:type="spellEnd"/>
      <w:r>
        <w:rPr>
          <w:i/>
        </w:rPr>
        <w:t xml:space="preserve"> </w:t>
      </w:r>
      <w:proofErr w:type="spellStart"/>
      <w:r>
        <w:rPr>
          <w:i/>
        </w:rPr>
        <w:t>and</w:t>
      </w:r>
      <w:proofErr w:type="spellEnd"/>
      <w:r>
        <w:rPr>
          <w:i/>
        </w:rPr>
        <w:t>/</w:t>
      </w:r>
      <w:proofErr w:type="spellStart"/>
      <w:r>
        <w:rPr>
          <w:i/>
        </w:rPr>
        <w:t>or</w:t>
      </w:r>
      <w:proofErr w:type="spellEnd"/>
      <w:r>
        <w:rPr>
          <w:i/>
        </w:rPr>
        <w:t xml:space="preserve"> </w:t>
      </w:r>
      <w:proofErr w:type="spellStart"/>
      <w:r>
        <w:rPr>
          <w:i/>
        </w:rPr>
        <w:t>self-employed</w:t>
      </w:r>
      <w:proofErr w:type="spellEnd"/>
      <w:r>
        <w:rPr>
          <w:i/>
        </w:rPr>
        <w:t xml:space="preserve"> </w:t>
      </w:r>
      <w:proofErr w:type="spellStart"/>
      <w:r>
        <w:rPr>
          <w:i/>
        </w:rPr>
        <w:t>individuals</w:t>
      </w:r>
      <w:proofErr w:type="spellEnd"/>
      <w:r>
        <w:rPr>
          <w:i/>
        </w:rPr>
        <w:t xml:space="preserve">) in </w:t>
      </w:r>
      <w:proofErr w:type="spellStart"/>
      <w:r>
        <w:rPr>
          <w:i/>
        </w:rPr>
        <w:t>the</w:t>
      </w:r>
      <w:proofErr w:type="spellEnd"/>
      <w:r>
        <w:rPr>
          <w:i/>
        </w:rPr>
        <w:t xml:space="preserve"> </w:t>
      </w:r>
      <w:proofErr w:type="spellStart"/>
      <w:r>
        <w:rPr>
          <w:i/>
        </w:rPr>
        <w:t>preparation</w:t>
      </w:r>
      <w:proofErr w:type="spellEnd"/>
      <w:r>
        <w:rPr>
          <w:i/>
        </w:rPr>
        <w:t xml:space="preserve"> </w:t>
      </w:r>
      <w:proofErr w:type="spellStart"/>
      <w:r>
        <w:rPr>
          <w:i/>
        </w:rPr>
        <w:t>of</w:t>
      </w:r>
      <w:proofErr w:type="spellEnd"/>
      <w:r>
        <w:rPr>
          <w:i/>
        </w:rPr>
        <w:t xml:space="preserve"> </w:t>
      </w:r>
      <w:proofErr w:type="spellStart"/>
      <w:r>
        <w:rPr>
          <w:i/>
        </w:rPr>
        <w:t>the</w:t>
      </w:r>
      <w:proofErr w:type="spellEnd"/>
      <w:r>
        <w:rPr>
          <w:i/>
        </w:rPr>
        <w:t xml:space="preserve"> TEN/835 </w:t>
      </w:r>
      <w:proofErr w:type="spellStart"/>
      <w:r>
        <w:rPr>
          <w:i/>
        </w:rPr>
        <w:t>opinion</w:t>
      </w:r>
      <w:proofErr w:type="spellEnd"/>
      <w:r>
        <w:rPr>
          <w:i/>
        </w:rPr>
        <w:t xml:space="preserve"> </w:t>
      </w:r>
      <w:proofErr w:type="spellStart"/>
      <w:r>
        <w:rPr>
          <w:i/>
        </w:rPr>
        <w:t>on</w:t>
      </w:r>
      <w:proofErr w:type="spellEnd"/>
      <w:r>
        <w:rPr>
          <w:i/>
        </w:rPr>
        <w:t xml:space="preserve"> </w:t>
      </w:r>
      <w:proofErr w:type="spellStart"/>
      <w:r>
        <w:rPr>
          <w:i/>
        </w:rPr>
        <w:t>the</w:t>
      </w:r>
      <w:proofErr w:type="spellEnd"/>
      <w:r>
        <w:rPr>
          <w:i/>
        </w:rPr>
        <w:t xml:space="preserve"> EU </w:t>
      </w:r>
      <w:proofErr w:type="spellStart"/>
      <w:r>
        <w:rPr>
          <w:i/>
        </w:rPr>
        <w:t>Space</w:t>
      </w:r>
      <w:proofErr w:type="spellEnd"/>
      <w:r>
        <w:rPr>
          <w:i/>
        </w:rPr>
        <w:t xml:space="preserve"> </w:t>
      </w:r>
      <w:proofErr w:type="spellStart"/>
      <w:r>
        <w:rPr>
          <w:i/>
        </w:rPr>
        <w:t>Act</w:t>
      </w:r>
      <w:proofErr w:type="spellEnd"/>
      <w:r>
        <w:rPr>
          <w:i/>
        </w:rPr>
        <w:t>:</w:t>
      </w:r>
    </w:p>
    <w:p w14:paraId="59628347" w14:textId="77777777" w:rsidR="00AD2C25" w:rsidRPr="00AD4074" w:rsidRDefault="00AD2C25" w:rsidP="00BC1806">
      <w:pPr>
        <w:rPr>
          <w:i/>
          <w:iCs/>
          <w:szCs w:val="22"/>
        </w:rPr>
      </w:pPr>
    </w:p>
    <w:tbl>
      <w:tblPr>
        <w:tblStyle w:val="TableGrid"/>
        <w:tblW w:w="0" w:type="auto"/>
        <w:tblLook w:val="04A0" w:firstRow="1" w:lastRow="0" w:firstColumn="1" w:lastColumn="0" w:noHBand="0" w:noVBand="1"/>
      </w:tblPr>
      <w:tblGrid>
        <w:gridCol w:w="9063"/>
      </w:tblGrid>
      <w:tr w:rsidR="00AD2C25" w:rsidRPr="00AD4074" w14:paraId="188FD6E4" w14:textId="77777777" w:rsidTr="002326DB">
        <w:tc>
          <w:tcPr>
            <w:tcW w:w="9063" w:type="dxa"/>
          </w:tcPr>
          <w:p w14:paraId="33532A70" w14:textId="77777777" w:rsidR="00AD2C25" w:rsidRPr="00AD4074" w:rsidRDefault="00AD2C25" w:rsidP="00BC1806">
            <w:pPr>
              <w:jc w:val="center"/>
              <w:rPr>
                <w:rFonts w:ascii="Times New Roman" w:hAnsi="Times New Roman" w:cs="Times New Roman"/>
                <w:szCs w:val="22"/>
              </w:rPr>
            </w:pPr>
            <w:proofErr w:type="spellStart"/>
            <w:r>
              <w:t>Organisations</w:t>
            </w:r>
            <w:proofErr w:type="spellEnd"/>
            <w:r>
              <w:t xml:space="preserve"> </w:t>
            </w:r>
            <w:proofErr w:type="spellStart"/>
            <w:r>
              <w:t>and</w:t>
            </w:r>
            <w:proofErr w:type="spellEnd"/>
            <w:r>
              <w:t>/</w:t>
            </w:r>
            <w:proofErr w:type="spellStart"/>
            <w:r>
              <w:t>or</w:t>
            </w:r>
            <w:proofErr w:type="spellEnd"/>
            <w:r>
              <w:t xml:space="preserve"> </w:t>
            </w:r>
            <w:proofErr w:type="spellStart"/>
            <w:r>
              <w:t>self-employed</w:t>
            </w:r>
            <w:proofErr w:type="spellEnd"/>
            <w:r>
              <w:t xml:space="preserve"> </w:t>
            </w:r>
            <w:proofErr w:type="spellStart"/>
            <w:r>
              <w:t>individuals</w:t>
            </w:r>
            <w:proofErr w:type="spellEnd"/>
          </w:p>
        </w:tc>
      </w:tr>
      <w:tr w:rsidR="00AD2C25" w:rsidRPr="00AD4074" w14:paraId="18305DC6" w14:textId="77777777" w:rsidTr="002326DB">
        <w:tc>
          <w:tcPr>
            <w:tcW w:w="9063" w:type="dxa"/>
          </w:tcPr>
          <w:p w14:paraId="6133B840" w14:textId="5317A4F2" w:rsidR="00AD2C25" w:rsidRPr="00AD4074" w:rsidRDefault="00982235" w:rsidP="00BC1806">
            <w:pPr>
              <w:rPr>
                <w:rFonts w:ascii="Times New Roman" w:hAnsi="Times New Roman" w:cs="Times New Roman"/>
                <w:szCs w:val="22"/>
              </w:rPr>
            </w:pPr>
            <w:proofErr w:type="spellStart"/>
            <w:r>
              <w:rPr>
                <w:rFonts w:ascii="Times New Roman" w:hAnsi="Times New Roman"/>
              </w:rPr>
              <w:t>I</w:t>
            </w:r>
            <w:r>
              <w:t>ndustriALL</w:t>
            </w:r>
            <w:proofErr w:type="spellEnd"/>
            <w:r>
              <w:t xml:space="preserve"> </w:t>
            </w:r>
            <w:proofErr w:type="spellStart"/>
            <w:r>
              <w:t>Europe</w:t>
            </w:r>
            <w:proofErr w:type="spellEnd"/>
          </w:p>
        </w:tc>
      </w:tr>
      <w:tr w:rsidR="00AD2C25" w:rsidRPr="00AD4074" w14:paraId="58C714C1" w14:textId="77777777" w:rsidTr="002326DB">
        <w:tc>
          <w:tcPr>
            <w:tcW w:w="9063" w:type="dxa"/>
          </w:tcPr>
          <w:p w14:paraId="128A2556" w14:textId="77777777" w:rsidR="00AD2C25" w:rsidRPr="00AD4074" w:rsidRDefault="00AD2C25" w:rsidP="00BC1806">
            <w:pPr>
              <w:rPr>
                <w:rFonts w:ascii="Times New Roman" w:hAnsi="Times New Roman" w:cs="Times New Roman"/>
                <w:szCs w:val="22"/>
              </w:rPr>
            </w:pPr>
            <w:proofErr w:type="spellStart"/>
            <w:r>
              <w:t>European</w:t>
            </w:r>
            <w:proofErr w:type="spellEnd"/>
            <w:r>
              <w:t xml:space="preserve"> </w:t>
            </w:r>
            <w:proofErr w:type="spellStart"/>
            <w:r>
              <w:t>Space</w:t>
            </w:r>
            <w:proofErr w:type="spellEnd"/>
            <w:r>
              <w:t xml:space="preserve"> </w:t>
            </w:r>
            <w:proofErr w:type="spellStart"/>
            <w:r>
              <w:t>Policy</w:t>
            </w:r>
            <w:proofErr w:type="spellEnd"/>
            <w:r>
              <w:t xml:space="preserve"> </w:t>
            </w:r>
            <w:proofErr w:type="spellStart"/>
            <w:r>
              <w:t>Institute</w:t>
            </w:r>
            <w:proofErr w:type="spellEnd"/>
            <w:r>
              <w:t xml:space="preserve"> (ESPI)</w:t>
            </w:r>
          </w:p>
        </w:tc>
      </w:tr>
      <w:tr w:rsidR="00AD2C25" w:rsidRPr="00AD4074" w14:paraId="48F06D51" w14:textId="77777777" w:rsidTr="002326DB">
        <w:tc>
          <w:tcPr>
            <w:tcW w:w="9063" w:type="dxa"/>
          </w:tcPr>
          <w:p w14:paraId="68741903" w14:textId="77777777" w:rsidR="00AD2C25" w:rsidRPr="00AD4074" w:rsidRDefault="00AD2C25" w:rsidP="00BC1806">
            <w:pPr>
              <w:rPr>
                <w:rFonts w:ascii="Times New Roman" w:hAnsi="Times New Roman" w:cs="Times New Roman"/>
                <w:szCs w:val="22"/>
              </w:rPr>
            </w:pPr>
            <w:proofErr w:type="spellStart"/>
            <w:r>
              <w:t>Eurisy</w:t>
            </w:r>
            <w:proofErr w:type="spellEnd"/>
          </w:p>
        </w:tc>
      </w:tr>
      <w:tr w:rsidR="00AD2C25" w:rsidRPr="00AD4074" w14:paraId="433F061F" w14:textId="77777777" w:rsidTr="002326DB">
        <w:tc>
          <w:tcPr>
            <w:tcW w:w="9063" w:type="dxa"/>
          </w:tcPr>
          <w:p w14:paraId="4A9EA57A" w14:textId="77777777" w:rsidR="00AD2C25" w:rsidRPr="00AD4074" w:rsidRDefault="00AD2C25" w:rsidP="00BC1806">
            <w:pPr>
              <w:rPr>
                <w:rFonts w:ascii="Times New Roman" w:hAnsi="Times New Roman" w:cs="Times New Roman"/>
                <w:szCs w:val="22"/>
              </w:rPr>
            </w:pPr>
            <w:proofErr w:type="spellStart"/>
            <w:r>
              <w:t>European</w:t>
            </w:r>
            <w:proofErr w:type="spellEnd"/>
            <w:r>
              <w:t xml:space="preserve"> </w:t>
            </w:r>
            <w:proofErr w:type="spellStart"/>
            <w:r>
              <w:t>Commission</w:t>
            </w:r>
            <w:proofErr w:type="spellEnd"/>
            <w:r>
              <w:t xml:space="preserve">, DG DEFIS, </w:t>
            </w:r>
            <w:proofErr w:type="spellStart"/>
            <w:r>
              <w:t>Unit</w:t>
            </w:r>
            <w:proofErr w:type="spellEnd"/>
            <w:r>
              <w:t xml:space="preserve"> C2 </w:t>
            </w:r>
            <w:proofErr w:type="spellStart"/>
            <w:r>
              <w:t>Space</w:t>
            </w:r>
            <w:proofErr w:type="spellEnd"/>
            <w:r>
              <w:t xml:space="preserve"> Single </w:t>
            </w:r>
            <w:proofErr w:type="spellStart"/>
            <w:r>
              <w:t>Market</w:t>
            </w:r>
            <w:proofErr w:type="spellEnd"/>
          </w:p>
        </w:tc>
      </w:tr>
      <w:tr w:rsidR="00AD2C25" w:rsidRPr="00AD4074" w14:paraId="583AE417" w14:textId="77777777" w:rsidTr="002326DB">
        <w:tc>
          <w:tcPr>
            <w:tcW w:w="9063" w:type="dxa"/>
          </w:tcPr>
          <w:p w14:paraId="63DAB411" w14:textId="77777777" w:rsidR="00AD2C25" w:rsidRPr="00AD4074" w:rsidRDefault="00AD2C25" w:rsidP="00BC1806">
            <w:pPr>
              <w:rPr>
                <w:rFonts w:ascii="Times New Roman" w:hAnsi="Times New Roman" w:cs="Times New Roman"/>
                <w:szCs w:val="22"/>
              </w:rPr>
            </w:pPr>
            <w:proofErr w:type="spellStart"/>
            <w:r>
              <w:t>Eurospace</w:t>
            </w:r>
            <w:proofErr w:type="spellEnd"/>
          </w:p>
        </w:tc>
      </w:tr>
      <w:tr w:rsidR="00AD2C25" w:rsidRPr="00AD4074" w14:paraId="37D60FF7" w14:textId="77777777" w:rsidTr="002326DB">
        <w:trPr>
          <w:trHeight w:val="50"/>
        </w:trPr>
        <w:tc>
          <w:tcPr>
            <w:tcW w:w="9063" w:type="dxa"/>
          </w:tcPr>
          <w:p w14:paraId="664D201E" w14:textId="77777777" w:rsidR="00AD2C25" w:rsidRPr="00AD4074" w:rsidRDefault="00AD2C25" w:rsidP="00BC1806">
            <w:pPr>
              <w:rPr>
                <w:rFonts w:ascii="Times New Roman" w:hAnsi="Times New Roman" w:cs="Times New Roman"/>
                <w:szCs w:val="22"/>
              </w:rPr>
            </w:pPr>
            <w:proofErr w:type="spellStart"/>
            <w:r>
              <w:t>United</w:t>
            </w:r>
            <w:proofErr w:type="spellEnd"/>
            <w:r>
              <w:t xml:space="preserve"> </w:t>
            </w:r>
            <w:proofErr w:type="spellStart"/>
            <w:r>
              <w:t>Nations</w:t>
            </w:r>
            <w:proofErr w:type="spellEnd"/>
            <w:r>
              <w:t xml:space="preserve"> Office </w:t>
            </w:r>
            <w:proofErr w:type="spellStart"/>
            <w:r>
              <w:t>for</w:t>
            </w:r>
            <w:proofErr w:type="spellEnd"/>
            <w:r>
              <w:t xml:space="preserve"> </w:t>
            </w:r>
            <w:proofErr w:type="spellStart"/>
            <w:r>
              <w:t>Outer</w:t>
            </w:r>
            <w:proofErr w:type="spellEnd"/>
            <w:r>
              <w:t xml:space="preserve"> </w:t>
            </w:r>
            <w:proofErr w:type="spellStart"/>
            <w:r>
              <w:t>Space</w:t>
            </w:r>
            <w:proofErr w:type="spellEnd"/>
            <w:r>
              <w:t xml:space="preserve"> </w:t>
            </w:r>
            <w:proofErr w:type="spellStart"/>
            <w:r>
              <w:t>Affairs</w:t>
            </w:r>
            <w:proofErr w:type="spellEnd"/>
            <w:r>
              <w:t xml:space="preserve"> (UNOOSA)</w:t>
            </w:r>
          </w:p>
        </w:tc>
      </w:tr>
    </w:tbl>
    <w:p w14:paraId="7DE74519" w14:textId="77777777" w:rsidR="00AD2C25" w:rsidRPr="00AD4074" w:rsidRDefault="00AD2C25" w:rsidP="00BC1806">
      <w:pPr>
        <w:pStyle w:val="Header"/>
        <w:overflowPunct/>
        <w:autoSpaceDE/>
        <w:autoSpaceDN/>
        <w:adjustRightInd/>
        <w:textAlignment w:val="auto"/>
        <w:rPr>
          <w:szCs w:val="22"/>
        </w:rPr>
      </w:pPr>
    </w:p>
    <w:p w14:paraId="6E522A42" w14:textId="61BC2304" w:rsidR="00646AC2" w:rsidRPr="00AD4074" w:rsidRDefault="009533AB" w:rsidP="00BC1806">
      <w:pPr>
        <w:jc w:val="center"/>
      </w:pPr>
      <w:r>
        <w:t>_____________</w:t>
      </w:r>
    </w:p>
    <w:sectPr w:rsidR="00646AC2" w:rsidRPr="00AD4074" w:rsidSect="008730E3">
      <w:headerReference w:type="even" r:id="rId23"/>
      <w:headerReference w:type="default" r:id="rId24"/>
      <w:footerReference w:type="even" r:id="rId25"/>
      <w:footerReference w:type="default" r:id="rId26"/>
      <w:headerReference w:type="first" r:id="rId27"/>
      <w:footerReference w:type="first" r:id="rId28"/>
      <w:pgSz w:w="11907" w:h="16839" w:code="9"/>
      <w:pgMar w:top="1418" w:right="1418" w:bottom="1361" w:left="1418"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1507D0" w14:textId="77777777" w:rsidR="00F523E5" w:rsidRDefault="00F523E5">
      <w:r>
        <w:separator/>
      </w:r>
    </w:p>
  </w:endnote>
  <w:endnote w:type="continuationSeparator" w:id="0">
    <w:p w14:paraId="685CFBF4" w14:textId="77777777" w:rsidR="00F523E5" w:rsidRDefault="00F523E5">
      <w:r>
        <w:continuationSeparator/>
      </w:r>
    </w:p>
  </w:endnote>
  <w:endnote w:type="continuationNotice" w:id="1">
    <w:p w14:paraId="304C50C2" w14:textId="77777777" w:rsidR="00F523E5" w:rsidRDefault="00F523E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EAB12" w14:textId="77777777" w:rsidR="00202AFC" w:rsidRDefault="00202A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4E" w14:textId="169E648C" w:rsidR="00CB5F3C" w:rsidRPr="008730E3" w:rsidRDefault="008730E3" w:rsidP="008730E3">
    <w:pPr>
      <w:pStyle w:val="Footer"/>
    </w:pPr>
    <w:r>
      <w:t xml:space="preserve">TEN/835 – EESC-2024-00225-00-00-AS-TRA (EN) </w:t>
    </w:r>
    <w:r>
      <w:fldChar w:fldCharType="begin"/>
    </w:r>
    <w:r>
      <w:instrText xml:space="preserve"> PAGE  \* Arabic  \* MERGEFORMAT </w:instrText>
    </w:r>
    <w:r>
      <w:fldChar w:fldCharType="separate"/>
    </w:r>
    <w:r w:rsidR="00D75595">
      <w:t>1</w:t>
    </w:r>
    <w:r>
      <w:fldChar w:fldCharType="end"/>
    </w:r>
    <w:r>
      <w:t>/</w:t>
    </w:r>
    <w:fldSimple w:instr=" NUMPAGES ">
      <w:r w:rsidR="00D75595">
        <w:t>1</w:t>
      </w:r>
    </w:fldSimple>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2CF54" w14:textId="77777777" w:rsidR="00202AFC" w:rsidRDefault="00202AF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34E1C3" w14:textId="77777777" w:rsidR="00B261C8" w:rsidRPr="008730E3" w:rsidRDefault="00B261C8" w:rsidP="008730E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522A54" w14:textId="1EB8CA35" w:rsidR="00646AC2" w:rsidRPr="008730E3" w:rsidRDefault="008730E3" w:rsidP="008730E3">
    <w:pPr>
      <w:pStyle w:val="Footer"/>
    </w:pPr>
    <w:r>
      <w:t xml:space="preserve">TEN/835 – EESC-2024-00225-00-00-AS-TRA (EN) </w:t>
    </w:r>
    <w:r>
      <w:fldChar w:fldCharType="begin"/>
    </w:r>
    <w:r>
      <w:instrText xml:space="preserve"> PAGE  \* Arabic  \* MERGEFORMAT </w:instrText>
    </w:r>
    <w:r>
      <w:fldChar w:fldCharType="separate"/>
    </w:r>
    <w:r>
      <w:t>2</w:t>
    </w:r>
    <w:r>
      <w:fldChar w:fldCharType="end"/>
    </w:r>
    <w:r>
      <w:t>/</w:t>
    </w:r>
    <w:fldSimple w:instr=" NUMPAGES ">
      <w:r>
        <w:t>12</w:t>
      </w:r>
    </w:fldSimple>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B001A1" w14:textId="77777777" w:rsidR="00B261C8" w:rsidRPr="008730E3" w:rsidRDefault="00B261C8" w:rsidP="008730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01E08E" w14:textId="77777777" w:rsidR="00F523E5" w:rsidRDefault="00F523E5">
      <w:r>
        <w:separator/>
      </w:r>
    </w:p>
  </w:footnote>
  <w:footnote w:type="continuationSeparator" w:id="0">
    <w:p w14:paraId="35FD5E65" w14:textId="77777777" w:rsidR="00F523E5" w:rsidRDefault="00F523E5">
      <w:r>
        <w:continuationSeparator/>
      </w:r>
    </w:p>
  </w:footnote>
  <w:footnote w:type="continuationNotice" w:id="1">
    <w:p w14:paraId="2E3CA1C6" w14:textId="77777777" w:rsidR="00F523E5" w:rsidRDefault="00F523E5">
      <w:pPr>
        <w:spacing w:line="240" w:lineRule="auto"/>
      </w:pPr>
    </w:p>
  </w:footnote>
  <w:footnote w:id="2">
    <w:p w14:paraId="5FABF75A" w14:textId="4CEAED3E" w:rsidR="004A7478" w:rsidRDefault="004A7478" w:rsidP="00F86913">
      <w:pPr>
        <w:pStyle w:val="FootnoteText"/>
        <w:ind w:left="567" w:hanging="567"/>
      </w:pPr>
      <w:r>
        <w:rPr>
          <w:rStyle w:val="FootnoteReference"/>
        </w:rPr>
        <w:footnoteRef/>
      </w:r>
      <w:r>
        <w:t xml:space="preserve"> </w:t>
      </w:r>
      <w:r>
        <w:tab/>
        <w:t>Mar shampla, ba cheart don Choimisiún treoir a thabhairt do na Ballstáit maidir le híomhánna satailíte a úsáid chun dlús a chur le cur chun feidhme Rialachán an Aontais maidir le Meatán.</w:t>
      </w:r>
    </w:p>
  </w:footnote>
  <w:footnote w:id="3">
    <w:p w14:paraId="5B435406" w14:textId="05E3B1FC" w:rsidR="00A55911" w:rsidRPr="00D855BC" w:rsidRDefault="00A55911" w:rsidP="00F86913">
      <w:pPr>
        <w:pStyle w:val="FootnoteText"/>
        <w:ind w:left="567" w:hanging="567"/>
      </w:pPr>
      <w:r>
        <w:rPr>
          <w:rStyle w:val="FootnoteReference"/>
        </w:rPr>
        <w:footnoteRef/>
      </w:r>
      <w:r>
        <w:tab/>
        <w:t xml:space="preserve">Oifig Foilseachán an Aontais Eorpaigh, </w:t>
      </w:r>
      <w:proofErr w:type="spellStart"/>
      <w:r>
        <w:rPr>
          <w:i/>
        </w:rPr>
        <w:t>Aerospace</w:t>
      </w:r>
      <w:proofErr w:type="spellEnd"/>
      <w:r>
        <w:rPr>
          <w:i/>
        </w:rPr>
        <w:t xml:space="preserve"> &amp; </w:t>
      </w:r>
      <w:proofErr w:type="spellStart"/>
      <w:r>
        <w:rPr>
          <w:i/>
        </w:rPr>
        <w:t>Defence</w:t>
      </w:r>
      <w:proofErr w:type="spellEnd"/>
      <w:r>
        <w:rPr>
          <w:i/>
        </w:rPr>
        <w:t xml:space="preserve"> </w:t>
      </w:r>
      <w:proofErr w:type="spellStart"/>
      <w:r>
        <w:rPr>
          <w:i/>
        </w:rPr>
        <w:t>Ecosystem</w:t>
      </w:r>
      <w:proofErr w:type="spellEnd"/>
      <w:r>
        <w:t>, lgh. 2-3.</w:t>
      </w:r>
    </w:p>
  </w:footnote>
  <w:footnote w:id="4">
    <w:p w14:paraId="40FB4DE9" w14:textId="0B2FBE08" w:rsidR="00A55911" w:rsidRPr="00D855BC" w:rsidRDefault="00A55911" w:rsidP="00F86913">
      <w:pPr>
        <w:pStyle w:val="FootnoteText"/>
        <w:ind w:left="567" w:hanging="567"/>
      </w:pPr>
      <w:r>
        <w:rPr>
          <w:rStyle w:val="FootnoteReference"/>
        </w:rPr>
        <w:footnoteRef/>
      </w:r>
      <w:r>
        <w:tab/>
        <w:t xml:space="preserve">Oifig Foilseachán an Aontais Eorpaigh, </w:t>
      </w:r>
      <w:proofErr w:type="spellStart"/>
      <w:r>
        <w:rPr>
          <w:i/>
        </w:rPr>
        <w:t>Aerospace</w:t>
      </w:r>
      <w:proofErr w:type="spellEnd"/>
      <w:r>
        <w:rPr>
          <w:i/>
        </w:rPr>
        <w:t xml:space="preserve"> &amp; </w:t>
      </w:r>
      <w:proofErr w:type="spellStart"/>
      <w:r>
        <w:rPr>
          <w:i/>
        </w:rPr>
        <w:t>Defence</w:t>
      </w:r>
      <w:proofErr w:type="spellEnd"/>
      <w:r>
        <w:rPr>
          <w:i/>
        </w:rPr>
        <w:t xml:space="preserve"> </w:t>
      </w:r>
      <w:proofErr w:type="spellStart"/>
      <w:r>
        <w:rPr>
          <w:i/>
        </w:rPr>
        <w:t>Ecosystem</w:t>
      </w:r>
      <w:proofErr w:type="spellEnd"/>
      <w:r>
        <w:t>, lgh. 2-3.</w:t>
      </w:r>
    </w:p>
  </w:footnote>
  <w:footnote w:id="5">
    <w:p w14:paraId="03E8B46C" w14:textId="4199F633" w:rsidR="00A55911" w:rsidRPr="00F86913" w:rsidRDefault="00A55911" w:rsidP="00AD4074">
      <w:pPr>
        <w:pStyle w:val="FootnoteText"/>
        <w:ind w:left="567" w:hanging="567"/>
      </w:pPr>
      <w:r>
        <w:rPr>
          <w:rStyle w:val="FootnoteReference"/>
        </w:rPr>
        <w:footnoteRef/>
      </w:r>
      <w:r>
        <w:tab/>
        <w:t xml:space="preserve">EPRS, </w:t>
      </w:r>
      <w:r>
        <w:rPr>
          <w:i/>
        </w:rPr>
        <w:t xml:space="preserve">EU </w:t>
      </w:r>
      <w:proofErr w:type="spellStart"/>
      <w:r>
        <w:rPr>
          <w:i/>
        </w:rPr>
        <w:t>Capabilities</w:t>
      </w:r>
      <w:proofErr w:type="spellEnd"/>
      <w:r>
        <w:rPr>
          <w:i/>
        </w:rPr>
        <w:t xml:space="preserve"> in </w:t>
      </w:r>
      <w:proofErr w:type="spellStart"/>
      <w:r>
        <w:rPr>
          <w:i/>
        </w:rPr>
        <w:t>Space</w:t>
      </w:r>
      <w:proofErr w:type="spellEnd"/>
      <w:r>
        <w:t>, EPRS_IDA(2025)765792, lch. 7.</w:t>
      </w:r>
    </w:p>
  </w:footnote>
  <w:footnote w:id="6">
    <w:p w14:paraId="2B823C10" w14:textId="4C281F2E" w:rsidR="00735809" w:rsidRPr="006E51DD" w:rsidRDefault="00735809" w:rsidP="006E51DD">
      <w:pPr>
        <w:pStyle w:val="FootnoteText"/>
        <w:ind w:left="567" w:hanging="567"/>
      </w:pPr>
      <w:r>
        <w:rPr>
          <w:rStyle w:val="FootnoteReference"/>
        </w:rPr>
        <w:footnoteRef/>
      </w:r>
      <w:r>
        <w:t xml:space="preserve"> </w:t>
      </w:r>
      <w:r>
        <w:tab/>
        <w:t>Sonraítear an méid a leanas in Airteagal 24 ‘Bunóidh an Ghníomhaireacht Clár an Aontais um Réada Spáis (CARS) chun an méid seo a leanas a chlárú: (a)Oibreoirí spáis an Aontais arna n‑údarú [...]; (b) Oibreoirí spáis an Aontais ar eintitis iad [...]; (c) oibreoirí spáis tríú tír; (d) eagraíochtaí idirnáisiúnta [...].’</w:t>
      </w:r>
    </w:p>
  </w:footnote>
  <w:footnote w:id="7">
    <w:p w14:paraId="115E3F5F" w14:textId="4D79EDD8" w:rsidR="00A55911" w:rsidRPr="006E51DD" w:rsidRDefault="00A55911" w:rsidP="00F17892">
      <w:pPr>
        <w:pStyle w:val="FootnoteText"/>
        <w:ind w:left="567" w:hanging="567"/>
      </w:pPr>
      <w:r>
        <w:rPr>
          <w:rStyle w:val="FootnoteReference"/>
        </w:rPr>
        <w:footnoteRef/>
      </w:r>
      <w:r>
        <w:tab/>
      </w:r>
      <w:hyperlink r:id="rId1" w:history="1">
        <w:r>
          <w:rPr>
            <w:rStyle w:val="Hyperlink"/>
          </w:rPr>
          <w:t>https://www.europarl.europa.eu/thinktank/ga/document/EPRS_IDA(2025)765792</w:t>
        </w:r>
      </w:hyperlink>
      <w:r>
        <w:t>.</w:t>
      </w:r>
    </w:p>
  </w:footnote>
  <w:footnote w:id="8">
    <w:p w14:paraId="67B1D276" w14:textId="3C4515B0" w:rsidR="00A55911" w:rsidRDefault="00A55911" w:rsidP="009141C6">
      <w:pPr>
        <w:pStyle w:val="FootnoteText"/>
        <w:ind w:left="567" w:hanging="567"/>
      </w:pPr>
      <w:r>
        <w:rPr>
          <w:rStyle w:val="FootnoteReference"/>
        </w:rPr>
        <w:footnoteRef/>
      </w:r>
      <w:r>
        <w:tab/>
        <w:t>EPRS_IDA(2025)765792, lgh. 21-23.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2EDA6" w14:textId="77777777" w:rsidR="00202AFC" w:rsidRDefault="00202AF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8F13A1" w14:textId="77777777" w:rsidR="00202AFC" w:rsidRDefault="00202AF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2A761" w14:textId="77777777" w:rsidR="00202AFC" w:rsidRDefault="00202AF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A6912" w14:textId="77777777" w:rsidR="00B261C8" w:rsidRPr="008730E3" w:rsidRDefault="00B261C8" w:rsidP="008730E3">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FE3AC5" w14:textId="2ADFE8D3" w:rsidR="00B261C8" w:rsidRPr="008730E3" w:rsidRDefault="00B261C8" w:rsidP="008730E3">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47B6A" w14:textId="77777777" w:rsidR="00B261C8" w:rsidRPr="008730E3" w:rsidRDefault="00B261C8" w:rsidP="008730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B82E5DFE"/>
    <w:lvl w:ilvl="0">
      <w:start w:val="1"/>
      <w:numFmt w:val="decimal"/>
      <w:pStyle w:val="Heading1"/>
      <w:lvlText w:val="%1."/>
      <w:lvlJc w:val="left"/>
      <w:pPr>
        <w:ind w:left="0" w:firstLine="0"/>
      </w:pPr>
      <w:rPr>
        <w:rFonts w:hint="default"/>
        <w:b w:val="0"/>
        <w:i w:val="0"/>
        <w:iCs w:val="0"/>
      </w:rPr>
    </w:lvl>
    <w:lvl w:ilvl="1">
      <w:start w:val="1"/>
      <w:numFmt w:val="decimal"/>
      <w:pStyle w:val="Heading2"/>
      <w:lvlText w:val="%1.%2"/>
      <w:lvlJc w:val="left"/>
      <w:pPr>
        <w:ind w:left="426" w:firstLine="0"/>
      </w:pPr>
      <w:rPr>
        <w:rFonts w:hint="default"/>
        <w:b w:val="0"/>
        <w:bCs w:val="0"/>
        <w:i w:val="0"/>
        <w:iCs w:val="0"/>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1" w15:restartNumberingAfterBreak="0">
    <w:nsid w:val="080901DB"/>
    <w:multiLevelType w:val="multilevel"/>
    <w:tmpl w:val="D24AF5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2B563D"/>
    <w:multiLevelType w:val="hybridMultilevel"/>
    <w:tmpl w:val="6ACCA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D6596E"/>
    <w:multiLevelType w:val="multilevel"/>
    <w:tmpl w:val="1B62C9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EEC2C05"/>
    <w:multiLevelType w:val="hybridMultilevel"/>
    <w:tmpl w:val="D52C7A1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D447DCE"/>
    <w:multiLevelType w:val="hybridMultilevel"/>
    <w:tmpl w:val="00729754"/>
    <w:lvl w:ilvl="0" w:tplc="F64660EC">
      <w:start w:val="1"/>
      <w:numFmt w:val="upperRoman"/>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D2C6019"/>
    <w:multiLevelType w:val="hybridMultilevel"/>
    <w:tmpl w:val="BECC203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5"/>
  </w:num>
  <w:num w:numId="2">
    <w:abstractNumId w:val="0"/>
  </w:num>
  <w:num w:numId="3">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2"/>
  </w:num>
  <w:num w:numId="6">
    <w:abstractNumId w:val="6"/>
  </w:num>
  <w:num w:numId="7">
    <w:abstractNumId w:val="3"/>
  </w:num>
  <w:num w:numId="8">
    <w:abstractNumId w:val="1"/>
  </w:num>
  <w:num w:numId="9">
    <w:abstractNumId w:val="0"/>
  </w:num>
  <w:num w:numId="10">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embedSystemFonts/>
  <w:hideGrammaticalErrors/>
  <w:proofState w:spelling="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7F8F"/>
    <w:rsid w:val="00001F3F"/>
    <w:rsid w:val="00002B9F"/>
    <w:rsid w:val="00005AB9"/>
    <w:rsid w:val="00005EB9"/>
    <w:rsid w:val="00006912"/>
    <w:rsid w:val="00006E24"/>
    <w:rsid w:val="00007A40"/>
    <w:rsid w:val="00010421"/>
    <w:rsid w:val="000128CD"/>
    <w:rsid w:val="00017B45"/>
    <w:rsid w:val="00020E6E"/>
    <w:rsid w:val="000229C4"/>
    <w:rsid w:val="00025BFC"/>
    <w:rsid w:val="00026A08"/>
    <w:rsid w:val="000315BA"/>
    <w:rsid w:val="00031A4B"/>
    <w:rsid w:val="00033913"/>
    <w:rsid w:val="00033AFC"/>
    <w:rsid w:val="00033DB4"/>
    <w:rsid w:val="00033E5B"/>
    <w:rsid w:val="00034EF2"/>
    <w:rsid w:val="000357A8"/>
    <w:rsid w:val="000430A6"/>
    <w:rsid w:val="000444CF"/>
    <w:rsid w:val="00044923"/>
    <w:rsid w:val="00046BEA"/>
    <w:rsid w:val="0005249C"/>
    <w:rsid w:val="000534A5"/>
    <w:rsid w:val="0005680D"/>
    <w:rsid w:val="00057A0C"/>
    <w:rsid w:val="00060CF1"/>
    <w:rsid w:val="00062983"/>
    <w:rsid w:val="00062AD8"/>
    <w:rsid w:val="00063389"/>
    <w:rsid w:val="00063FB4"/>
    <w:rsid w:val="0006793E"/>
    <w:rsid w:val="00067EEE"/>
    <w:rsid w:val="0007029D"/>
    <w:rsid w:val="00070CE5"/>
    <w:rsid w:val="00071245"/>
    <w:rsid w:val="00072E0F"/>
    <w:rsid w:val="000735E5"/>
    <w:rsid w:val="0007392F"/>
    <w:rsid w:val="000771F6"/>
    <w:rsid w:val="000873ED"/>
    <w:rsid w:val="00087B39"/>
    <w:rsid w:val="00093C9C"/>
    <w:rsid w:val="00093DE0"/>
    <w:rsid w:val="00095701"/>
    <w:rsid w:val="00095F72"/>
    <w:rsid w:val="00096502"/>
    <w:rsid w:val="00097E3F"/>
    <w:rsid w:val="000A3061"/>
    <w:rsid w:val="000A4385"/>
    <w:rsid w:val="000A49BB"/>
    <w:rsid w:val="000A5670"/>
    <w:rsid w:val="000B279C"/>
    <w:rsid w:val="000B5C1C"/>
    <w:rsid w:val="000B68FA"/>
    <w:rsid w:val="000C0399"/>
    <w:rsid w:val="000C2353"/>
    <w:rsid w:val="000C3441"/>
    <w:rsid w:val="000C603C"/>
    <w:rsid w:val="000C6B0C"/>
    <w:rsid w:val="000C6FED"/>
    <w:rsid w:val="000C7582"/>
    <w:rsid w:val="000C7F53"/>
    <w:rsid w:val="000D0B29"/>
    <w:rsid w:val="000D1FB6"/>
    <w:rsid w:val="000D2F8E"/>
    <w:rsid w:val="000D7927"/>
    <w:rsid w:val="000E20D9"/>
    <w:rsid w:val="000E7397"/>
    <w:rsid w:val="000F196B"/>
    <w:rsid w:val="000F72D2"/>
    <w:rsid w:val="00102455"/>
    <w:rsid w:val="00105361"/>
    <w:rsid w:val="001101F8"/>
    <w:rsid w:val="00110904"/>
    <w:rsid w:val="00111995"/>
    <w:rsid w:val="0011206F"/>
    <w:rsid w:val="00115815"/>
    <w:rsid w:val="001164E0"/>
    <w:rsid w:val="0011656A"/>
    <w:rsid w:val="00120E2F"/>
    <w:rsid w:val="001218D5"/>
    <w:rsid w:val="0012220C"/>
    <w:rsid w:val="00123BC4"/>
    <w:rsid w:val="00131F37"/>
    <w:rsid w:val="0013419B"/>
    <w:rsid w:val="00134E8C"/>
    <w:rsid w:val="00136A70"/>
    <w:rsid w:val="00136EA3"/>
    <w:rsid w:val="00137575"/>
    <w:rsid w:val="00137CE2"/>
    <w:rsid w:val="00140323"/>
    <w:rsid w:val="00140E91"/>
    <w:rsid w:val="00141D9A"/>
    <w:rsid w:val="00144231"/>
    <w:rsid w:val="00145470"/>
    <w:rsid w:val="0014781D"/>
    <w:rsid w:val="00150434"/>
    <w:rsid w:val="00150D55"/>
    <w:rsid w:val="0015344E"/>
    <w:rsid w:val="001554E5"/>
    <w:rsid w:val="00155721"/>
    <w:rsid w:val="001579E5"/>
    <w:rsid w:val="0016503F"/>
    <w:rsid w:val="0016674F"/>
    <w:rsid w:val="00167CA0"/>
    <w:rsid w:val="0017120D"/>
    <w:rsid w:val="001714F6"/>
    <w:rsid w:val="00172015"/>
    <w:rsid w:val="001753F8"/>
    <w:rsid w:val="00176168"/>
    <w:rsid w:val="00177158"/>
    <w:rsid w:val="00184FD4"/>
    <w:rsid w:val="00186B04"/>
    <w:rsid w:val="00186F1E"/>
    <w:rsid w:val="001902FB"/>
    <w:rsid w:val="00190836"/>
    <w:rsid w:val="00190B4F"/>
    <w:rsid w:val="00193930"/>
    <w:rsid w:val="00194B36"/>
    <w:rsid w:val="001963A5"/>
    <w:rsid w:val="00196D40"/>
    <w:rsid w:val="00196F1E"/>
    <w:rsid w:val="00197FCA"/>
    <w:rsid w:val="001A27DB"/>
    <w:rsid w:val="001A6852"/>
    <w:rsid w:val="001B02A8"/>
    <w:rsid w:val="001B0E96"/>
    <w:rsid w:val="001B286A"/>
    <w:rsid w:val="001B2D02"/>
    <w:rsid w:val="001B3647"/>
    <w:rsid w:val="001B77FA"/>
    <w:rsid w:val="001C0ABE"/>
    <w:rsid w:val="001C30B6"/>
    <w:rsid w:val="001C5852"/>
    <w:rsid w:val="001C64D1"/>
    <w:rsid w:val="001C7B6D"/>
    <w:rsid w:val="001D45F0"/>
    <w:rsid w:val="001D5219"/>
    <w:rsid w:val="001D6F62"/>
    <w:rsid w:val="001E1335"/>
    <w:rsid w:val="001E47E9"/>
    <w:rsid w:val="001E4A33"/>
    <w:rsid w:val="001E5C27"/>
    <w:rsid w:val="001E6CAF"/>
    <w:rsid w:val="001F0EEB"/>
    <w:rsid w:val="001F110E"/>
    <w:rsid w:val="001F2A2F"/>
    <w:rsid w:val="001F2BEB"/>
    <w:rsid w:val="001F51B1"/>
    <w:rsid w:val="001F5D79"/>
    <w:rsid w:val="001F602B"/>
    <w:rsid w:val="001F6AC8"/>
    <w:rsid w:val="00201888"/>
    <w:rsid w:val="00202AFC"/>
    <w:rsid w:val="002037D5"/>
    <w:rsid w:val="00204B48"/>
    <w:rsid w:val="00206F90"/>
    <w:rsid w:val="00207500"/>
    <w:rsid w:val="0021085F"/>
    <w:rsid w:val="002110FD"/>
    <w:rsid w:val="00212B03"/>
    <w:rsid w:val="00214410"/>
    <w:rsid w:val="00215C10"/>
    <w:rsid w:val="00215C2D"/>
    <w:rsid w:val="00222D3C"/>
    <w:rsid w:val="00224AF6"/>
    <w:rsid w:val="002252C4"/>
    <w:rsid w:val="0022541A"/>
    <w:rsid w:val="0023140A"/>
    <w:rsid w:val="0023183E"/>
    <w:rsid w:val="00232B04"/>
    <w:rsid w:val="00233227"/>
    <w:rsid w:val="00235138"/>
    <w:rsid w:val="002434ED"/>
    <w:rsid w:val="002438C6"/>
    <w:rsid w:val="00243E36"/>
    <w:rsid w:val="00244393"/>
    <w:rsid w:val="0024540B"/>
    <w:rsid w:val="00245EF4"/>
    <w:rsid w:val="00250E11"/>
    <w:rsid w:val="00251383"/>
    <w:rsid w:val="002522C9"/>
    <w:rsid w:val="00252A21"/>
    <w:rsid w:val="00253E4F"/>
    <w:rsid w:val="002542E4"/>
    <w:rsid w:val="00255A76"/>
    <w:rsid w:val="00257E7F"/>
    <w:rsid w:val="00260B37"/>
    <w:rsid w:val="00261053"/>
    <w:rsid w:val="0026220E"/>
    <w:rsid w:val="00262FDE"/>
    <w:rsid w:val="00263629"/>
    <w:rsid w:val="002641D0"/>
    <w:rsid w:val="002711B7"/>
    <w:rsid w:val="00271394"/>
    <w:rsid w:val="00274B28"/>
    <w:rsid w:val="002769BD"/>
    <w:rsid w:val="002806E2"/>
    <w:rsid w:val="002809EA"/>
    <w:rsid w:val="00280BE8"/>
    <w:rsid w:val="00284677"/>
    <w:rsid w:val="00284962"/>
    <w:rsid w:val="00287B0E"/>
    <w:rsid w:val="002913DF"/>
    <w:rsid w:val="0029549C"/>
    <w:rsid w:val="002954B9"/>
    <w:rsid w:val="002977EC"/>
    <w:rsid w:val="002A0B53"/>
    <w:rsid w:val="002A0EEF"/>
    <w:rsid w:val="002A62C7"/>
    <w:rsid w:val="002B2316"/>
    <w:rsid w:val="002B2DF7"/>
    <w:rsid w:val="002C01B5"/>
    <w:rsid w:val="002C0E0E"/>
    <w:rsid w:val="002C15AE"/>
    <w:rsid w:val="002C1D46"/>
    <w:rsid w:val="002C2A0D"/>
    <w:rsid w:val="002C38D4"/>
    <w:rsid w:val="002C3BF4"/>
    <w:rsid w:val="002C749F"/>
    <w:rsid w:val="002D23BB"/>
    <w:rsid w:val="002E1BC5"/>
    <w:rsid w:val="002E5AE1"/>
    <w:rsid w:val="002F059B"/>
    <w:rsid w:val="002F12D7"/>
    <w:rsid w:val="002F24B2"/>
    <w:rsid w:val="002F2ED5"/>
    <w:rsid w:val="002F383F"/>
    <w:rsid w:val="002F3A21"/>
    <w:rsid w:val="002F4D74"/>
    <w:rsid w:val="002F5494"/>
    <w:rsid w:val="002F5B0B"/>
    <w:rsid w:val="00300924"/>
    <w:rsid w:val="00305777"/>
    <w:rsid w:val="0030596E"/>
    <w:rsid w:val="003073C3"/>
    <w:rsid w:val="003106D7"/>
    <w:rsid w:val="00320ED2"/>
    <w:rsid w:val="00323637"/>
    <w:rsid w:val="00324E8A"/>
    <w:rsid w:val="0033032F"/>
    <w:rsid w:val="00331D87"/>
    <w:rsid w:val="00332850"/>
    <w:rsid w:val="00332E32"/>
    <w:rsid w:val="00334478"/>
    <w:rsid w:val="003346B4"/>
    <w:rsid w:val="00334AE6"/>
    <w:rsid w:val="003365D0"/>
    <w:rsid w:val="00336CCE"/>
    <w:rsid w:val="003439AB"/>
    <w:rsid w:val="0034525B"/>
    <w:rsid w:val="003453E4"/>
    <w:rsid w:val="00354695"/>
    <w:rsid w:val="00355128"/>
    <w:rsid w:val="0035549B"/>
    <w:rsid w:val="00355563"/>
    <w:rsid w:val="0036071C"/>
    <w:rsid w:val="00361DDE"/>
    <w:rsid w:val="003755C8"/>
    <w:rsid w:val="00375687"/>
    <w:rsid w:val="00375C20"/>
    <w:rsid w:val="00380AE0"/>
    <w:rsid w:val="00383324"/>
    <w:rsid w:val="00383ADA"/>
    <w:rsid w:val="00385B6A"/>
    <w:rsid w:val="00387357"/>
    <w:rsid w:val="00387A75"/>
    <w:rsid w:val="003904FD"/>
    <w:rsid w:val="0039246C"/>
    <w:rsid w:val="00394254"/>
    <w:rsid w:val="0039465F"/>
    <w:rsid w:val="003A326E"/>
    <w:rsid w:val="003A51D2"/>
    <w:rsid w:val="003C2BFB"/>
    <w:rsid w:val="003C3440"/>
    <w:rsid w:val="003C3E2D"/>
    <w:rsid w:val="003C436B"/>
    <w:rsid w:val="003C5337"/>
    <w:rsid w:val="003C5F92"/>
    <w:rsid w:val="003C7FD8"/>
    <w:rsid w:val="003D0F03"/>
    <w:rsid w:val="003D329F"/>
    <w:rsid w:val="003D4C7B"/>
    <w:rsid w:val="003D55A3"/>
    <w:rsid w:val="003D7A8C"/>
    <w:rsid w:val="003D7C00"/>
    <w:rsid w:val="003E0EB4"/>
    <w:rsid w:val="003E1BA0"/>
    <w:rsid w:val="003E423D"/>
    <w:rsid w:val="003E51BE"/>
    <w:rsid w:val="003E56E5"/>
    <w:rsid w:val="003E7051"/>
    <w:rsid w:val="003E7237"/>
    <w:rsid w:val="003E7E60"/>
    <w:rsid w:val="003F00D4"/>
    <w:rsid w:val="003F0592"/>
    <w:rsid w:val="003F0FE8"/>
    <w:rsid w:val="003F2209"/>
    <w:rsid w:val="003F3D39"/>
    <w:rsid w:val="003F646A"/>
    <w:rsid w:val="003F6761"/>
    <w:rsid w:val="003F6A0A"/>
    <w:rsid w:val="004024F5"/>
    <w:rsid w:val="00402DE1"/>
    <w:rsid w:val="00403D8B"/>
    <w:rsid w:val="004058F1"/>
    <w:rsid w:val="00407E7D"/>
    <w:rsid w:val="0041076A"/>
    <w:rsid w:val="0041283D"/>
    <w:rsid w:val="00413AB4"/>
    <w:rsid w:val="00415EBC"/>
    <w:rsid w:val="004169CE"/>
    <w:rsid w:val="0042037B"/>
    <w:rsid w:val="00421373"/>
    <w:rsid w:val="00421FB7"/>
    <w:rsid w:val="0042763B"/>
    <w:rsid w:val="00427D1C"/>
    <w:rsid w:val="0043024C"/>
    <w:rsid w:val="00431A0D"/>
    <w:rsid w:val="004321C9"/>
    <w:rsid w:val="00433FEC"/>
    <w:rsid w:val="0043473A"/>
    <w:rsid w:val="004359DD"/>
    <w:rsid w:val="00436706"/>
    <w:rsid w:val="004367EC"/>
    <w:rsid w:val="00440CF1"/>
    <w:rsid w:val="0044233B"/>
    <w:rsid w:val="00443D38"/>
    <w:rsid w:val="00444760"/>
    <w:rsid w:val="00446CEC"/>
    <w:rsid w:val="00447D5F"/>
    <w:rsid w:val="00450E7A"/>
    <w:rsid w:val="00456980"/>
    <w:rsid w:val="00456AF8"/>
    <w:rsid w:val="00461900"/>
    <w:rsid w:val="00464D98"/>
    <w:rsid w:val="00465333"/>
    <w:rsid w:val="00470B15"/>
    <w:rsid w:val="00472BCC"/>
    <w:rsid w:val="00474107"/>
    <w:rsid w:val="00475869"/>
    <w:rsid w:val="00475A77"/>
    <w:rsid w:val="004765AC"/>
    <w:rsid w:val="004776A8"/>
    <w:rsid w:val="00477EF1"/>
    <w:rsid w:val="004801EB"/>
    <w:rsid w:val="00482DDC"/>
    <w:rsid w:val="00483E6C"/>
    <w:rsid w:val="00484421"/>
    <w:rsid w:val="00485129"/>
    <w:rsid w:val="004866A9"/>
    <w:rsid w:val="0048687E"/>
    <w:rsid w:val="00490FB8"/>
    <w:rsid w:val="00492774"/>
    <w:rsid w:val="00496D7A"/>
    <w:rsid w:val="004A31BC"/>
    <w:rsid w:val="004A3F1A"/>
    <w:rsid w:val="004A3F45"/>
    <w:rsid w:val="004A7478"/>
    <w:rsid w:val="004B1AFA"/>
    <w:rsid w:val="004B1D73"/>
    <w:rsid w:val="004B4A7D"/>
    <w:rsid w:val="004B6047"/>
    <w:rsid w:val="004B7088"/>
    <w:rsid w:val="004B7525"/>
    <w:rsid w:val="004C0E79"/>
    <w:rsid w:val="004C44E9"/>
    <w:rsid w:val="004C5B76"/>
    <w:rsid w:val="004C6EC9"/>
    <w:rsid w:val="004D02CD"/>
    <w:rsid w:val="004D0B24"/>
    <w:rsid w:val="004D4B90"/>
    <w:rsid w:val="004D56A4"/>
    <w:rsid w:val="004D6B95"/>
    <w:rsid w:val="004D7F41"/>
    <w:rsid w:val="004E03A2"/>
    <w:rsid w:val="004E205F"/>
    <w:rsid w:val="004E2765"/>
    <w:rsid w:val="004E317E"/>
    <w:rsid w:val="004E3954"/>
    <w:rsid w:val="004E5856"/>
    <w:rsid w:val="004F2330"/>
    <w:rsid w:val="004F4280"/>
    <w:rsid w:val="004F53C6"/>
    <w:rsid w:val="004F598E"/>
    <w:rsid w:val="004F619E"/>
    <w:rsid w:val="004F69DB"/>
    <w:rsid w:val="004F6B87"/>
    <w:rsid w:val="005006DE"/>
    <w:rsid w:val="00501C2D"/>
    <w:rsid w:val="00502637"/>
    <w:rsid w:val="0050288F"/>
    <w:rsid w:val="00502F85"/>
    <w:rsid w:val="00506A4B"/>
    <w:rsid w:val="005078DF"/>
    <w:rsid w:val="00507EE9"/>
    <w:rsid w:val="00511018"/>
    <w:rsid w:val="00511140"/>
    <w:rsid w:val="00511F86"/>
    <w:rsid w:val="00513CFE"/>
    <w:rsid w:val="00516125"/>
    <w:rsid w:val="00516EDB"/>
    <w:rsid w:val="00517FA5"/>
    <w:rsid w:val="00522094"/>
    <w:rsid w:val="0052260A"/>
    <w:rsid w:val="0052384A"/>
    <w:rsid w:val="00523B6A"/>
    <w:rsid w:val="00525F6C"/>
    <w:rsid w:val="005264D9"/>
    <w:rsid w:val="005319D8"/>
    <w:rsid w:val="00534BAA"/>
    <w:rsid w:val="00540A6B"/>
    <w:rsid w:val="00542BBF"/>
    <w:rsid w:val="00546AB4"/>
    <w:rsid w:val="005509CB"/>
    <w:rsid w:val="0055114B"/>
    <w:rsid w:val="005514E5"/>
    <w:rsid w:val="00553500"/>
    <w:rsid w:val="00561C5E"/>
    <w:rsid w:val="005620BE"/>
    <w:rsid w:val="00563C84"/>
    <w:rsid w:val="0056437E"/>
    <w:rsid w:val="00567817"/>
    <w:rsid w:val="00567AF3"/>
    <w:rsid w:val="005762F6"/>
    <w:rsid w:val="00576CBE"/>
    <w:rsid w:val="005803B9"/>
    <w:rsid w:val="00584FBE"/>
    <w:rsid w:val="00585483"/>
    <w:rsid w:val="00587378"/>
    <w:rsid w:val="00587C05"/>
    <w:rsid w:val="00590AAB"/>
    <w:rsid w:val="0059116F"/>
    <w:rsid w:val="0059380C"/>
    <w:rsid w:val="005938C3"/>
    <w:rsid w:val="0059468C"/>
    <w:rsid w:val="00595125"/>
    <w:rsid w:val="005957EA"/>
    <w:rsid w:val="00596F21"/>
    <w:rsid w:val="00597D56"/>
    <w:rsid w:val="005A537C"/>
    <w:rsid w:val="005A7B8E"/>
    <w:rsid w:val="005B1CDD"/>
    <w:rsid w:val="005B1E19"/>
    <w:rsid w:val="005B55FC"/>
    <w:rsid w:val="005B6456"/>
    <w:rsid w:val="005C2D5E"/>
    <w:rsid w:val="005C3B81"/>
    <w:rsid w:val="005C5B66"/>
    <w:rsid w:val="005C650C"/>
    <w:rsid w:val="005C7DC3"/>
    <w:rsid w:val="005D086C"/>
    <w:rsid w:val="005D11D3"/>
    <w:rsid w:val="005D2DA9"/>
    <w:rsid w:val="005D4E1F"/>
    <w:rsid w:val="005D4FB3"/>
    <w:rsid w:val="005E0B58"/>
    <w:rsid w:val="005E2F07"/>
    <w:rsid w:val="005E2FEA"/>
    <w:rsid w:val="005E536E"/>
    <w:rsid w:val="005F314B"/>
    <w:rsid w:val="005F722D"/>
    <w:rsid w:val="0061093D"/>
    <w:rsid w:val="00611AF2"/>
    <w:rsid w:val="0061212B"/>
    <w:rsid w:val="006127AF"/>
    <w:rsid w:val="0061311D"/>
    <w:rsid w:val="00615D12"/>
    <w:rsid w:val="00615FB2"/>
    <w:rsid w:val="00617BD1"/>
    <w:rsid w:val="00617CE8"/>
    <w:rsid w:val="00621345"/>
    <w:rsid w:val="00626534"/>
    <w:rsid w:val="006278A0"/>
    <w:rsid w:val="0063095F"/>
    <w:rsid w:val="006338B0"/>
    <w:rsid w:val="006346DF"/>
    <w:rsid w:val="00642D36"/>
    <w:rsid w:val="00644E36"/>
    <w:rsid w:val="00646AC2"/>
    <w:rsid w:val="00647FC7"/>
    <w:rsid w:val="00650390"/>
    <w:rsid w:val="00651080"/>
    <w:rsid w:val="00654DAB"/>
    <w:rsid w:val="0066204A"/>
    <w:rsid w:val="006667FC"/>
    <w:rsid w:val="00667CB6"/>
    <w:rsid w:val="00670E3C"/>
    <w:rsid w:val="00674379"/>
    <w:rsid w:val="006751FA"/>
    <w:rsid w:val="00675ED3"/>
    <w:rsid w:val="00677092"/>
    <w:rsid w:val="006770E6"/>
    <w:rsid w:val="00677F57"/>
    <w:rsid w:val="00680FC5"/>
    <w:rsid w:val="00681088"/>
    <w:rsid w:val="00682DDD"/>
    <w:rsid w:val="00691264"/>
    <w:rsid w:val="00692355"/>
    <w:rsid w:val="00692E7B"/>
    <w:rsid w:val="0069461A"/>
    <w:rsid w:val="0069577E"/>
    <w:rsid w:val="0069634B"/>
    <w:rsid w:val="00696623"/>
    <w:rsid w:val="006A04E9"/>
    <w:rsid w:val="006A268F"/>
    <w:rsid w:val="006A4A03"/>
    <w:rsid w:val="006A531E"/>
    <w:rsid w:val="006A55DB"/>
    <w:rsid w:val="006A585F"/>
    <w:rsid w:val="006A72FA"/>
    <w:rsid w:val="006A7543"/>
    <w:rsid w:val="006B32A5"/>
    <w:rsid w:val="006B69FF"/>
    <w:rsid w:val="006B6EDE"/>
    <w:rsid w:val="006B725C"/>
    <w:rsid w:val="006C273D"/>
    <w:rsid w:val="006C5390"/>
    <w:rsid w:val="006C5C4F"/>
    <w:rsid w:val="006C6282"/>
    <w:rsid w:val="006C762A"/>
    <w:rsid w:val="006D10CD"/>
    <w:rsid w:val="006D42F5"/>
    <w:rsid w:val="006D47F4"/>
    <w:rsid w:val="006D5FF9"/>
    <w:rsid w:val="006E0772"/>
    <w:rsid w:val="006E0F86"/>
    <w:rsid w:val="006E51DD"/>
    <w:rsid w:val="006E7253"/>
    <w:rsid w:val="006F0B15"/>
    <w:rsid w:val="006F0DCC"/>
    <w:rsid w:val="006F25F3"/>
    <w:rsid w:val="00703273"/>
    <w:rsid w:val="00703DF9"/>
    <w:rsid w:val="007048EB"/>
    <w:rsid w:val="00704FBB"/>
    <w:rsid w:val="00706AED"/>
    <w:rsid w:val="0070726A"/>
    <w:rsid w:val="0070729B"/>
    <w:rsid w:val="00711094"/>
    <w:rsid w:val="007121BC"/>
    <w:rsid w:val="0071226B"/>
    <w:rsid w:val="007129D2"/>
    <w:rsid w:val="00717040"/>
    <w:rsid w:val="00717184"/>
    <w:rsid w:val="00717AA7"/>
    <w:rsid w:val="007304EE"/>
    <w:rsid w:val="007339B7"/>
    <w:rsid w:val="00734C5E"/>
    <w:rsid w:val="00735809"/>
    <w:rsid w:val="007363EE"/>
    <w:rsid w:val="00741B8E"/>
    <w:rsid w:val="007475BF"/>
    <w:rsid w:val="00766CC0"/>
    <w:rsid w:val="00772720"/>
    <w:rsid w:val="00773F5E"/>
    <w:rsid w:val="007750A2"/>
    <w:rsid w:val="0077680D"/>
    <w:rsid w:val="007817D6"/>
    <w:rsid w:val="007865D1"/>
    <w:rsid w:val="00787912"/>
    <w:rsid w:val="0079177A"/>
    <w:rsid w:val="00791CFA"/>
    <w:rsid w:val="00792BD4"/>
    <w:rsid w:val="00794836"/>
    <w:rsid w:val="007948D5"/>
    <w:rsid w:val="00797881"/>
    <w:rsid w:val="007A15C9"/>
    <w:rsid w:val="007A21C5"/>
    <w:rsid w:val="007A6676"/>
    <w:rsid w:val="007B3309"/>
    <w:rsid w:val="007B7FF5"/>
    <w:rsid w:val="007C3FC6"/>
    <w:rsid w:val="007C4BC5"/>
    <w:rsid w:val="007D172C"/>
    <w:rsid w:val="007D2CE9"/>
    <w:rsid w:val="007D4951"/>
    <w:rsid w:val="007D4FED"/>
    <w:rsid w:val="007D61F5"/>
    <w:rsid w:val="007D69DA"/>
    <w:rsid w:val="007D70B1"/>
    <w:rsid w:val="007D7140"/>
    <w:rsid w:val="007E116E"/>
    <w:rsid w:val="007E1C73"/>
    <w:rsid w:val="007E1CDB"/>
    <w:rsid w:val="007E2F6F"/>
    <w:rsid w:val="007E3302"/>
    <w:rsid w:val="007E408C"/>
    <w:rsid w:val="007E42E7"/>
    <w:rsid w:val="007E7E21"/>
    <w:rsid w:val="007F0460"/>
    <w:rsid w:val="007F0DA2"/>
    <w:rsid w:val="007F39CE"/>
    <w:rsid w:val="007F4F54"/>
    <w:rsid w:val="007F5E0D"/>
    <w:rsid w:val="007F6F3F"/>
    <w:rsid w:val="00801085"/>
    <w:rsid w:val="00801A89"/>
    <w:rsid w:val="00805038"/>
    <w:rsid w:val="00812138"/>
    <w:rsid w:val="008151F2"/>
    <w:rsid w:val="0081777A"/>
    <w:rsid w:val="008203BD"/>
    <w:rsid w:val="008206B9"/>
    <w:rsid w:val="008210E0"/>
    <w:rsid w:val="00824079"/>
    <w:rsid w:val="00831F0A"/>
    <w:rsid w:val="0083265D"/>
    <w:rsid w:val="00833A78"/>
    <w:rsid w:val="00835435"/>
    <w:rsid w:val="008356E6"/>
    <w:rsid w:val="00844038"/>
    <w:rsid w:val="0084585F"/>
    <w:rsid w:val="008462B4"/>
    <w:rsid w:val="00846A62"/>
    <w:rsid w:val="0085047C"/>
    <w:rsid w:val="008514A9"/>
    <w:rsid w:val="00853180"/>
    <w:rsid w:val="00853E53"/>
    <w:rsid w:val="008601D6"/>
    <w:rsid w:val="008615FF"/>
    <w:rsid w:val="00864D76"/>
    <w:rsid w:val="00865159"/>
    <w:rsid w:val="008656C9"/>
    <w:rsid w:val="0086711C"/>
    <w:rsid w:val="00867535"/>
    <w:rsid w:val="00871059"/>
    <w:rsid w:val="008730E3"/>
    <w:rsid w:val="008734A1"/>
    <w:rsid w:val="00875C5B"/>
    <w:rsid w:val="00883C5F"/>
    <w:rsid w:val="008845FF"/>
    <w:rsid w:val="00891C7D"/>
    <w:rsid w:val="00892FA7"/>
    <w:rsid w:val="00896A52"/>
    <w:rsid w:val="00896B4D"/>
    <w:rsid w:val="00896F44"/>
    <w:rsid w:val="008A3301"/>
    <w:rsid w:val="008A4DF1"/>
    <w:rsid w:val="008A5636"/>
    <w:rsid w:val="008A6426"/>
    <w:rsid w:val="008B0BA0"/>
    <w:rsid w:val="008B125E"/>
    <w:rsid w:val="008B241C"/>
    <w:rsid w:val="008B408B"/>
    <w:rsid w:val="008B4F11"/>
    <w:rsid w:val="008B7966"/>
    <w:rsid w:val="008C2362"/>
    <w:rsid w:val="008C3049"/>
    <w:rsid w:val="008C51EF"/>
    <w:rsid w:val="008C579A"/>
    <w:rsid w:val="008C6F2C"/>
    <w:rsid w:val="008C7067"/>
    <w:rsid w:val="008C7780"/>
    <w:rsid w:val="008D232D"/>
    <w:rsid w:val="008D28F5"/>
    <w:rsid w:val="008D31ED"/>
    <w:rsid w:val="008D4AE9"/>
    <w:rsid w:val="008D5CF3"/>
    <w:rsid w:val="008D5E21"/>
    <w:rsid w:val="008D6273"/>
    <w:rsid w:val="008D62AF"/>
    <w:rsid w:val="008D7D39"/>
    <w:rsid w:val="008D7F27"/>
    <w:rsid w:val="008E3AA1"/>
    <w:rsid w:val="008E4574"/>
    <w:rsid w:val="008F4016"/>
    <w:rsid w:val="008F42FE"/>
    <w:rsid w:val="008F4A00"/>
    <w:rsid w:val="008F5402"/>
    <w:rsid w:val="008F7FE6"/>
    <w:rsid w:val="0090053A"/>
    <w:rsid w:val="00900EB3"/>
    <w:rsid w:val="00901C2A"/>
    <w:rsid w:val="00902F72"/>
    <w:rsid w:val="00904D49"/>
    <w:rsid w:val="009076F9"/>
    <w:rsid w:val="009118C7"/>
    <w:rsid w:val="009141C6"/>
    <w:rsid w:val="009201A0"/>
    <w:rsid w:val="009223A1"/>
    <w:rsid w:val="009225B6"/>
    <w:rsid w:val="009231FE"/>
    <w:rsid w:val="009243A0"/>
    <w:rsid w:val="00925397"/>
    <w:rsid w:val="00933A21"/>
    <w:rsid w:val="00934C10"/>
    <w:rsid w:val="009352B7"/>
    <w:rsid w:val="0093662A"/>
    <w:rsid w:val="009375C3"/>
    <w:rsid w:val="00940345"/>
    <w:rsid w:val="0094060C"/>
    <w:rsid w:val="00944075"/>
    <w:rsid w:val="00947E32"/>
    <w:rsid w:val="009533AB"/>
    <w:rsid w:val="0095561D"/>
    <w:rsid w:val="00955A4A"/>
    <w:rsid w:val="00955A7E"/>
    <w:rsid w:val="009563A9"/>
    <w:rsid w:val="00960113"/>
    <w:rsid w:val="009606A5"/>
    <w:rsid w:val="00962681"/>
    <w:rsid w:val="00962F1F"/>
    <w:rsid w:val="00963702"/>
    <w:rsid w:val="00965304"/>
    <w:rsid w:val="00967613"/>
    <w:rsid w:val="00967B6F"/>
    <w:rsid w:val="00971293"/>
    <w:rsid w:val="00973A3B"/>
    <w:rsid w:val="00973C8C"/>
    <w:rsid w:val="009808AB"/>
    <w:rsid w:val="00982235"/>
    <w:rsid w:val="00982532"/>
    <w:rsid w:val="00982B0B"/>
    <w:rsid w:val="00983EAE"/>
    <w:rsid w:val="00984816"/>
    <w:rsid w:val="0098760B"/>
    <w:rsid w:val="00991EF7"/>
    <w:rsid w:val="0099406B"/>
    <w:rsid w:val="009A0025"/>
    <w:rsid w:val="009A11DD"/>
    <w:rsid w:val="009A26EC"/>
    <w:rsid w:val="009A68C3"/>
    <w:rsid w:val="009B26CA"/>
    <w:rsid w:val="009B30AA"/>
    <w:rsid w:val="009B49FD"/>
    <w:rsid w:val="009B5217"/>
    <w:rsid w:val="009C1979"/>
    <w:rsid w:val="009C45F4"/>
    <w:rsid w:val="009C4798"/>
    <w:rsid w:val="009C48DE"/>
    <w:rsid w:val="009C677B"/>
    <w:rsid w:val="009C7861"/>
    <w:rsid w:val="009D0FD6"/>
    <w:rsid w:val="009D212E"/>
    <w:rsid w:val="009D2F5D"/>
    <w:rsid w:val="009D3763"/>
    <w:rsid w:val="009D44E9"/>
    <w:rsid w:val="009E1E1E"/>
    <w:rsid w:val="009E20D2"/>
    <w:rsid w:val="009E2CE3"/>
    <w:rsid w:val="009E33E3"/>
    <w:rsid w:val="009E3FCE"/>
    <w:rsid w:val="009E497F"/>
    <w:rsid w:val="009E5590"/>
    <w:rsid w:val="009E7F16"/>
    <w:rsid w:val="009F2957"/>
    <w:rsid w:val="009F4871"/>
    <w:rsid w:val="009F5052"/>
    <w:rsid w:val="00A00842"/>
    <w:rsid w:val="00A02A1C"/>
    <w:rsid w:val="00A04C85"/>
    <w:rsid w:val="00A064E8"/>
    <w:rsid w:val="00A06639"/>
    <w:rsid w:val="00A100F0"/>
    <w:rsid w:val="00A13C4C"/>
    <w:rsid w:val="00A156E6"/>
    <w:rsid w:val="00A220E8"/>
    <w:rsid w:val="00A257C5"/>
    <w:rsid w:val="00A27D86"/>
    <w:rsid w:val="00A316C0"/>
    <w:rsid w:val="00A322E1"/>
    <w:rsid w:val="00A3246B"/>
    <w:rsid w:val="00A33151"/>
    <w:rsid w:val="00A33F53"/>
    <w:rsid w:val="00A36970"/>
    <w:rsid w:val="00A36F09"/>
    <w:rsid w:val="00A41EB4"/>
    <w:rsid w:val="00A4250D"/>
    <w:rsid w:val="00A44BFF"/>
    <w:rsid w:val="00A46212"/>
    <w:rsid w:val="00A47B55"/>
    <w:rsid w:val="00A501E3"/>
    <w:rsid w:val="00A50F0C"/>
    <w:rsid w:val="00A53A5D"/>
    <w:rsid w:val="00A55911"/>
    <w:rsid w:val="00A56441"/>
    <w:rsid w:val="00A5775B"/>
    <w:rsid w:val="00A57C4C"/>
    <w:rsid w:val="00A621E7"/>
    <w:rsid w:val="00A631FB"/>
    <w:rsid w:val="00A651B7"/>
    <w:rsid w:val="00A72CAE"/>
    <w:rsid w:val="00A736DD"/>
    <w:rsid w:val="00A73A82"/>
    <w:rsid w:val="00A741BD"/>
    <w:rsid w:val="00A74E20"/>
    <w:rsid w:val="00A76E78"/>
    <w:rsid w:val="00A774EA"/>
    <w:rsid w:val="00A80979"/>
    <w:rsid w:val="00A809FF"/>
    <w:rsid w:val="00A81BF4"/>
    <w:rsid w:val="00A82869"/>
    <w:rsid w:val="00A846E6"/>
    <w:rsid w:val="00A8741F"/>
    <w:rsid w:val="00A8758C"/>
    <w:rsid w:val="00A87CF0"/>
    <w:rsid w:val="00A91006"/>
    <w:rsid w:val="00A921B8"/>
    <w:rsid w:val="00A92BAF"/>
    <w:rsid w:val="00A93381"/>
    <w:rsid w:val="00A96BF0"/>
    <w:rsid w:val="00AA127E"/>
    <w:rsid w:val="00AA19AE"/>
    <w:rsid w:val="00AA423D"/>
    <w:rsid w:val="00AA5EC5"/>
    <w:rsid w:val="00AA6A95"/>
    <w:rsid w:val="00AB10DE"/>
    <w:rsid w:val="00AB3460"/>
    <w:rsid w:val="00AB3668"/>
    <w:rsid w:val="00AB381E"/>
    <w:rsid w:val="00AB3BA5"/>
    <w:rsid w:val="00AB4940"/>
    <w:rsid w:val="00AB5ED7"/>
    <w:rsid w:val="00AC00DE"/>
    <w:rsid w:val="00AC0B4C"/>
    <w:rsid w:val="00AD0AEE"/>
    <w:rsid w:val="00AD2C25"/>
    <w:rsid w:val="00AD4074"/>
    <w:rsid w:val="00AD49E3"/>
    <w:rsid w:val="00AD4B4F"/>
    <w:rsid w:val="00AE407E"/>
    <w:rsid w:val="00AE48F5"/>
    <w:rsid w:val="00AF0616"/>
    <w:rsid w:val="00AF0E28"/>
    <w:rsid w:val="00AF6AB3"/>
    <w:rsid w:val="00AF6F9B"/>
    <w:rsid w:val="00B01409"/>
    <w:rsid w:val="00B02196"/>
    <w:rsid w:val="00B068BF"/>
    <w:rsid w:val="00B0710B"/>
    <w:rsid w:val="00B1039A"/>
    <w:rsid w:val="00B10DBD"/>
    <w:rsid w:val="00B11795"/>
    <w:rsid w:val="00B13912"/>
    <w:rsid w:val="00B13E81"/>
    <w:rsid w:val="00B152D0"/>
    <w:rsid w:val="00B15629"/>
    <w:rsid w:val="00B175C0"/>
    <w:rsid w:val="00B17C17"/>
    <w:rsid w:val="00B22ED8"/>
    <w:rsid w:val="00B2372C"/>
    <w:rsid w:val="00B2401A"/>
    <w:rsid w:val="00B261C8"/>
    <w:rsid w:val="00B31B02"/>
    <w:rsid w:val="00B32F70"/>
    <w:rsid w:val="00B3365D"/>
    <w:rsid w:val="00B341DE"/>
    <w:rsid w:val="00B35628"/>
    <w:rsid w:val="00B35D0B"/>
    <w:rsid w:val="00B373D0"/>
    <w:rsid w:val="00B37F84"/>
    <w:rsid w:val="00B437BB"/>
    <w:rsid w:val="00B43AAA"/>
    <w:rsid w:val="00B44A10"/>
    <w:rsid w:val="00B53139"/>
    <w:rsid w:val="00B547D7"/>
    <w:rsid w:val="00B562CE"/>
    <w:rsid w:val="00B60B84"/>
    <w:rsid w:val="00B62DE2"/>
    <w:rsid w:val="00B650AB"/>
    <w:rsid w:val="00B70412"/>
    <w:rsid w:val="00B73DBB"/>
    <w:rsid w:val="00B74417"/>
    <w:rsid w:val="00B74D36"/>
    <w:rsid w:val="00B75789"/>
    <w:rsid w:val="00B757F4"/>
    <w:rsid w:val="00B77246"/>
    <w:rsid w:val="00B82982"/>
    <w:rsid w:val="00B82A90"/>
    <w:rsid w:val="00B857CC"/>
    <w:rsid w:val="00B86350"/>
    <w:rsid w:val="00B866CD"/>
    <w:rsid w:val="00B873DA"/>
    <w:rsid w:val="00B93034"/>
    <w:rsid w:val="00B96F3F"/>
    <w:rsid w:val="00B97C5D"/>
    <w:rsid w:val="00BA1290"/>
    <w:rsid w:val="00BA3101"/>
    <w:rsid w:val="00BB2792"/>
    <w:rsid w:val="00BB76BF"/>
    <w:rsid w:val="00BC1806"/>
    <w:rsid w:val="00BC1AD1"/>
    <w:rsid w:val="00BC4167"/>
    <w:rsid w:val="00BC4A58"/>
    <w:rsid w:val="00BC5878"/>
    <w:rsid w:val="00BC5AB9"/>
    <w:rsid w:val="00BC613B"/>
    <w:rsid w:val="00BC6C7B"/>
    <w:rsid w:val="00BD0343"/>
    <w:rsid w:val="00BD1104"/>
    <w:rsid w:val="00BD51D9"/>
    <w:rsid w:val="00BD5C76"/>
    <w:rsid w:val="00BD64E2"/>
    <w:rsid w:val="00BE1818"/>
    <w:rsid w:val="00BE3320"/>
    <w:rsid w:val="00BE4995"/>
    <w:rsid w:val="00BF2E02"/>
    <w:rsid w:val="00BF429A"/>
    <w:rsid w:val="00BF62BE"/>
    <w:rsid w:val="00BF6E19"/>
    <w:rsid w:val="00C04CB7"/>
    <w:rsid w:val="00C07126"/>
    <w:rsid w:val="00C1223E"/>
    <w:rsid w:val="00C155BD"/>
    <w:rsid w:val="00C16853"/>
    <w:rsid w:val="00C21827"/>
    <w:rsid w:val="00C23554"/>
    <w:rsid w:val="00C263F0"/>
    <w:rsid w:val="00C33D41"/>
    <w:rsid w:val="00C349F4"/>
    <w:rsid w:val="00C40106"/>
    <w:rsid w:val="00C40AFD"/>
    <w:rsid w:val="00C41E20"/>
    <w:rsid w:val="00C42E3E"/>
    <w:rsid w:val="00C43654"/>
    <w:rsid w:val="00C51C13"/>
    <w:rsid w:val="00C51ECB"/>
    <w:rsid w:val="00C520EE"/>
    <w:rsid w:val="00C525A5"/>
    <w:rsid w:val="00C5300F"/>
    <w:rsid w:val="00C577EB"/>
    <w:rsid w:val="00C57A3C"/>
    <w:rsid w:val="00C57BF3"/>
    <w:rsid w:val="00C6035D"/>
    <w:rsid w:val="00C61739"/>
    <w:rsid w:val="00C66CE0"/>
    <w:rsid w:val="00C70486"/>
    <w:rsid w:val="00C717C5"/>
    <w:rsid w:val="00C71BED"/>
    <w:rsid w:val="00C747C0"/>
    <w:rsid w:val="00C76B75"/>
    <w:rsid w:val="00C81B53"/>
    <w:rsid w:val="00C82AD2"/>
    <w:rsid w:val="00C8702D"/>
    <w:rsid w:val="00C90AF8"/>
    <w:rsid w:val="00C90FB6"/>
    <w:rsid w:val="00C9220E"/>
    <w:rsid w:val="00C932BD"/>
    <w:rsid w:val="00C93429"/>
    <w:rsid w:val="00CA16C5"/>
    <w:rsid w:val="00CA27FA"/>
    <w:rsid w:val="00CA415A"/>
    <w:rsid w:val="00CA5F85"/>
    <w:rsid w:val="00CA7A35"/>
    <w:rsid w:val="00CB1536"/>
    <w:rsid w:val="00CB18D3"/>
    <w:rsid w:val="00CB5F3C"/>
    <w:rsid w:val="00CB75F4"/>
    <w:rsid w:val="00CB7FB8"/>
    <w:rsid w:val="00CB7FE8"/>
    <w:rsid w:val="00CC1F71"/>
    <w:rsid w:val="00CC27C4"/>
    <w:rsid w:val="00CC3627"/>
    <w:rsid w:val="00CC5B81"/>
    <w:rsid w:val="00CC5EB3"/>
    <w:rsid w:val="00CC7C26"/>
    <w:rsid w:val="00CD0E7B"/>
    <w:rsid w:val="00CD2ABD"/>
    <w:rsid w:val="00CD4024"/>
    <w:rsid w:val="00CD4617"/>
    <w:rsid w:val="00CD4855"/>
    <w:rsid w:val="00CD4C3C"/>
    <w:rsid w:val="00CE03EC"/>
    <w:rsid w:val="00CE6D43"/>
    <w:rsid w:val="00CE7644"/>
    <w:rsid w:val="00CE7888"/>
    <w:rsid w:val="00CF3F63"/>
    <w:rsid w:val="00CF5411"/>
    <w:rsid w:val="00D037BD"/>
    <w:rsid w:val="00D06B82"/>
    <w:rsid w:val="00D10E1C"/>
    <w:rsid w:val="00D14774"/>
    <w:rsid w:val="00D161A3"/>
    <w:rsid w:val="00D21B86"/>
    <w:rsid w:val="00D22E49"/>
    <w:rsid w:val="00D236FC"/>
    <w:rsid w:val="00D23716"/>
    <w:rsid w:val="00D25ED8"/>
    <w:rsid w:val="00D27B1C"/>
    <w:rsid w:val="00D27F8F"/>
    <w:rsid w:val="00D316B8"/>
    <w:rsid w:val="00D31CFC"/>
    <w:rsid w:val="00D3255D"/>
    <w:rsid w:val="00D340C3"/>
    <w:rsid w:val="00D3554F"/>
    <w:rsid w:val="00D409CD"/>
    <w:rsid w:val="00D4195A"/>
    <w:rsid w:val="00D423D4"/>
    <w:rsid w:val="00D42CAF"/>
    <w:rsid w:val="00D473B2"/>
    <w:rsid w:val="00D4763B"/>
    <w:rsid w:val="00D47CCB"/>
    <w:rsid w:val="00D53136"/>
    <w:rsid w:val="00D54E13"/>
    <w:rsid w:val="00D56C86"/>
    <w:rsid w:val="00D57311"/>
    <w:rsid w:val="00D601EF"/>
    <w:rsid w:val="00D61533"/>
    <w:rsid w:val="00D6277E"/>
    <w:rsid w:val="00D63B2F"/>
    <w:rsid w:val="00D70747"/>
    <w:rsid w:val="00D70BF4"/>
    <w:rsid w:val="00D71E1A"/>
    <w:rsid w:val="00D7261D"/>
    <w:rsid w:val="00D73527"/>
    <w:rsid w:val="00D74CF8"/>
    <w:rsid w:val="00D75595"/>
    <w:rsid w:val="00D755FC"/>
    <w:rsid w:val="00D76B6D"/>
    <w:rsid w:val="00D77863"/>
    <w:rsid w:val="00D82120"/>
    <w:rsid w:val="00D84191"/>
    <w:rsid w:val="00D84C01"/>
    <w:rsid w:val="00D84D07"/>
    <w:rsid w:val="00D8526A"/>
    <w:rsid w:val="00D855BC"/>
    <w:rsid w:val="00D86E6F"/>
    <w:rsid w:val="00D875BC"/>
    <w:rsid w:val="00D90993"/>
    <w:rsid w:val="00D90E17"/>
    <w:rsid w:val="00D90E91"/>
    <w:rsid w:val="00D91962"/>
    <w:rsid w:val="00DA2D91"/>
    <w:rsid w:val="00DA4C38"/>
    <w:rsid w:val="00DA6B21"/>
    <w:rsid w:val="00DA7D7A"/>
    <w:rsid w:val="00DB2BE3"/>
    <w:rsid w:val="00DB3C80"/>
    <w:rsid w:val="00DB43EC"/>
    <w:rsid w:val="00DB53C1"/>
    <w:rsid w:val="00DB6FFA"/>
    <w:rsid w:val="00DB7AF7"/>
    <w:rsid w:val="00DC1347"/>
    <w:rsid w:val="00DC205E"/>
    <w:rsid w:val="00DC39F1"/>
    <w:rsid w:val="00DD31A7"/>
    <w:rsid w:val="00DD3FD7"/>
    <w:rsid w:val="00DD5334"/>
    <w:rsid w:val="00DD6066"/>
    <w:rsid w:val="00DE20F2"/>
    <w:rsid w:val="00DE4B35"/>
    <w:rsid w:val="00DE6DAE"/>
    <w:rsid w:val="00DF19C1"/>
    <w:rsid w:val="00DF3C65"/>
    <w:rsid w:val="00DF54CA"/>
    <w:rsid w:val="00DF5B64"/>
    <w:rsid w:val="00E0137B"/>
    <w:rsid w:val="00E0267D"/>
    <w:rsid w:val="00E02794"/>
    <w:rsid w:val="00E02D00"/>
    <w:rsid w:val="00E03410"/>
    <w:rsid w:val="00E043E3"/>
    <w:rsid w:val="00E0505B"/>
    <w:rsid w:val="00E11280"/>
    <w:rsid w:val="00E122C9"/>
    <w:rsid w:val="00E12359"/>
    <w:rsid w:val="00E12A2C"/>
    <w:rsid w:val="00E14C42"/>
    <w:rsid w:val="00E15009"/>
    <w:rsid w:val="00E152FF"/>
    <w:rsid w:val="00E17E8F"/>
    <w:rsid w:val="00E2281C"/>
    <w:rsid w:val="00E2461B"/>
    <w:rsid w:val="00E24886"/>
    <w:rsid w:val="00E276FB"/>
    <w:rsid w:val="00E32595"/>
    <w:rsid w:val="00E33A74"/>
    <w:rsid w:val="00E33D8D"/>
    <w:rsid w:val="00E33F30"/>
    <w:rsid w:val="00E35FFD"/>
    <w:rsid w:val="00E365C5"/>
    <w:rsid w:val="00E4030B"/>
    <w:rsid w:val="00E410CB"/>
    <w:rsid w:val="00E41D56"/>
    <w:rsid w:val="00E457DF"/>
    <w:rsid w:val="00E4653D"/>
    <w:rsid w:val="00E46642"/>
    <w:rsid w:val="00E46D7C"/>
    <w:rsid w:val="00E5139A"/>
    <w:rsid w:val="00E5413D"/>
    <w:rsid w:val="00E57977"/>
    <w:rsid w:val="00E57AAD"/>
    <w:rsid w:val="00E60C3D"/>
    <w:rsid w:val="00E61E79"/>
    <w:rsid w:val="00E635D7"/>
    <w:rsid w:val="00E67B8E"/>
    <w:rsid w:val="00E70576"/>
    <w:rsid w:val="00E7165E"/>
    <w:rsid w:val="00E72527"/>
    <w:rsid w:val="00E83954"/>
    <w:rsid w:val="00E83F77"/>
    <w:rsid w:val="00E91730"/>
    <w:rsid w:val="00E94635"/>
    <w:rsid w:val="00E94963"/>
    <w:rsid w:val="00E96F04"/>
    <w:rsid w:val="00E9711B"/>
    <w:rsid w:val="00E97AEC"/>
    <w:rsid w:val="00E97DF9"/>
    <w:rsid w:val="00EA20FE"/>
    <w:rsid w:val="00EA396D"/>
    <w:rsid w:val="00EA57E5"/>
    <w:rsid w:val="00EA6C16"/>
    <w:rsid w:val="00EA6D67"/>
    <w:rsid w:val="00EA7CA4"/>
    <w:rsid w:val="00EB491E"/>
    <w:rsid w:val="00EB5031"/>
    <w:rsid w:val="00EB681B"/>
    <w:rsid w:val="00EC011B"/>
    <w:rsid w:val="00EC0740"/>
    <w:rsid w:val="00EC2C54"/>
    <w:rsid w:val="00EC4FAD"/>
    <w:rsid w:val="00ED01A9"/>
    <w:rsid w:val="00ED05ED"/>
    <w:rsid w:val="00ED18B9"/>
    <w:rsid w:val="00ED3BF6"/>
    <w:rsid w:val="00EE3016"/>
    <w:rsid w:val="00EE3CFA"/>
    <w:rsid w:val="00EE69E4"/>
    <w:rsid w:val="00EF1115"/>
    <w:rsid w:val="00EF236E"/>
    <w:rsid w:val="00EF2A7F"/>
    <w:rsid w:val="00EF68E9"/>
    <w:rsid w:val="00EF7E90"/>
    <w:rsid w:val="00F002B6"/>
    <w:rsid w:val="00F02B52"/>
    <w:rsid w:val="00F03DD9"/>
    <w:rsid w:val="00F05080"/>
    <w:rsid w:val="00F0698F"/>
    <w:rsid w:val="00F10AFE"/>
    <w:rsid w:val="00F114BA"/>
    <w:rsid w:val="00F12833"/>
    <w:rsid w:val="00F15C6C"/>
    <w:rsid w:val="00F17173"/>
    <w:rsid w:val="00F17892"/>
    <w:rsid w:val="00F17C3D"/>
    <w:rsid w:val="00F20C56"/>
    <w:rsid w:val="00F21EC0"/>
    <w:rsid w:val="00F224DC"/>
    <w:rsid w:val="00F22EF1"/>
    <w:rsid w:val="00F23826"/>
    <w:rsid w:val="00F2687F"/>
    <w:rsid w:val="00F27F29"/>
    <w:rsid w:val="00F32D54"/>
    <w:rsid w:val="00F36C54"/>
    <w:rsid w:val="00F418EA"/>
    <w:rsid w:val="00F41A29"/>
    <w:rsid w:val="00F4372A"/>
    <w:rsid w:val="00F44C1C"/>
    <w:rsid w:val="00F45214"/>
    <w:rsid w:val="00F4645F"/>
    <w:rsid w:val="00F50BEA"/>
    <w:rsid w:val="00F518DF"/>
    <w:rsid w:val="00F523E5"/>
    <w:rsid w:val="00F532E5"/>
    <w:rsid w:val="00F544DB"/>
    <w:rsid w:val="00F578BF"/>
    <w:rsid w:val="00F578DD"/>
    <w:rsid w:val="00F6502E"/>
    <w:rsid w:val="00F65663"/>
    <w:rsid w:val="00F7506E"/>
    <w:rsid w:val="00F756C0"/>
    <w:rsid w:val="00F75A40"/>
    <w:rsid w:val="00F77637"/>
    <w:rsid w:val="00F8088B"/>
    <w:rsid w:val="00F80E3F"/>
    <w:rsid w:val="00F8435D"/>
    <w:rsid w:val="00F8505E"/>
    <w:rsid w:val="00F86913"/>
    <w:rsid w:val="00F86FE5"/>
    <w:rsid w:val="00F87DD0"/>
    <w:rsid w:val="00F90ACF"/>
    <w:rsid w:val="00F91CA8"/>
    <w:rsid w:val="00F93360"/>
    <w:rsid w:val="00F93FE4"/>
    <w:rsid w:val="00F969AD"/>
    <w:rsid w:val="00F97E4E"/>
    <w:rsid w:val="00F97FEE"/>
    <w:rsid w:val="00FA14A2"/>
    <w:rsid w:val="00FA217B"/>
    <w:rsid w:val="00FB0BC5"/>
    <w:rsid w:val="00FB0BCC"/>
    <w:rsid w:val="00FB5A66"/>
    <w:rsid w:val="00FC0FE5"/>
    <w:rsid w:val="00FC3AA1"/>
    <w:rsid w:val="00FD1ABC"/>
    <w:rsid w:val="00FD2ED3"/>
    <w:rsid w:val="00FD7DDF"/>
    <w:rsid w:val="00FE4C92"/>
    <w:rsid w:val="00FF0BFF"/>
    <w:rsid w:val="00FF0FAA"/>
    <w:rsid w:val="00FF12D9"/>
    <w:rsid w:val="00FF1FDA"/>
    <w:rsid w:val="00FF4396"/>
    <w:rsid w:val="00FF5081"/>
    <w:rsid w:val="00FF7F4E"/>
    <w:rsid w:val="4CF6D56A"/>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E522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ga-IE" w:eastAsia="en-GB" w:bidi="en-GB"/>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16C0"/>
    <w:pPr>
      <w:overflowPunct w:val="0"/>
      <w:autoSpaceDE w:val="0"/>
      <w:autoSpaceDN w:val="0"/>
      <w:adjustRightInd w:val="0"/>
      <w:spacing w:line="288" w:lineRule="auto"/>
      <w:jc w:val="both"/>
      <w:textAlignment w:val="baseline"/>
    </w:pPr>
    <w:rPr>
      <w:szCs w:val="20"/>
      <w:lang w:eastAsia="en-US" w:bidi="ar-SA"/>
    </w:rPr>
  </w:style>
  <w:style w:type="paragraph" w:styleId="Heading1">
    <w:name w:val="heading 1"/>
    <w:basedOn w:val="Normal"/>
    <w:next w:val="Normal"/>
    <w:link w:val="Heading1Char"/>
    <w:qFormat/>
    <w:rsid w:val="00A316C0"/>
    <w:pPr>
      <w:numPr>
        <w:numId w:val="2"/>
      </w:numPr>
      <w:outlineLvl w:val="0"/>
    </w:pPr>
    <w:rPr>
      <w:kern w:val="28"/>
    </w:rPr>
  </w:style>
  <w:style w:type="paragraph" w:styleId="Heading2">
    <w:name w:val="heading 2"/>
    <w:basedOn w:val="Normal"/>
    <w:next w:val="Normal"/>
    <w:link w:val="Heading2Char"/>
    <w:qFormat/>
    <w:rsid w:val="00A316C0"/>
    <w:pPr>
      <w:numPr>
        <w:ilvl w:val="1"/>
        <w:numId w:val="2"/>
      </w:numPr>
      <w:outlineLvl w:val="1"/>
    </w:pPr>
  </w:style>
  <w:style w:type="paragraph" w:styleId="Heading3">
    <w:name w:val="heading 3"/>
    <w:basedOn w:val="Normal"/>
    <w:next w:val="Normal"/>
    <w:link w:val="Heading3Char"/>
    <w:qFormat/>
    <w:rsid w:val="00A316C0"/>
    <w:pPr>
      <w:numPr>
        <w:ilvl w:val="2"/>
        <w:numId w:val="2"/>
      </w:numPr>
      <w:outlineLvl w:val="2"/>
    </w:pPr>
  </w:style>
  <w:style w:type="paragraph" w:styleId="Heading4">
    <w:name w:val="heading 4"/>
    <w:basedOn w:val="Normal"/>
    <w:next w:val="Normal"/>
    <w:link w:val="Heading4Char"/>
    <w:qFormat/>
    <w:rsid w:val="00A316C0"/>
    <w:pPr>
      <w:numPr>
        <w:ilvl w:val="3"/>
        <w:numId w:val="2"/>
      </w:numPr>
      <w:outlineLvl w:val="3"/>
    </w:pPr>
  </w:style>
  <w:style w:type="paragraph" w:styleId="Heading5">
    <w:name w:val="heading 5"/>
    <w:basedOn w:val="Normal"/>
    <w:next w:val="Normal"/>
    <w:link w:val="Heading5Char"/>
    <w:qFormat/>
    <w:rsid w:val="00A316C0"/>
    <w:pPr>
      <w:numPr>
        <w:ilvl w:val="4"/>
        <w:numId w:val="2"/>
      </w:numPr>
      <w:outlineLvl w:val="4"/>
    </w:pPr>
  </w:style>
  <w:style w:type="paragraph" w:styleId="Heading6">
    <w:name w:val="heading 6"/>
    <w:basedOn w:val="Normal"/>
    <w:next w:val="Normal"/>
    <w:link w:val="Heading6Char"/>
    <w:qFormat/>
    <w:rsid w:val="00A316C0"/>
    <w:pPr>
      <w:numPr>
        <w:ilvl w:val="5"/>
        <w:numId w:val="2"/>
      </w:numPr>
      <w:outlineLvl w:val="5"/>
    </w:pPr>
  </w:style>
  <w:style w:type="paragraph" w:styleId="Heading7">
    <w:name w:val="heading 7"/>
    <w:basedOn w:val="Normal"/>
    <w:next w:val="Normal"/>
    <w:link w:val="Heading7Char"/>
    <w:qFormat/>
    <w:rsid w:val="00A316C0"/>
    <w:pPr>
      <w:numPr>
        <w:ilvl w:val="6"/>
        <w:numId w:val="2"/>
      </w:numPr>
      <w:outlineLvl w:val="6"/>
    </w:pPr>
  </w:style>
  <w:style w:type="paragraph" w:styleId="Heading8">
    <w:name w:val="heading 8"/>
    <w:basedOn w:val="Normal"/>
    <w:next w:val="Normal"/>
    <w:link w:val="Heading8Char"/>
    <w:qFormat/>
    <w:rsid w:val="00A316C0"/>
    <w:pPr>
      <w:numPr>
        <w:ilvl w:val="7"/>
        <w:numId w:val="2"/>
      </w:numPr>
      <w:outlineLvl w:val="7"/>
    </w:pPr>
  </w:style>
  <w:style w:type="paragraph" w:styleId="Heading9">
    <w:name w:val="heading 9"/>
    <w:basedOn w:val="Normal"/>
    <w:next w:val="Normal"/>
    <w:link w:val="Heading9Char"/>
    <w:qFormat/>
    <w:rsid w:val="00A316C0"/>
    <w:pPr>
      <w:numPr>
        <w:ilvl w:val="8"/>
        <w:numId w:val="2"/>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szCs w:val="20"/>
      <w:lang w:eastAsia="en-US" w:bidi="ar-SA"/>
    </w:rPr>
  </w:style>
  <w:style w:type="character" w:customStyle="1" w:styleId="Heading2Char">
    <w:name w:val="Heading 2 Char"/>
    <w:basedOn w:val="DefaultParagraphFont"/>
    <w:link w:val="Heading2"/>
    <w:locked/>
    <w:rsid w:val="00CB1536"/>
    <w:rPr>
      <w:szCs w:val="20"/>
      <w:lang w:eastAsia="en-US" w:bidi="ar-SA"/>
    </w:rPr>
  </w:style>
  <w:style w:type="character" w:customStyle="1" w:styleId="Heading3Char">
    <w:name w:val="Heading 3 Char"/>
    <w:basedOn w:val="DefaultParagraphFont"/>
    <w:link w:val="Heading3"/>
    <w:locked/>
    <w:rsid w:val="00CB1536"/>
    <w:rPr>
      <w:szCs w:val="20"/>
      <w:lang w:eastAsia="en-US" w:bidi="ar-SA"/>
    </w:rPr>
  </w:style>
  <w:style w:type="character" w:customStyle="1" w:styleId="Heading4Char">
    <w:name w:val="Heading 4 Char"/>
    <w:basedOn w:val="DefaultParagraphFont"/>
    <w:link w:val="Heading4"/>
    <w:locked/>
    <w:rsid w:val="00CB1536"/>
    <w:rPr>
      <w:szCs w:val="20"/>
      <w:lang w:eastAsia="en-US" w:bidi="ar-SA"/>
    </w:rPr>
  </w:style>
  <w:style w:type="character" w:customStyle="1" w:styleId="Heading5Char">
    <w:name w:val="Heading 5 Char"/>
    <w:basedOn w:val="DefaultParagraphFont"/>
    <w:link w:val="Heading5"/>
    <w:locked/>
    <w:rsid w:val="00CB1536"/>
    <w:rPr>
      <w:szCs w:val="20"/>
      <w:lang w:eastAsia="en-US" w:bidi="ar-SA"/>
    </w:rPr>
  </w:style>
  <w:style w:type="character" w:customStyle="1" w:styleId="Heading6Char">
    <w:name w:val="Heading 6 Char"/>
    <w:basedOn w:val="DefaultParagraphFont"/>
    <w:link w:val="Heading6"/>
    <w:locked/>
    <w:rsid w:val="00CB1536"/>
    <w:rPr>
      <w:szCs w:val="20"/>
      <w:lang w:eastAsia="en-US" w:bidi="ar-SA"/>
    </w:rPr>
  </w:style>
  <w:style w:type="character" w:customStyle="1" w:styleId="Heading7Char">
    <w:name w:val="Heading 7 Char"/>
    <w:basedOn w:val="DefaultParagraphFont"/>
    <w:link w:val="Heading7"/>
    <w:locked/>
    <w:rsid w:val="00CB1536"/>
    <w:rPr>
      <w:szCs w:val="20"/>
      <w:lang w:eastAsia="en-US" w:bidi="ar-SA"/>
    </w:rPr>
  </w:style>
  <w:style w:type="character" w:customStyle="1" w:styleId="Heading8Char">
    <w:name w:val="Heading 8 Char"/>
    <w:basedOn w:val="DefaultParagraphFont"/>
    <w:link w:val="Heading8"/>
    <w:locked/>
    <w:rsid w:val="00CB1536"/>
    <w:rPr>
      <w:szCs w:val="20"/>
      <w:lang w:eastAsia="en-US" w:bidi="ar-SA"/>
    </w:rPr>
  </w:style>
  <w:style w:type="character" w:customStyle="1" w:styleId="Heading9Char">
    <w:name w:val="Heading 9 Char"/>
    <w:basedOn w:val="DefaultParagraphFont"/>
    <w:link w:val="Heading9"/>
    <w:locked/>
    <w:rsid w:val="00CB1536"/>
    <w:rPr>
      <w:szCs w:val="20"/>
      <w:lang w:eastAsia="en-US" w:bidi="ar-SA"/>
    </w:rPr>
  </w:style>
  <w:style w:type="paragraph" w:styleId="Footer">
    <w:name w:val="footer"/>
    <w:basedOn w:val="Normal"/>
    <w:link w:val="FooterChar"/>
    <w:rsid w:val="00A316C0"/>
  </w:style>
  <w:style w:type="character" w:customStyle="1" w:styleId="FooterChar">
    <w:name w:val="Footer Char"/>
    <w:basedOn w:val="DefaultParagraphFont"/>
    <w:link w:val="Footer"/>
    <w:locked/>
    <w:rsid w:val="00CB1536"/>
    <w:rPr>
      <w:szCs w:val="20"/>
      <w:lang w:eastAsia="en-US" w:bidi="ar-SA"/>
    </w:rPr>
  </w:style>
  <w:style w:type="paragraph" w:styleId="FootnoteText">
    <w:name w:val="footnote text"/>
    <w:basedOn w:val="Normal"/>
    <w:link w:val="FootnoteTextChar"/>
    <w:qFormat/>
    <w:rsid w:val="00A316C0"/>
    <w:pPr>
      <w:keepLines/>
      <w:spacing w:after="60" w:line="240" w:lineRule="auto"/>
      <w:ind w:left="720" w:hanging="720"/>
    </w:pPr>
    <w:rPr>
      <w:sz w:val="16"/>
    </w:rPr>
  </w:style>
  <w:style w:type="character" w:customStyle="1" w:styleId="FootnoteTextChar">
    <w:name w:val="Footnote Text Char"/>
    <w:basedOn w:val="DefaultParagraphFont"/>
    <w:link w:val="FootnoteText"/>
    <w:locked/>
    <w:rsid w:val="00CB1536"/>
    <w:rPr>
      <w:sz w:val="16"/>
      <w:szCs w:val="20"/>
      <w:lang w:eastAsia="en-US" w:bidi="ar-SA"/>
    </w:rPr>
  </w:style>
  <w:style w:type="paragraph" w:styleId="Header">
    <w:name w:val="header"/>
    <w:basedOn w:val="Normal"/>
    <w:link w:val="HeaderChar"/>
    <w:qFormat/>
    <w:rsid w:val="00A316C0"/>
  </w:style>
  <w:style w:type="character" w:customStyle="1" w:styleId="HeaderChar">
    <w:name w:val="Header Char"/>
    <w:basedOn w:val="DefaultParagraphFont"/>
    <w:link w:val="Header"/>
    <w:locked/>
    <w:rsid w:val="00CB1536"/>
    <w:rPr>
      <w:szCs w:val="20"/>
      <w:lang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aliases w:val="Footnote symbol"/>
    <w:basedOn w:val="DefaultParagraphFont"/>
    <w:qFormat/>
    <w:rsid w:val="00A316C0"/>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styleId="ListParagraph">
    <w:name w:val="List Paragraph"/>
    <w:basedOn w:val="Normal"/>
    <w:uiPriority w:val="34"/>
    <w:qFormat/>
    <w:rsid w:val="000B68FA"/>
    <w:pPr>
      <w:ind w:left="720"/>
      <w:contextualSpacing/>
    </w:pPr>
  </w:style>
  <w:style w:type="table" w:styleId="TableGrid">
    <w:name w:val="Table Grid"/>
    <w:basedOn w:val="TableNormal"/>
    <w:uiPriority w:val="39"/>
    <w:locked/>
    <w:rsid w:val="00AD2C25"/>
    <w:rPr>
      <w:rFonts w:asciiTheme="minorHAnsi" w:eastAsiaTheme="minorHAnsi" w:hAnsiTheme="minorHAnsi" w:cstheme="minorBidi"/>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018362">
      <w:bodyDiv w:val="1"/>
      <w:marLeft w:val="0"/>
      <w:marRight w:val="0"/>
      <w:marTop w:val="0"/>
      <w:marBottom w:val="0"/>
      <w:divBdr>
        <w:top w:val="none" w:sz="0" w:space="0" w:color="auto"/>
        <w:left w:val="none" w:sz="0" w:space="0" w:color="auto"/>
        <w:bottom w:val="none" w:sz="0" w:space="0" w:color="auto"/>
        <w:right w:val="none" w:sz="0" w:space="0" w:color="auto"/>
      </w:divBdr>
    </w:div>
    <w:div w:id="138304500">
      <w:bodyDiv w:val="1"/>
      <w:marLeft w:val="0"/>
      <w:marRight w:val="0"/>
      <w:marTop w:val="0"/>
      <w:marBottom w:val="0"/>
      <w:divBdr>
        <w:top w:val="none" w:sz="0" w:space="0" w:color="auto"/>
        <w:left w:val="none" w:sz="0" w:space="0" w:color="auto"/>
        <w:bottom w:val="none" w:sz="0" w:space="0" w:color="auto"/>
        <w:right w:val="none" w:sz="0" w:space="0" w:color="auto"/>
      </w:divBdr>
      <w:divsChild>
        <w:div w:id="1241595141">
          <w:marLeft w:val="0"/>
          <w:marRight w:val="0"/>
          <w:marTop w:val="0"/>
          <w:marBottom w:val="0"/>
          <w:divBdr>
            <w:top w:val="none" w:sz="0" w:space="0" w:color="auto"/>
            <w:left w:val="none" w:sz="0" w:space="0" w:color="auto"/>
            <w:bottom w:val="none" w:sz="0" w:space="0" w:color="auto"/>
            <w:right w:val="none" w:sz="0" w:space="0" w:color="auto"/>
          </w:divBdr>
          <w:divsChild>
            <w:div w:id="1277365832">
              <w:marLeft w:val="0"/>
              <w:marRight w:val="0"/>
              <w:marTop w:val="0"/>
              <w:marBottom w:val="0"/>
              <w:divBdr>
                <w:top w:val="none" w:sz="0" w:space="0" w:color="auto"/>
                <w:left w:val="none" w:sz="0" w:space="0" w:color="auto"/>
                <w:bottom w:val="none" w:sz="0" w:space="0" w:color="auto"/>
                <w:right w:val="none" w:sz="0" w:space="0" w:color="auto"/>
              </w:divBdr>
            </w:div>
            <w:div w:id="2046952548">
              <w:marLeft w:val="0"/>
              <w:marRight w:val="0"/>
              <w:marTop w:val="0"/>
              <w:marBottom w:val="0"/>
              <w:divBdr>
                <w:top w:val="none" w:sz="0" w:space="0" w:color="auto"/>
                <w:left w:val="none" w:sz="0" w:space="0" w:color="auto"/>
                <w:bottom w:val="none" w:sz="0" w:space="0" w:color="auto"/>
                <w:right w:val="none" w:sz="0" w:space="0" w:color="auto"/>
              </w:divBdr>
            </w:div>
            <w:div w:id="117846161">
              <w:marLeft w:val="0"/>
              <w:marRight w:val="0"/>
              <w:marTop w:val="0"/>
              <w:marBottom w:val="0"/>
              <w:divBdr>
                <w:top w:val="none" w:sz="0" w:space="0" w:color="auto"/>
                <w:left w:val="none" w:sz="0" w:space="0" w:color="auto"/>
                <w:bottom w:val="none" w:sz="0" w:space="0" w:color="auto"/>
                <w:right w:val="none" w:sz="0" w:space="0" w:color="auto"/>
              </w:divBdr>
            </w:div>
            <w:div w:id="1145925578">
              <w:marLeft w:val="0"/>
              <w:marRight w:val="0"/>
              <w:marTop w:val="0"/>
              <w:marBottom w:val="0"/>
              <w:divBdr>
                <w:top w:val="none" w:sz="0" w:space="0" w:color="auto"/>
                <w:left w:val="none" w:sz="0" w:space="0" w:color="auto"/>
                <w:bottom w:val="none" w:sz="0" w:space="0" w:color="auto"/>
                <w:right w:val="none" w:sz="0" w:space="0" w:color="auto"/>
              </w:divBdr>
            </w:div>
            <w:div w:id="1395005617">
              <w:marLeft w:val="0"/>
              <w:marRight w:val="0"/>
              <w:marTop w:val="0"/>
              <w:marBottom w:val="0"/>
              <w:divBdr>
                <w:top w:val="none" w:sz="0" w:space="0" w:color="auto"/>
                <w:left w:val="none" w:sz="0" w:space="0" w:color="auto"/>
                <w:bottom w:val="none" w:sz="0" w:space="0" w:color="auto"/>
                <w:right w:val="none" w:sz="0" w:space="0" w:color="auto"/>
              </w:divBdr>
            </w:div>
          </w:divsChild>
        </w:div>
        <w:div w:id="1088770290">
          <w:marLeft w:val="0"/>
          <w:marRight w:val="0"/>
          <w:marTop w:val="0"/>
          <w:marBottom w:val="0"/>
          <w:divBdr>
            <w:top w:val="none" w:sz="0" w:space="0" w:color="auto"/>
            <w:left w:val="none" w:sz="0" w:space="0" w:color="auto"/>
            <w:bottom w:val="none" w:sz="0" w:space="0" w:color="auto"/>
            <w:right w:val="none" w:sz="0" w:space="0" w:color="auto"/>
          </w:divBdr>
          <w:divsChild>
            <w:div w:id="903494865">
              <w:marLeft w:val="-75"/>
              <w:marRight w:val="0"/>
              <w:marTop w:val="30"/>
              <w:marBottom w:val="30"/>
              <w:divBdr>
                <w:top w:val="none" w:sz="0" w:space="0" w:color="auto"/>
                <w:left w:val="none" w:sz="0" w:space="0" w:color="auto"/>
                <w:bottom w:val="none" w:sz="0" w:space="0" w:color="auto"/>
                <w:right w:val="none" w:sz="0" w:space="0" w:color="auto"/>
              </w:divBdr>
              <w:divsChild>
                <w:div w:id="384841762">
                  <w:marLeft w:val="0"/>
                  <w:marRight w:val="0"/>
                  <w:marTop w:val="0"/>
                  <w:marBottom w:val="0"/>
                  <w:divBdr>
                    <w:top w:val="none" w:sz="0" w:space="0" w:color="auto"/>
                    <w:left w:val="none" w:sz="0" w:space="0" w:color="auto"/>
                    <w:bottom w:val="none" w:sz="0" w:space="0" w:color="auto"/>
                    <w:right w:val="none" w:sz="0" w:space="0" w:color="auto"/>
                  </w:divBdr>
                  <w:divsChild>
                    <w:div w:id="78647945">
                      <w:marLeft w:val="0"/>
                      <w:marRight w:val="0"/>
                      <w:marTop w:val="0"/>
                      <w:marBottom w:val="0"/>
                      <w:divBdr>
                        <w:top w:val="none" w:sz="0" w:space="0" w:color="auto"/>
                        <w:left w:val="none" w:sz="0" w:space="0" w:color="auto"/>
                        <w:bottom w:val="none" w:sz="0" w:space="0" w:color="auto"/>
                        <w:right w:val="none" w:sz="0" w:space="0" w:color="auto"/>
                      </w:divBdr>
                    </w:div>
                  </w:divsChild>
                </w:div>
                <w:div w:id="2019237185">
                  <w:marLeft w:val="0"/>
                  <w:marRight w:val="0"/>
                  <w:marTop w:val="0"/>
                  <w:marBottom w:val="0"/>
                  <w:divBdr>
                    <w:top w:val="none" w:sz="0" w:space="0" w:color="auto"/>
                    <w:left w:val="none" w:sz="0" w:space="0" w:color="auto"/>
                    <w:bottom w:val="none" w:sz="0" w:space="0" w:color="auto"/>
                    <w:right w:val="none" w:sz="0" w:space="0" w:color="auto"/>
                  </w:divBdr>
                  <w:divsChild>
                    <w:div w:id="1996838574">
                      <w:marLeft w:val="0"/>
                      <w:marRight w:val="0"/>
                      <w:marTop w:val="0"/>
                      <w:marBottom w:val="0"/>
                      <w:divBdr>
                        <w:top w:val="none" w:sz="0" w:space="0" w:color="auto"/>
                        <w:left w:val="none" w:sz="0" w:space="0" w:color="auto"/>
                        <w:bottom w:val="none" w:sz="0" w:space="0" w:color="auto"/>
                        <w:right w:val="none" w:sz="0" w:space="0" w:color="auto"/>
                      </w:divBdr>
                    </w:div>
                  </w:divsChild>
                </w:div>
                <w:div w:id="1534490734">
                  <w:marLeft w:val="0"/>
                  <w:marRight w:val="0"/>
                  <w:marTop w:val="0"/>
                  <w:marBottom w:val="0"/>
                  <w:divBdr>
                    <w:top w:val="none" w:sz="0" w:space="0" w:color="auto"/>
                    <w:left w:val="none" w:sz="0" w:space="0" w:color="auto"/>
                    <w:bottom w:val="none" w:sz="0" w:space="0" w:color="auto"/>
                    <w:right w:val="none" w:sz="0" w:space="0" w:color="auto"/>
                  </w:divBdr>
                  <w:divsChild>
                    <w:div w:id="1465078362">
                      <w:marLeft w:val="0"/>
                      <w:marRight w:val="0"/>
                      <w:marTop w:val="0"/>
                      <w:marBottom w:val="0"/>
                      <w:divBdr>
                        <w:top w:val="none" w:sz="0" w:space="0" w:color="auto"/>
                        <w:left w:val="none" w:sz="0" w:space="0" w:color="auto"/>
                        <w:bottom w:val="none" w:sz="0" w:space="0" w:color="auto"/>
                        <w:right w:val="none" w:sz="0" w:space="0" w:color="auto"/>
                      </w:divBdr>
                    </w:div>
                  </w:divsChild>
                </w:div>
                <w:div w:id="1881934417">
                  <w:marLeft w:val="0"/>
                  <w:marRight w:val="0"/>
                  <w:marTop w:val="0"/>
                  <w:marBottom w:val="0"/>
                  <w:divBdr>
                    <w:top w:val="none" w:sz="0" w:space="0" w:color="auto"/>
                    <w:left w:val="none" w:sz="0" w:space="0" w:color="auto"/>
                    <w:bottom w:val="none" w:sz="0" w:space="0" w:color="auto"/>
                    <w:right w:val="none" w:sz="0" w:space="0" w:color="auto"/>
                  </w:divBdr>
                  <w:divsChild>
                    <w:div w:id="115653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839279">
          <w:marLeft w:val="0"/>
          <w:marRight w:val="0"/>
          <w:marTop w:val="0"/>
          <w:marBottom w:val="0"/>
          <w:divBdr>
            <w:top w:val="none" w:sz="0" w:space="0" w:color="auto"/>
            <w:left w:val="none" w:sz="0" w:space="0" w:color="auto"/>
            <w:bottom w:val="none" w:sz="0" w:space="0" w:color="auto"/>
            <w:right w:val="none" w:sz="0" w:space="0" w:color="auto"/>
          </w:divBdr>
        </w:div>
        <w:div w:id="1253198023">
          <w:marLeft w:val="0"/>
          <w:marRight w:val="0"/>
          <w:marTop w:val="0"/>
          <w:marBottom w:val="0"/>
          <w:divBdr>
            <w:top w:val="none" w:sz="0" w:space="0" w:color="auto"/>
            <w:left w:val="none" w:sz="0" w:space="0" w:color="auto"/>
            <w:bottom w:val="none" w:sz="0" w:space="0" w:color="auto"/>
            <w:right w:val="none" w:sz="0" w:space="0" w:color="auto"/>
          </w:divBdr>
          <w:divsChild>
            <w:div w:id="1032265375">
              <w:marLeft w:val="-75"/>
              <w:marRight w:val="0"/>
              <w:marTop w:val="30"/>
              <w:marBottom w:val="30"/>
              <w:divBdr>
                <w:top w:val="none" w:sz="0" w:space="0" w:color="auto"/>
                <w:left w:val="none" w:sz="0" w:space="0" w:color="auto"/>
                <w:bottom w:val="none" w:sz="0" w:space="0" w:color="auto"/>
                <w:right w:val="none" w:sz="0" w:space="0" w:color="auto"/>
              </w:divBdr>
              <w:divsChild>
                <w:div w:id="869882954">
                  <w:marLeft w:val="0"/>
                  <w:marRight w:val="0"/>
                  <w:marTop w:val="0"/>
                  <w:marBottom w:val="0"/>
                  <w:divBdr>
                    <w:top w:val="none" w:sz="0" w:space="0" w:color="auto"/>
                    <w:left w:val="none" w:sz="0" w:space="0" w:color="auto"/>
                    <w:bottom w:val="none" w:sz="0" w:space="0" w:color="auto"/>
                    <w:right w:val="none" w:sz="0" w:space="0" w:color="auto"/>
                  </w:divBdr>
                  <w:divsChild>
                    <w:div w:id="1032001996">
                      <w:marLeft w:val="0"/>
                      <w:marRight w:val="0"/>
                      <w:marTop w:val="0"/>
                      <w:marBottom w:val="0"/>
                      <w:divBdr>
                        <w:top w:val="none" w:sz="0" w:space="0" w:color="auto"/>
                        <w:left w:val="none" w:sz="0" w:space="0" w:color="auto"/>
                        <w:bottom w:val="none" w:sz="0" w:space="0" w:color="auto"/>
                        <w:right w:val="none" w:sz="0" w:space="0" w:color="auto"/>
                      </w:divBdr>
                    </w:div>
                  </w:divsChild>
                </w:div>
                <w:div w:id="1750351379">
                  <w:marLeft w:val="0"/>
                  <w:marRight w:val="0"/>
                  <w:marTop w:val="0"/>
                  <w:marBottom w:val="0"/>
                  <w:divBdr>
                    <w:top w:val="none" w:sz="0" w:space="0" w:color="auto"/>
                    <w:left w:val="none" w:sz="0" w:space="0" w:color="auto"/>
                    <w:bottom w:val="none" w:sz="0" w:space="0" w:color="auto"/>
                    <w:right w:val="none" w:sz="0" w:space="0" w:color="auto"/>
                  </w:divBdr>
                  <w:divsChild>
                    <w:div w:id="50660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202416">
          <w:marLeft w:val="0"/>
          <w:marRight w:val="0"/>
          <w:marTop w:val="0"/>
          <w:marBottom w:val="0"/>
          <w:divBdr>
            <w:top w:val="none" w:sz="0" w:space="0" w:color="auto"/>
            <w:left w:val="none" w:sz="0" w:space="0" w:color="auto"/>
            <w:bottom w:val="none" w:sz="0" w:space="0" w:color="auto"/>
            <w:right w:val="none" w:sz="0" w:space="0" w:color="auto"/>
          </w:divBdr>
        </w:div>
        <w:div w:id="926841864">
          <w:marLeft w:val="0"/>
          <w:marRight w:val="0"/>
          <w:marTop w:val="0"/>
          <w:marBottom w:val="0"/>
          <w:divBdr>
            <w:top w:val="none" w:sz="0" w:space="0" w:color="auto"/>
            <w:left w:val="none" w:sz="0" w:space="0" w:color="auto"/>
            <w:bottom w:val="none" w:sz="0" w:space="0" w:color="auto"/>
            <w:right w:val="none" w:sz="0" w:space="0" w:color="auto"/>
          </w:divBdr>
        </w:div>
        <w:div w:id="2029601939">
          <w:marLeft w:val="0"/>
          <w:marRight w:val="0"/>
          <w:marTop w:val="0"/>
          <w:marBottom w:val="0"/>
          <w:divBdr>
            <w:top w:val="none" w:sz="0" w:space="0" w:color="auto"/>
            <w:left w:val="none" w:sz="0" w:space="0" w:color="auto"/>
            <w:bottom w:val="none" w:sz="0" w:space="0" w:color="auto"/>
            <w:right w:val="none" w:sz="0" w:space="0" w:color="auto"/>
          </w:divBdr>
        </w:div>
        <w:div w:id="1713111492">
          <w:marLeft w:val="0"/>
          <w:marRight w:val="0"/>
          <w:marTop w:val="0"/>
          <w:marBottom w:val="0"/>
          <w:divBdr>
            <w:top w:val="none" w:sz="0" w:space="0" w:color="auto"/>
            <w:left w:val="none" w:sz="0" w:space="0" w:color="auto"/>
            <w:bottom w:val="none" w:sz="0" w:space="0" w:color="auto"/>
            <w:right w:val="none" w:sz="0" w:space="0" w:color="auto"/>
          </w:divBdr>
        </w:div>
        <w:div w:id="1097097468">
          <w:marLeft w:val="0"/>
          <w:marRight w:val="0"/>
          <w:marTop w:val="0"/>
          <w:marBottom w:val="0"/>
          <w:divBdr>
            <w:top w:val="none" w:sz="0" w:space="0" w:color="auto"/>
            <w:left w:val="none" w:sz="0" w:space="0" w:color="auto"/>
            <w:bottom w:val="none" w:sz="0" w:space="0" w:color="auto"/>
            <w:right w:val="none" w:sz="0" w:space="0" w:color="auto"/>
          </w:divBdr>
          <w:divsChild>
            <w:div w:id="2092576736">
              <w:marLeft w:val="-75"/>
              <w:marRight w:val="0"/>
              <w:marTop w:val="30"/>
              <w:marBottom w:val="30"/>
              <w:divBdr>
                <w:top w:val="none" w:sz="0" w:space="0" w:color="auto"/>
                <w:left w:val="none" w:sz="0" w:space="0" w:color="auto"/>
                <w:bottom w:val="none" w:sz="0" w:space="0" w:color="auto"/>
                <w:right w:val="none" w:sz="0" w:space="0" w:color="auto"/>
              </w:divBdr>
              <w:divsChild>
                <w:div w:id="1437673744">
                  <w:marLeft w:val="0"/>
                  <w:marRight w:val="0"/>
                  <w:marTop w:val="0"/>
                  <w:marBottom w:val="0"/>
                  <w:divBdr>
                    <w:top w:val="none" w:sz="0" w:space="0" w:color="auto"/>
                    <w:left w:val="none" w:sz="0" w:space="0" w:color="auto"/>
                    <w:bottom w:val="none" w:sz="0" w:space="0" w:color="auto"/>
                    <w:right w:val="none" w:sz="0" w:space="0" w:color="auto"/>
                  </w:divBdr>
                  <w:divsChild>
                    <w:div w:id="1199704467">
                      <w:marLeft w:val="0"/>
                      <w:marRight w:val="0"/>
                      <w:marTop w:val="0"/>
                      <w:marBottom w:val="0"/>
                      <w:divBdr>
                        <w:top w:val="none" w:sz="0" w:space="0" w:color="auto"/>
                        <w:left w:val="none" w:sz="0" w:space="0" w:color="auto"/>
                        <w:bottom w:val="none" w:sz="0" w:space="0" w:color="auto"/>
                        <w:right w:val="none" w:sz="0" w:space="0" w:color="auto"/>
                      </w:divBdr>
                    </w:div>
                  </w:divsChild>
                </w:div>
                <w:div w:id="1823236175">
                  <w:marLeft w:val="0"/>
                  <w:marRight w:val="0"/>
                  <w:marTop w:val="0"/>
                  <w:marBottom w:val="0"/>
                  <w:divBdr>
                    <w:top w:val="none" w:sz="0" w:space="0" w:color="auto"/>
                    <w:left w:val="none" w:sz="0" w:space="0" w:color="auto"/>
                    <w:bottom w:val="none" w:sz="0" w:space="0" w:color="auto"/>
                    <w:right w:val="none" w:sz="0" w:space="0" w:color="auto"/>
                  </w:divBdr>
                  <w:divsChild>
                    <w:div w:id="1449548169">
                      <w:marLeft w:val="0"/>
                      <w:marRight w:val="0"/>
                      <w:marTop w:val="0"/>
                      <w:marBottom w:val="0"/>
                      <w:divBdr>
                        <w:top w:val="none" w:sz="0" w:space="0" w:color="auto"/>
                        <w:left w:val="none" w:sz="0" w:space="0" w:color="auto"/>
                        <w:bottom w:val="none" w:sz="0" w:space="0" w:color="auto"/>
                        <w:right w:val="none" w:sz="0" w:space="0" w:color="auto"/>
                      </w:divBdr>
                    </w:div>
                  </w:divsChild>
                </w:div>
                <w:div w:id="2066830890">
                  <w:marLeft w:val="0"/>
                  <w:marRight w:val="0"/>
                  <w:marTop w:val="0"/>
                  <w:marBottom w:val="0"/>
                  <w:divBdr>
                    <w:top w:val="none" w:sz="0" w:space="0" w:color="auto"/>
                    <w:left w:val="none" w:sz="0" w:space="0" w:color="auto"/>
                    <w:bottom w:val="none" w:sz="0" w:space="0" w:color="auto"/>
                    <w:right w:val="none" w:sz="0" w:space="0" w:color="auto"/>
                  </w:divBdr>
                  <w:divsChild>
                    <w:div w:id="1837573810">
                      <w:marLeft w:val="0"/>
                      <w:marRight w:val="0"/>
                      <w:marTop w:val="0"/>
                      <w:marBottom w:val="0"/>
                      <w:divBdr>
                        <w:top w:val="none" w:sz="0" w:space="0" w:color="auto"/>
                        <w:left w:val="none" w:sz="0" w:space="0" w:color="auto"/>
                        <w:bottom w:val="none" w:sz="0" w:space="0" w:color="auto"/>
                        <w:right w:val="none" w:sz="0" w:space="0" w:color="auto"/>
                      </w:divBdr>
                    </w:div>
                  </w:divsChild>
                </w:div>
                <w:div w:id="862598018">
                  <w:marLeft w:val="0"/>
                  <w:marRight w:val="0"/>
                  <w:marTop w:val="0"/>
                  <w:marBottom w:val="0"/>
                  <w:divBdr>
                    <w:top w:val="none" w:sz="0" w:space="0" w:color="auto"/>
                    <w:left w:val="none" w:sz="0" w:space="0" w:color="auto"/>
                    <w:bottom w:val="none" w:sz="0" w:space="0" w:color="auto"/>
                    <w:right w:val="none" w:sz="0" w:space="0" w:color="auto"/>
                  </w:divBdr>
                  <w:divsChild>
                    <w:div w:id="781265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7130486">
          <w:marLeft w:val="0"/>
          <w:marRight w:val="0"/>
          <w:marTop w:val="0"/>
          <w:marBottom w:val="0"/>
          <w:divBdr>
            <w:top w:val="none" w:sz="0" w:space="0" w:color="auto"/>
            <w:left w:val="none" w:sz="0" w:space="0" w:color="auto"/>
            <w:bottom w:val="none" w:sz="0" w:space="0" w:color="auto"/>
            <w:right w:val="none" w:sz="0" w:space="0" w:color="auto"/>
          </w:divBdr>
        </w:div>
        <w:div w:id="77101897">
          <w:marLeft w:val="0"/>
          <w:marRight w:val="0"/>
          <w:marTop w:val="0"/>
          <w:marBottom w:val="0"/>
          <w:divBdr>
            <w:top w:val="none" w:sz="0" w:space="0" w:color="auto"/>
            <w:left w:val="none" w:sz="0" w:space="0" w:color="auto"/>
            <w:bottom w:val="none" w:sz="0" w:space="0" w:color="auto"/>
            <w:right w:val="none" w:sz="0" w:space="0" w:color="auto"/>
          </w:divBdr>
          <w:divsChild>
            <w:div w:id="207911718">
              <w:marLeft w:val="-75"/>
              <w:marRight w:val="0"/>
              <w:marTop w:val="30"/>
              <w:marBottom w:val="30"/>
              <w:divBdr>
                <w:top w:val="none" w:sz="0" w:space="0" w:color="auto"/>
                <w:left w:val="none" w:sz="0" w:space="0" w:color="auto"/>
                <w:bottom w:val="none" w:sz="0" w:space="0" w:color="auto"/>
                <w:right w:val="none" w:sz="0" w:space="0" w:color="auto"/>
              </w:divBdr>
              <w:divsChild>
                <w:div w:id="1728456931">
                  <w:marLeft w:val="0"/>
                  <w:marRight w:val="0"/>
                  <w:marTop w:val="0"/>
                  <w:marBottom w:val="0"/>
                  <w:divBdr>
                    <w:top w:val="none" w:sz="0" w:space="0" w:color="auto"/>
                    <w:left w:val="none" w:sz="0" w:space="0" w:color="auto"/>
                    <w:bottom w:val="none" w:sz="0" w:space="0" w:color="auto"/>
                    <w:right w:val="none" w:sz="0" w:space="0" w:color="auto"/>
                  </w:divBdr>
                  <w:divsChild>
                    <w:div w:id="1334838238">
                      <w:marLeft w:val="0"/>
                      <w:marRight w:val="0"/>
                      <w:marTop w:val="0"/>
                      <w:marBottom w:val="0"/>
                      <w:divBdr>
                        <w:top w:val="none" w:sz="0" w:space="0" w:color="auto"/>
                        <w:left w:val="none" w:sz="0" w:space="0" w:color="auto"/>
                        <w:bottom w:val="none" w:sz="0" w:space="0" w:color="auto"/>
                        <w:right w:val="none" w:sz="0" w:space="0" w:color="auto"/>
                      </w:divBdr>
                    </w:div>
                  </w:divsChild>
                </w:div>
                <w:div w:id="1679229970">
                  <w:marLeft w:val="0"/>
                  <w:marRight w:val="0"/>
                  <w:marTop w:val="0"/>
                  <w:marBottom w:val="0"/>
                  <w:divBdr>
                    <w:top w:val="none" w:sz="0" w:space="0" w:color="auto"/>
                    <w:left w:val="none" w:sz="0" w:space="0" w:color="auto"/>
                    <w:bottom w:val="none" w:sz="0" w:space="0" w:color="auto"/>
                    <w:right w:val="none" w:sz="0" w:space="0" w:color="auto"/>
                  </w:divBdr>
                  <w:divsChild>
                    <w:div w:id="37535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994851">
          <w:marLeft w:val="0"/>
          <w:marRight w:val="0"/>
          <w:marTop w:val="0"/>
          <w:marBottom w:val="0"/>
          <w:divBdr>
            <w:top w:val="none" w:sz="0" w:space="0" w:color="auto"/>
            <w:left w:val="none" w:sz="0" w:space="0" w:color="auto"/>
            <w:bottom w:val="none" w:sz="0" w:space="0" w:color="auto"/>
            <w:right w:val="none" w:sz="0" w:space="0" w:color="auto"/>
          </w:divBdr>
        </w:div>
        <w:div w:id="241960356">
          <w:marLeft w:val="0"/>
          <w:marRight w:val="0"/>
          <w:marTop w:val="0"/>
          <w:marBottom w:val="0"/>
          <w:divBdr>
            <w:top w:val="none" w:sz="0" w:space="0" w:color="auto"/>
            <w:left w:val="none" w:sz="0" w:space="0" w:color="auto"/>
            <w:bottom w:val="none" w:sz="0" w:space="0" w:color="auto"/>
            <w:right w:val="none" w:sz="0" w:space="0" w:color="auto"/>
          </w:divBdr>
        </w:div>
        <w:div w:id="1639259846">
          <w:marLeft w:val="0"/>
          <w:marRight w:val="0"/>
          <w:marTop w:val="0"/>
          <w:marBottom w:val="0"/>
          <w:divBdr>
            <w:top w:val="none" w:sz="0" w:space="0" w:color="auto"/>
            <w:left w:val="none" w:sz="0" w:space="0" w:color="auto"/>
            <w:bottom w:val="none" w:sz="0" w:space="0" w:color="auto"/>
            <w:right w:val="none" w:sz="0" w:space="0" w:color="auto"/>
          </w:divBdr>
        </w:div>
        <w:div w:id="341977377">
          <w:marLeft w:val="0"/>
          <w:marRight w:val="0"/>
          <w:marTop w:val="0"/>
          <w:marBottom w:val="0"/>
          <w:divBdr>
            <w:top w:val="none" w:sz="0" w:space="0" w:color="auto"/>
            <w:left w:val="none" w:sz="0" w:space="0" w:color="auto"/>
            <w:bottom w:val="none" w:sz="0" w:space="0" w:color="auto"/>
            <w:right w:val="none" w:sz="0" w:space="0" w:color="auto"/>
          </w:divBdr>
        </w:div>
        <w:div w:id="1600094101">
          <w:marLeft w:val="0"/>
          <w:marRight w:val="0"/>
          <w:marTop w:val="0"/>
          <w:marBottom w:val="0"/>
          <w:divBdr>
            <w:top w:val="none" w:sz="0" w:space="0" w:color="auto"/>
            <w:left w:val="none" w:sz="0" w:space="0" w:color="auto"/>
            <w:bottom w:val="none" w:sz="0" w:space="0" w:color="auto"/>
            <w:right w:val="none" w:sz="0" w:space="0" w:color="auto"/>
          </w:divBdr>
          <w:divsChild>
            <w:div w:id="1400900001">
              <w:marLeft w:val="-75"/>
              <w:marRight w:val="0"/>
              <w:marTop w:val="30"/>
              <w:marBottom w:val="30"/>
              <w:divBdr>
                <w:top w:val="none" w:sz="0" w:space="0" w:color="auto"/>
                <w:left w:val="none" w:sz="0" w:space="0" w:color="auto"/>
                <w:bottom w:val="none" w:sz="0" w:space="0" w:color="auto"/>
                <w:right w:val="none" w:sz="0" w:space="0" w:color="auto"/>
              </w:divBdr>
              <w:divsChild>
                <w:div w:id="1091121428">
                  <w:marLeft w:val="0"/>
                  <w:marRight w:val="0"/>
                  <w:marTop w:val="0"/>
                  <w:marBottom w:val="0"/>
                  <w:divBdr>
                    <w:top w:val="none" w:sz="0" w:space="0" w:color="auto"/>
                    <w:left w:val="none" w:sz="0" w:space="0" w:color="auto"/>
                    <w:bottom w:val="none" w:sz="0" w:space="0" w:color="auto"/>
                    <w:right w:val="none" w:sz="0" w:space="0" w:color="auto"/>
                  </w:divBdr>
                  <w:divsChild>
                    <w:div w:id="2002737313">
                      <w:marLeft w:val="0"/>
                      <w:marRight w:val="0"/>
                      <w:marTop w:val="0"/>
                      <w:marBottom w:val="0"/>
                      <w:divBdr>
                        <w:top w:val="none" w:sz="0" w:space="0" w:color="auto"/>
                        <w:left w:val="none" w:sz="0" w:space="0" w:color="auto"/>
                        <w:bottom w:val="none" w:sz="0" w:space="0" w:color="auto"/>
                        <w:right w:val="none" w:sz="0" w:space="0" w:color="auto"/>
                      </w:divBdr>
                    </w:div>
                  </w:divsChild>
                </w:div>
                <w:div w:id="866672889">
                  <w:marLeft w:val="0"/>
                  <w:marRight w:val="0"/>
                  <w:marTop w:val="0"/>
                  <w:marBottom w:val="0"/>
                  <w:divBdr>
                    <w:top w:val="none" w:sz="0" w:space="0" w:color="auto"/>
                    <w:left w:val="none" w:sz="0" w:space="0" w:color="auto"/>
                    <w:bottom w:val="none" w:sz="0" w:space="0" w:color="auto"/>
                    <w:right w:val="none" w:sz="0" w:space="0" w:color="auto"/>
                  </w:divBdr>
                  <w:divsChild>
                    <w:div w:id="1971519756">
                      <w:marLeft w:val="0"/>
                      <w:marRight w:val="0"/>
                      <w:marTop w:val="0"/>
                      <w:marBottom w:val="0"/>
                      <w:divBdr>
                        <w:top w:val="none" w:sz="0" w:space="0" w:color="auto"/>
                        <w:left w:val="none" w:sz="0" w:space="0" w:color="auto"/>
                        <w:bottom w:val="none" w:sz="0" w:space="0" w:color="auto"/>
                        <w:right w:val="none" w:sz="0" w:space="0" w:color="auto"/>
                      </w:divBdr>
                    </w:div>
                  </w:divsChild>
                </w:div>
                <w:div w:id="599720890">
                  <w:marLeft w:val="0"/>
                  <w:marRight w:val="0"/>
                  <w:marTop w:val="0"/>
                  <w:marBottom w:val="0"/>
                  <w:divBdr>
                    <w:top w:val="none" w:sz="0" w:space="0" w:color="auto"/>
                    <w:left w:val="none" w:sz="0" w:space="0" w:color="auto"/>
                    <w:bottom w:val="none" w:sz="0" w:space="0" w:color="auto"/>
                    <w:right w:val="none" w:sz="0" w:space="0" w:color="auto"/>
                  </w:divBdr>
                  <w:divsChild>
                    <w:div w:id="1654063972">
                      <w:marLeft w:val="0"/>
                      <w:marRight w:val="0"/>
                      <w:marTop w:val="0"/>
                      <w:marBottom w:val="0"/>
                      <w:divBdr>
                        <w:top w:val="none" w:sz="0" w:space="0" w:color="auto"/>
                        <w:left w:val="none" w:sz="0" w:space="0" w:color="auto"/>
                        <w:bottom w:val="none" w:sz="0" w:space="0" w:color="auto"/>
                        <w:right w:val="none" w:sz="0" w:space="0" w:color="auto"/>
                      </w:divBdr>
                    </w:div>
                  </w:divsChild>
                </w:div>
                <w:div w:id="1160584331">
                  <w:marLeft w:val="0"/>
                  <w:marRight w:val="0"/>
                  <w:marTop w:val="0"/>
                  <w:marBottom w:val="0"/>
                  <w:divBdr>
                    <w:top w:val="none" w:sz="0" w:space="0" w:color="auto"/>
                    <w:left w:val="none" w:sz="0" w:space="0" w:color="auto"/>
                    <w:bottom w:val="none" w:sz="0" w:space="0" w:color="auto"/>
                    <w:right w:val="none" w:sz="0" w:space="0" w:color="auto"/>
                  </w:divBdr>
                  <w:divsChild>
                    <w:div w:id="262996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698623">
          <w:marLeft w:val="0"/>
          <w:marRight w:val="0"/>
          <w:marTop w:val="0"/>
          <w:marBottom w:val="0"/>
          <w:divBdr>
            <w:top w:val="none" w:sz="0" w:space="0" w:color="auto"/>
            <w:left w:val="none" w:sz="0" w:space="0" w:color="auto"/>
            <w:bottom w:val="none" w:sz="0" w:space="0" w:color="auto"/>
            <w:right w:val="none" w:sz="0" w:space="0" w:color="auto"/>
          </w:divBdr>
        </w:div>
        <w:div w:id="1300958237">
          <w:marLeft w:val="0"/>
          <w:marRight w:val="0"/>
          <w:marTop w:val="0"/>
          <w:marBottom w:val="0"/>
          <w:divBdr>
            <w:top w:val="none" w:sz="0" w:space="0" w:color="auto"/>
            <w:left w:val="none" w:sz="0" w:space="0" w:color="auto"/>
            <w:bottom w:val="none" w:sz="0" w:space="0" w:color="auto"/>
            <w:right w:val="none" w:sz="0" w:space="0" w:color="auto"/>
          </w:divBdr>
          <w:divsChild>
            <w:div w:id="1083798021">
              <w:marLeft w:val="-75"/>
              <w:marRight w:val="0"/>
              <w:marTop w:val="30"/>
              <w:marBottom w:val="30"/>
              <w:divBdr>
                <w:top w:val="none" w:sz="0" w:space="0" w:color="auto"/>
                <w:left w:val="none" w:sz="0" w:space="0" w:color="auto"/>
                <w:bottom w:val="none" w:sz="0" w:space="0" w:color="auto"/>
                <w:right w:val="none" w:sz="0" w:space="0" w:color="auto"/>
              </w:divBdr>
              <w:divsChild>
                <w:div w:id="261913413">
                  <w:marLeft w:val="0"/>
                  <w:marRight w:val="0"/>
                  <w:marTop w:val="0"/>
                  <w:marBottom w:val="0"/>
                  <w:divBdr>
                    <w:top w:val="none" w:sz="0" w:space="0" w:color="auto"/>
                    <w:left w:val="none" w:sz="0" w:space="0" w:color="auto"/>
                    <w:bottom w:val="none" w:sz="0" w:space="0" w:color="auto"/>
                    <w:right w:val="none" w:sz="0" w:space="0" w:color="auto"/>
                  </w:divBdr>
                  <w:divsChild>
                    <w:div w:id="1152411509">
                      <w:marLeft w:val="0"/>
                      <w:marRight w:val="0"/>
                      <w:marTop w:val="0"/>
                      <w:marBottom w:val="0"/>
                      <w:divBdr>
                        <w:top w:val="none" w:sz="0" w:space="0" w:color="auto"/>
                        <w:left w:val="none" w:sz="0" w:space="0" w:color="auto"/>
                        <w:bottom w:val="none" w:sz="0" w:space="0" w:color="auto"/>
                        <w:right w:val="none" w:sz="0" w:space="0" w:color="auto"/>
                      </w:divBdr>
                    </w:div>
                  </w:divsChild>
                </w:div>
                <w:div w:id="774710644">
                  <w:marLeft w:val="0"/>
                  <w:marRight w:val="0"/>
                  <w:marTop w:val="0"/>
                  <w:marBottom w:val="0"/>
                  <w:divBdr>
                    <w:top w:val="none" w:sz="0" w:space="0" w:color="auto"/>
                    <w:left w:val="none" w:sz="0" w:space="0" w:color="auto"/>
                    <w:bottom w:val="none" w:sz="0" w:space="0" w:color="auto"/>
                    <w:right w:val="none" w:sz="0" w:space="0" w:color="auto"/>
                  </w:divBdr>
                  <w:divsChild>
                    <w:div w:id="815991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242021">
          <w:marLeft w:val="0"/>
          <w:marRight w:val="0"/>
          <w:marTop w:val="0"/>
          <w:marBottom w:val="0"/>
          <w:divBdr>
            <w:top w:val="none" w:sz="0" w:space="0" w:color="auto"/>
            <w:left w:val="none" w:sz="0" w:space="0" w:color="auto"/>
            <w:bottom w:val="none" w:sz="0" w:space="0" w:color="auto"/>
            <w:right w:val="none" w:sz="0" w:space="0" w:color="auto"/>
          </w:divBdr>
          <w:divsChild>
            <w:div w:id="306782878">
              <w:marLeft w:val="0"/>
              <w:marRight w:val="0"/>
              <w:marTop w:val="0"/>
              <w:marBottom w:val="0"/>
              <w:divBdr>
                <w:top w:val="none" w:sz="0" w:space="0" w:color="auto"/>
                <w:left w:val="none" w:sz="0" w:space="0" w:color="auto"/>
                <w:bottom w:val="none" w:sz="0" w:space="0" w:color="auto"/>
                <w:right w:val="none" w:sz="0" w:space="0" w:color="auto"/>
              </w:divBdr>
            </w:div>
            <w:div w:id="225604204">
              <w:marLeft w:val="0"/>
              <w:marRight w:val="0"/>
              <w:marTop w:val="0"/>
              <w:marBottom w:val="0"/>
              <w:divBdr>
                <w:top w:val="none" w:sz="0" w:space="0" w:color="auto"/>
                <w:left w:val="none" w:sz="0" w:space="0" w:color="auto"/>
                <w:bottom w:val="none" w:sz="0" w:space="0" w:color="auto"/>
                <w:right w:val="none" w:sz="0" w:space="0" w:color="auto"/>
              </w:divBdr>
            </w:div>
            <w:div w:id="836308734">
              <w:marLeft w:val="0"/>
              <w:marRight w:val="0"/>
              <w:marTop w:val="0"/>
              <w:marBottom w:val="0"/>
              <w:divBdr>
                <w:top w:val="none" w:sz="0" w:space="0" w:color="auto"/>
                <w:left w:val="none" w:sz="0" w:space="0" w:color="auto"/>
                <w:bottom w:val="none" w:sz="0" w:space="0" w:color="auto"/>
                <w:right w:val="none" w:sz="0" w:space="0" w:color="auto"/>
              </w:divBdr>
            </w:div>
            <w:div w:id="846529254">
              <w:marLeft w:val="0"/>
              <w:marRight w:val="0"/>
              <w:marTop w:val="0"/>
              <w:marBottom w:val="0"/>
              <w:divBdr>
                <w:top w:val="none" w:sz="0" w:space="0" w:color="auto"/>
                <w:left w:val="none" w:sz="0" w:space="0" w:color="auto"/>
                <w:bottom w:val="none" w:sz="0" w:space="0" w:color="auto"/>
                <w:right w:val="none" w:sz="0" w:space="0" w:color="auto"/>
              </w:divBdr>
            </w:div>
            <w:div w:id="948044886">
              <w:marLeft w:val="0"/>
              <w:marRight w:val="0"/>
              <w:marTop w:val="0"/>
              <w:marBottom w:val="0"/>
              <w:divBdr>
                <w:top w:val="none" w:sz="0" w:space="0" w:color="auto"/>
                <w:left w:val="none" w:sz="0" w:space="0" w:color="auto"/>
                <w:bottom w:val="none" w:sz="0" w:space="0" w:color="auto"/>
                <w:right w:val="none" w:sz="0" w:space="0" w:color="auto"/>
              </w:divBdr>
            </w:div>
            <w:div w:id="1751003382">
              <w:marLeft w:val="0"/>
              <w:marRight w:val="0"/>
              <w:marTop w:val="0"/>
              <w:marBottom w:val="0"/>
              <w:divBdr>
                <w:top w:val="none" w:sz="0" w:space="0" w:color="auto"/>
                <w:left w:val="none" w:sz="0" w:space="0" w:color="auto"/>
                <w:bottom w:val="none" w:sz="0" w:space="0" w:color="auto"/>
                <w:right w:val="none" w:sz="0" w:space="0" w:color="auto"/>
              </w:divBdr>
            </w:div>
            <w:div w:id="1821388102">
              <w:marLeft w:val="0"/>
              <w:marRight w:val="0"/>
              <w:marTop w:val="0"/>
              <w:marBottom w:val="0"/>
              <w:divBdr>
                <w:top w:val="none" w:sz="0" w:space="0" w:color="auto"/>
                <w:left w:val="none" w:sz="0" w:space="0" w:color="auto"/>
                <w:bottom w:val="none" w:sz="0" w:space="0" w:color="auto"/>
                <w:right w:val="none" w:sz="0" w:space="0" w:color="auto"/>
              </w:divBdr>
            </w:div>
            <w:div w:id="1496149060">
              <w:marLeft w:val="0"/>
              <w:marRight w:val="0"/>
              <w:marTop w:val="0"/>
              <w:marBottom w:val="0"/>
              <w:divBdr>
                <w:top w:val="none" w:sz="0" w:space="0" w:color="auto"/>
                <w:left w:val="none" w:sz="0" w:space="0" w:color="auto"/>
                <w:bottom w:val="none" w:sz="0" w:space="0" w:color="auto"/>
                <w:right w:val="none" w:sz="0" w:space="0" w:color="auto"/>
              </w:divBdr>
            </w:div>
            <w:div w:id="67003743">
              <w:marLeft w:val="0"/>
              <w:marRight w:val="0"/>
              <w:marTop w:val="0"/>
              <w:marBottom w:val="0"/>
              <w:divBdr>
                <w:top w:val="none" w:sz="0" w:space="0" w:color="auto"/>
                <w:left w:val="none" w:sz="0" w:space="0" w:color="auto"/>
                <w:bottom w:val="none" w:sz="0" w:space="0" w:color="auto"/>
                <w:right w:val="none" w:sz="0" w:space="0" w:color="auto"/>
              </w:divBdr>
            </w:div>
            <w:div w:id="579826640">
              <w:marLeft w:val="0"/>
              <w:marRight w:val="0"/>
              <w:marTop w:val="0"/>
              <w:marBottom w:val="0"/>
              <w:divBdr>
                <w:top w:val="none" w:sz="0" w:space="0" w:color="auto"/>
                <w:left w:val="none" w:sz="0" w:space="0" w:color="auto"/>
                <w:bottom w:val="none" w:sz="0" w:space="0" w:color="auto"/>
                <w:right w:val="none" w:sz="0" w:space="0" w:color="auto"/>
              </w:divBdr>
            </w:div>
            <w:div w:id="1611626738">
              <w:marLeft w:val="0"/>
              <w:marRight w:val="0"/>
              <w:marTop w:val="0"/>
              <w:marBottom w:val="0"/>
              <w:divBdr>
                <w:top w:val="none" w:sz="0" w:space="0" w:color="auto"/>
                <w:left w:val="none" w:sz="0" w:space="0" w:color="auto"/>
                <w:bottom w:val="none" w:sz="0" w:space="0" w:color="auto"/>
                <w:right w:val="none" w:sz="0" w:space="0" w:color="auto"/>
              </w:divBdr>
            </w:div>
            <w:div w:id="89785285">
              <w:marLeft w:val="0"/>
              <w:marRight w:val="0"/>
              <w:marTop w:val="0"/>
              <w:marBottom w:val="0"/>
              <w:divBdr>
                <w:top w:val="none" w:sz="0" w:space="0" w:color="auto"/>
                <w:left w:val="none" w:sz="0" w:space="0" w:color="auto"/>
                <w:bottom w:val="none" w:sz="0" w:space="0" w:color="auto"/>
                <w:right w:val="none" w:sz="0" w:space="0" w:color="auto"/>
              </w:divBdr>
            </w:div>
            <w:div w:id="728381547">
              <w:marLeft w:val="0"/>
              <w:marRight w:val="0"/>
              <w:marTop w:val="0"/>
              <w:marBottom w:val="0"/>
              <w:divBdr>
                <w:top w:val="none" w:sz="0" w:space="0" w:color="auto"/>
                <w:left w:val="none" w:sz="0" w:space="0" w:color="auto"/>
                <w:bottom w:val="none" w:sz="0" w:space="0" w:color="auto"/>
                <w:right w:val="none" w:sz="0" w:space="0" w:color="auto"/>
              </w:divBdr>
            </w:div>
            <w:div w:id="2075007407">
              <w:marLeft w:val="0"/>
              <w:marRight w:val="0"/>
              <w:marTop w:val="0"/>
              <w:marBottom w:val="0"/>
              <w:divBdr>
                <w:top w:val="none" w:sz="0" w:space="0" w:color="auto"/>
                <w:left w:val="none" w:sz="0" w:space="0" w:color="auto"/>
                <w:bottom w:val="none" w:sz="0" w:space="0" w:color="auto"/>
                <w:right w:val="none" w:sz="0" w:space="0" w:color="auto"/>
              </w:divBdr>
            </w:div>
            <w:div w:id="1309506821">
              <w:marLeft w:val="0"/>
              <w:marRight w:val="0"/>
              <w:marTop w:val="0"/>
              <w:marBottom w:val="0"/>
              <w:divBdr>
                <w:top w:val="none" w:sz="0" w:space="0" w:color="auto"/>
                <w:left w:val="none" w:sz="0" w:space="0" w:color="auto"/>
                <w:bottom w:val="none" w:sz="0" w:space="0" w:color="auto"/>
                <w:right w:val="none" w:sz="0" w:space="0" w:color="auto"/>
              </w:divBdr>
            </w:div>
            <w:div w:id="1317487884">
              <w:marLeft w:val="0"/>
              <w:marRight w:val="0"/>
              <w:marTop w:val="0"/>
              <w:marBottom w:val="0"/>
              <w:divBdr>
                <w:top w:val="none" w:sz="0" w:space="0" w:color="auto"/>
                <w:left w:val="none" w:sz="0" w:space="0" w:color="auto"/>
                <w:bottom w:val="none" w:sz="0" w:space="0" w:color="auto"/>
                <w:right w:val="none" w:sz="0" w:space="0" w:color="auto"/>
              </w:divBdr>
            </w:div>
            <w:div w:id="201965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57162">
      <w:bodyDiv w:val="1"/>
      <w:marLeft w:val="0"/>
      <w:marRight w:val="0"/>
      <w:marTop w:val="0"/>
      <w:marBottom w:val="0"/>
      <w:divBdr>
        <w:top w:val="none" w:sz="0" w:space="0" w:color="auto"/>
        <w:left w:val="none" w:sz="0" w:space="0" w:color="auto"/>
        <w:bottom w:val="none" w:sz="0" w:space="0" w:color="auto"/>
        <w:right w:val="none" w:sz="0" w:space="0" w:color="auto"/>
      </w:divBdr>
    </w:div>
    <w:div w:id="287204364">
      <w:bodyDiv w:val="1"/>
      <w:marLeft w:val="0"/>
      <w:marRight w:val="0"/>
      <w:marTop w:val="0"/>
      <w:marBottom w:val="0"/>
      <w:divBdr>
        <w:top w:val="none" w:sz="0" w:space="0" w:color="auto"/>
        <w:left w:val="none" w:sz="0" w:space="0" w:color="auto"/>
        <w:bottom w:val="none" w:sz="0" w:space="0" w:color="auto"/>
        <w:right w:val="none" w:sz="0" w:space="0" w:color="auto"/>
      </w:divBdr>
    </w:div>
    <w:div w:id="436950852">
      <w:bodyDiv w:val="1"/>
      <w:marLeft w:val="0"/>
      <w:marRight w:val="0"/>
      <w:marTop w:val="0"/>
      <w:marBottom w:val="0"/>
      <w:divBdr>
        <w:top w:val="none" w:sz="0" w:space="0" w:color="auto"/>
        <w:left w:val="none" w:sz="0" w:space="0" w:color="auto"/>
        <w:bottom w:val="none" w:sz="0" w:space="0" w:color="auto"/>
        <w:right w:val="none" w:sz="0" w:space="0" w:color="auto"/>
      </w:divBdr>
      <w:divsChild>
        <w:div w:id="1219440805">
          <w:marLeft w:val="0"/>
          <w:marRight w:val="0"/>
          <w:marTop w:val="0"/>
          <w:marBottom w:val="0"/>
          <w:divBdr>
            <w:top w:val="none" w:sz="0" w:space="0" w:color="auto"/>
            <w:left w:val="none" w:sz="0" w:space="0" w:color="auto"/>
            <w:bottom w:val="none" w:sz="0" w:space="0" w:color="auto"/>
            <w:right w:val="none" w:sz="0" w:space="0" w:color="auto"/>
          </w:divBdr>
        </w:div>
        <w:div w:id="944188944">
          <w:marLeft w:val="0"/>
          <w:marRight w:val="0"/>
          <w:marTop w:val="0"/>
          <w:marBottom w:val="0"/>
          <w:divBdr>
            <w:top w:val="none" w:sz="0" w:space="0" w:color="auto"/>
            <w:left w:val="none" w:sz="0" w:space="0" w:color="auto"/>
            <w:bottom w:val="none" w:sz="0" w:space="0" w:color="auto"/>
            <w:right w:val="none" w:sz="0" w:space="0" w:color="auto"/>
          </w:divBdr>
        </w:div>
        <w:div w:id="796874719">
          <w:marLeft w:val="0"/>
          <w:marRight w:val="0"/>
          <w:marTop w:val="0"/>
          <w:marBottom w:val="0"/>
          <w:divBdr>
            <w:top w:val="none" w:sz="0" w:space="0" w:color="auto"/>
            <w:left w:val="none" w:sz="0" w:space="0" w:color="auto"/>
            <w:bottom w:val="none" w:sz="0" w:space="0" w:color="auto"/>
            <w:right w:val="none" w:sz="0" w:space="0" w:color="auto"/>
          </w:divBdr>
        </w:div>
        <w:div w:id="683095631">
          <w:marLeft w:val="0"/>
          <w:marRight w:val="0"/>
          <w:marTop w:val="0"/>
          <w:marBottom w:val="0"/>
          <w:divBdr>
            <w:top w:val="none" w:sz="0" w:space="0" w:color="auto"/>
            <w:left w:val="none" w:sz="0" w:space="0" w:color="auto"/>
            <w:bottom w:val="none" w:sz="0" w:space="0" w:color="auto"/>
            <w:right w:val="none" w:sz="0" w:space="0" w:color="auto"/>
          </w:divBdr>
        </w:div>
      </w:divsChild>
    </w:div>
    <w:div w:id="472334041">
      <w:bodyDiv w:val="1"/>
      <w:marLeft w:val="0"/>
      <w:marRight w:val="0"/>
      <w:marTop w:val="0"/>
      <w:marBottom w:val="0"/>
      <w:divBdr>
        <w:top w:val="none" w:sz="0" w:space="0" w:color="auto"/>
        <w:left w:val="none" w:sz="0" w:space="0" w:color="auto"/>
        <w:bottom w:val="none" w:sz="0" w:space="0" w:color="auto"/>
        <w:right w:val="none" w:sz="0" w:space="0" w:color="auto"/>
      </w:divBdr>
    </w:div>
    <w:div w:id="672949853">
      <w:bodyDiv w:val="1"/>
      <w:marLeft w:val="0"/>
      <w:marRight w:val="0"/>
      <w:marTop w:val="0"/>
      <w:marBottom w:val="0"/>
      <w:divBdr>
        <w:top w:val="none" w:sz="0" w:space="0" w:color="auto"/>
        <w:left w:val="none" w:sz="0" w:space="0" w:color="auto"/>
        <w:bottom w:val="none" w:sz="0" w:space="0" w:color="auto"/>
        <w:right w:val="none" w:sz="0" w:space="0" w:color="auto"/>
      </w:divBdr>
    </w:div>
    <w:div w:id="2101020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ten@eesc.europa.eu" TargetMode="External"/><Relationship Id="rId18" Type="http://schemas.openxmlformats.org/officeDocument/2006/relationships/header" Target="header3.xm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hyperlink" Target="https://eur-lex.europa.eu/legal-content/GA/TXT/?qid=1754949968982&amp;uri=CELEX%3A52025PC0335" TargetMode="External"/><Relationship Id="rId7" Type="http://schemas.openxmlformats.org/officeDocument/2006/relationships/styles" Target="styles.xml"/><Relationship Id="rId12" Type="http://schemas.openxmlformats.org/officeDocument/2006/relationships/image" Target="media/image1.jpg"/><Relationship Id="rId17" Type="http://schemas.openxmlformats.org/officeDocument/2006/relationships/footer" Target="footer2.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law-tracker.europa.eu/procedure/2025_335?lang=e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eader" Target="header4.xml"/><Relationship Id="rId28"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sdgs.un.org/goals" TargetMode="External"/><Relationship Id="rId27" Type="http://schemas.openxmlformats.org/officeDocument/2006/relationships/header" Target="header6.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europarl.europa.eu/thinktank/ga/document/EPRS_IDA(2025)7657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59ace41b-6786-4ce3-be71-52c27066c6ef">F7M6YNZUATRX-416430479-16966</_dlc_DocId>
    <_dlc_DocIdUrl xmlns="59ace41b-6786-4ce3-be71-52c27066c6ef">
      <Url>http://dm/eesc/2024/_layouts/15/DocIdRedir.aspx?ID=F7M6YNZUATRX-416430479-16966</Url>
      <Description>F7M6YNZUATRX-416430479-16966</Description>
    </_dlc_DocIdUrl>
    <Procedure xmlns="59ace41b-6786-4ce3-be71-52c27066c6ef">2025/0335(COD)</Procedure>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59ace41b-6786-4ce3-be71-52c27066c6ef">2025-11-13T12:00:00+00:00</ProductionDate>
    <DocumentNumber xmlns="1178e5e2-058a-41a1-9851-331c7b3fffb8">225</DocumentNumber>
    <FicheYear xmlns="59ace41b-6786-4ce3-be71-52c27066c6ef" xsi:nil="true"/>
    <DossierNumber xmlns="59ace41b-6786-4ce3-be71-52c27066c6ef">835</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59ace41b-6786-4ce3-be71-52c27066c6ef">2025-12-03T12:00:00+00:00</MeetingDate>
    <TaxCatchAll xmlns="59ace41b-6786-4ce3-be71-52c27066c6ef">
      <Value>76</Value>
      <Value>43</Value>
      <Value>132</Value>
      <Value>37</Value>
      <Value>36</Value>
      <Value>35</Value>
      <Value>34</Value>
      <Value>33</Value>
      <Value>32</Value>
      <Value>31</Value>
      <Value>30</Value>
      <Value>29</Value>
      <Value>28</Value>
      <Value>27</Value>
      <Value>26</Value>
      <Value>25</Value>
      <Value>24</Value>
      <Value>23</Value>
      <Value>22</Value>
      <Value>21</Value>
      <Value>18</Value>
      <Value>17</Value>
      <Value>16</Value>
      <Value>14</Value>
      <Value>12</Value>
      <Value>8</Value>
      <Value>7</Value>
      <Value>6</Value>
      <Value>5</Value>
      <Value>3</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GA</TermName>
          <TermId xmlns="http://schemas.microsoft.com/office/infopath/2007/PartnerControls">762d2456-c427-4ecb-b312-af3dad8e258c</TermId>
        </TermInfo>
      </Terms>
    </DocumentLanguage_0>
    <Rapporteur xmlns="59ace41b-6786-4ce3-be71-52c27066c6ef">PAGLIARA</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59ace41b-6786-4ce3-be71-52c27066c6ef">2024</DocumentYear>
    <FicheNumber xmlns="59ace41b-6786-4ce3-be71-52c27066c6ef">295674</FicheNumber>
    <OriginalSender xmlns="59ace41b-6786-4ce3-be71-52c27066c6ef">
      <UserInfo>
        <DisplayName>Healy Roisin</DisplayName>
        <AccountId>1606</AccountId>
        <AccountType/>
      </UserInfo>
    </OriginalSender>
    <DocumentPart xmlns="59ace41b-6786-4ce3-be71-52c27066c6ef">0</DocumentPart>
    <AdoptionDate xmlns="59ace41b-6786-4ce3-be71-52c27066c6ef" xsi:nil="true"/>
    <RequestingService xmlns="59ace41b-6786-4ce3-be71-52c27066c6ef">Transports, énergie, infrastructures et société de l'information</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1178e5e2-058a-41a1-9851-331c7b3fffb8">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TEN</TermName>
          <TermId xmlns="http://schemas.microsoft.com/office/infopath/2007/PartnerControls">5e12260d-3aca-41f8-baf2-ad3d18475f10</TermId>
        </TermInfo>
      </Terms>
    </DossierName_0>
    <DocumentVersion xmlns="59ace41b-6786-4ce3-be71-52c27066c6ef">0</DocumentVersion>
  </documentManagement>
</p:properties>
</file>

<file path=customXml/item2.xml><?xml version="1.0" encoding="utf-8"?>
<ct:contentTypeSchema xmlns:ct="http://schemas.microsoft.com/office/2006/metadata/contentType" xmlns:ma="http://schemas.microsoft.com/office/2006/metadata/properties/metaAttributes" ct:_="" ma:_="" ma:contentTypeName="DM Document" ma:contentTypeID="0x010100EA97B91038054C99906057A708A1480A00E20A70424F8EF14D84929FAE9E34774B" ma:contentTypeVersion="4" ma:contentTypeDescription="Defines the documents for Document Manager V2" ma:contentTypeScope="" ma:versionID="3c88e340e370a402dfed352137800822">
  <xsd:schema xmlns:xsd="http://www.w3.org/2001/XMLSchema" xmlns:xs="http://www.w3.org/2001/XMLSchema" xmlns:p="http://schemas.microsoft.com/office/2006/metadata/properties" xmlns:ns2="59ace41b-6786-4ce3-be71-52c27066c6ef" xmlns:ns3="http://schemas.microsoft.com/sharepoint/v3/fields" xmlns:ns4="1178e5e2-058a-41a1-9851-331c7b3fffb8" targetNamespace="http://schemas.microsoft.com/office/2006/metadata/properties" ma:root="true" ma:fieldsID="cff03e2a422031f7afb63180aa455c21" ns2:_="" ns3:_="" ns4:_="">
    <xsd:import namespace="59ace41b-6786-4ce3-be71-52c27066c6ef"/>
    <xsd:import namespace="http://schemas.microsoft.com/sharepoint/v3/fields"/>
    <xsd:import namespace="1178e5e2-058a-41a1-9851-331c7b3fffb8"/>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ace41b-6786-4ce3-be71-52c27066c6ef"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e2fb5ba9-5e53-4066-9f9c-cd35b339bd62}" ma:internalName="TaxCatchAll" ma:showField="CatchAllData" ma:web="59ace41b-6786-4ce3-be71-52c27066c6ef">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e2fb5ba9-5e53-4066-9f9c-cd35b339bd62}" ma:internalName="TaxCatchAllLabel" ma:readOnly="true" ma:showField="CatchAllDataLabel" ma:web="59ace41b-6786-4ce3-be71-52c27066c6ef">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178e5e2-058a-41a1-9851-331c7b3fffb8"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96D3643-5060-45FA-AE92-99562B1A10D2}">
  <ds:schemaRefs>
    <ds:schemaRef ds:uri="http://schemas.microsoft.com/office/2006/metadata/properties"/>
    <ds:schemaRef ds:uri="http://schemas.microsoft.com/office/infopath/2007/PartnerControls"/>
    <ds:schemaRef ds:uri="59ace41b-6786-4ce3-be71-52c27066c6ef"/>
    <ds:schemaRef ds:uri="http://schemas.microsoft.com/sharepoint/v3/fields"/>
    <ds:schemaRef ds:uri="1178e5e2-058a-41a1-9851-331c7b3fffb8"/>
  </ds:schemaRefs>
</ds:datastoreItem>
</file>

<file path=customXml/itemProps2.xml><?xml version="1.0" encoding="utf-8"?>
<ds:datastoreItem xmlns:ds="http://schemas.openxmlformats.org/officeDocument/2006/customXml" ds:itemID="{ABA42E33-0C36-4748-9D06-78E39F283154}"/>
</file>

<file path=customXml/itemProps3.xml><?xml version="1.0" encoding="utf-8"?>
<ds:datastoreItem xmlns:ds="http://schemas.openxmlformats.org/officeDocument/2006/customXml" ds:itemID="{A7A1E29E-AF9E-4D98-8986-5804850042D1}">
  <ds:schemaRefs>
    <ds:schemaRef ds:uri="http://schemas.microsoft.com/sharepoint/events"/>
  </ds:schemaRefs>
</ds:datastoreItem>
</file>

<file path=customXml/itemProps4.xml><?xml version="1.0" encoding="utf-8"?>
<ds:datastoreItem xmlns:ds="http://schemas.openxmlformats.org/officeDocument/2006/customXml" ds:itemID="{75CD3CD7-1B8A-457A-8577-9F60EC2CD73C}">
  <ds:schemaRefs>
    <ds:schemaRef ds:uri="http://schemas.openxmlformats.org/officeDocument/2006/bibliography"/>
  </ds:schemaRefs>
</ds:datastoreItem>
</file>

<file path=customXml/itemProps5.xml><?xml version="1.0" encoding="utf-8"?>
<ds:datastoreItem xmlns:ds="http://schemas.openxmlformats.org/officeDocument/2006/customXml" ds:itemID="{A379946C-DC2D-42E3-96E4-4F01F200F1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4265</Words>
  <Characters>23660</Characters>
  <Application>Microsoft Office Word</Application>
  <DocSecurity>0</DocSecurity>
  <Lines>197</Lines>
  <Paragraphs>55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EU space act</vt:lpstr>
      <vt:lpstr>EU Space Act</vt:lpstr>
    </vt:vector>
  </TitlesOfParts>
  <Manager/>
  <Company/>
  <LinksUpToDate>false</LinksUpToDate>
  <CharactersWithSpaces>27870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Gníomh AE um an spás</dc:title>
  <dc:subject>Draft opinion</dc:subject>
  <dc:creator/>
  <cp:keywords>EESC-2024-00225-00-02-PA-TRA-EN</cp:keywords>
  <dc:description>Rapporteur: - PAGLIARA Original language: - EN Date of document: - 29/10/2025 Date of meeting: - 12/11/2025 External documents: - COM(2025)335- final Administrator responsible: -  BORDIGNON GIORGIA ANDREA</dc:description>
  <cp:lastModifiedBy/>
  <cp:revision>8</cp:revision>
  <cp:lastPrinted>2016-01-26T08:31:00Z</cp:lastPrinted>
  <dcterms:created xsi:type="dcterms:W3CDTF">2025-11-12T15:50:00Z</dcterms:created>
  <dcterms:modified xsi:type="dcterms:W3CDTF">2025-11-13T16:23:00Z</dcterms:modified>
  <cp:category>TEN/835</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12/11/2025, 29/10/2025, 22/10/2025, 22/08/2025, 14/08/2025, 12/04/2024, 03/04/2024, 11/03/2024, 04/03/2024, 04/03/2024, 04/03/2024, 20/12/2023, 17/05/2022, 04/11/2015, 27/10/2015, 19/10/2015, 09/10/2015, 05/10/2015, 05/10/2015, 26/08/2015, 26/08/2015, 25/</vt:lpwstr>
  </property>
  <property fmtid="{D5CDD505-2E9C-101B-9397-08002B2CF9AE}" pid="4" name="Pref_Time">
    <vt:lpwstr>16:49:44, 15:03:28, 12:01:49, 15:44:07, 12:27:24, 11:59:36, 08:10:26, 12:03:24, 12:56:55, 12:41:08, 11:08:50, 07:02:01, 13:02:32, 12/10/07, 14:44:02, 16/04/16, 14:09:30, 16:24:55, 16:04:02, 08:56:14, 07:27:56, 17:31:53</vt:lpwstr>
  </property>
  <property fmtid="{D5CDD505-2E9C-101B-9397-08002B2CF9AE}" pid="5" name="Pref_User">
    <vt:lpwstr>amett, amett, pacup, pacup, magro, enied, enied, enied, enied, enied, enied, enied, enied, ssex, enied, amett, tvoc, mreg, mreg, amett, enied, ssex</vt:lpwstr>
  </property>
  <property fmtid="{D5CDD505-2E9C-101B-9397-08002B2CF9AE}" pid="6" name="Pref_FileName">
    <vt:lpwstr>EESC-2024-00225-00-00-AS-TRA-EN-CRR.docx, EESC-2024-00225-00-02-PA-ORI.docx, EESC-2024-00225-00-01-PA-ORI.docx, EESC-2024-00225-00-01-DT-ORI.docx, eesc-2024-00225-00-00-dt-ori.docx, COR-EESC-2024-01326-01-00-ADMIN-ORI.docx, DT-LEGIS-EN.docx, COR-EESC-2024</vt:lpwstr>
  </property>
  <property fmtid="{D5CDD505-2E9C-101B-9397-08002B2CF9AE}" pid="7" name="ContentTypeId">
    <vt:lpwstr>0x010100EA97B91038054C99906057A708A1480A00E20A70424F8EF14D84929FAE9E34774B</vt:lpwstr>
  </property>
  <property fmtid="{D5CDD505-2E9C-101B-9397-08002B2CF9AE}" pid="8" name="_dlc_DocIdItemGuid">
    <vt:lpwstr>1c72838f-f1b7-41d6-9199-8d2ea5c687d3</vt:lpwstr>
  </property>
  <property fmtid="{D5CDD505-2E9C-101B-9397-08002B2CF9AE}" pid="9" name="Procedure">
    <vt:lpwstr>2025/0335(COD)</vt:lpwstr>
  </property>
  <property fmtid="{D5CDD505-2E9C-101B-9397-08002B2CF9AE}" pid="10" name="AvailableTranslations">
    <vt:lpwstr>26;#SK|46d9fce0-ef79-4f71-b89b-cd6aa82426b8;#25;#DE|f6b31e5a-26fa-4935-b661-318e46daf27e;#12;#IT|0774613c-01ed-4e5d-a25d-11d2388de825;#14;#FR|d2afafd3-4c81-4f60-8f52-ee33f2f54ff3;#32;#HU|6b229040-c589-4408-b4c1-4285663d20a8;#23;#MT|7df99101-6854-4a26-b53a-b88c0da02c26;#21;#SV|c2ed69e7-a339-43d7-8f22-d93680a92aa0;#33;#ET|ff6c3f4c-b02c-4c3c-ab07-2c37995a7a0a;#27;#SL|98a412ae-eb01-49e9-ae3d-585a81724cfc;#28;#LV|46f7e311-5d9f-4663-b433-18aeccb7ace7;#36;#PT|50ccc04a-eadd-42ae-a0cb-acaf45f812ba;#17;#PL|1e03da61-4678-4e07-b136-b5024ca9197b;#18;#GA|762d2456-c427-4ecb-b312-af3dad8e258c;#34;#LT|a7ff5ce7-6123-4f68-865a-a57c31810414;#24;#ES|e7a6b05b-ae16-40c8-add9-68b64b03aeba;#5;#EN|f2175f21-25d7-44a3-96da-d6a61b075e1b;#16;#DA|5d49c027-8956-412b-aa16-e85a0f96ad0e;#31;#NL|55c6556c-b4f4-441d-9acf-c498d4f838bd;#22;#BG|1a1b3951-7821-4e6a-85f5-5673fc08bd2c;#37;#RO|feb747a2-64cd-4299-af12-4833ddc30497;#43;#CS|72f9705b-0217-4fd3-bea2-cbc7ed80e26e;#35;#FI|87606a43-d45f-42d6-b8c9-e1a3457db5b7;#30;#HR|2f555653-ed1a-4fe6-8362-9082d95989e5;#29;#EL|6d4f4d51-af9b-4650-94b4-4276bee85c91</vt:lpwstr>
  </property>
  <property fmtid="{D5CDD505-2E9C-101B-9397-08002B2CF9AE}" pid="11" name="DocumentType_0">
    <vt:lpwstr>AS|c7a748eb-f6f2-4d9d-8b5a-af0cafebc224</vt:lpwstr>
  </property>
  <property fmtid="{D5CDD505-2E9C-101B-9397-08002B2CF9AE}" pid="12" name="MeetingNumber">
    <vt:i4>601</vt:i4>
  </property>
  <property fmtid="{D5CDD505-2E9C-101B-9397-08002B2CF9AE}" pid="13" name="DossierName_0">
    <vt:lpwstr>TEN|5e12260d-3aca-41f8-baf2-ad3d18475f10</vt:lpwstr>
  </property>
  <property fmtid="{D5CDD505-2E9C-101B-9397-08002B2CF9AE}" pid="14" name="DocumentSource_0">
    <vt:lpwstr>EESC|422833ec-8d7e-4e65-8e4e-8bed07ffb729</vt:lpwstr>
  </property>
  <property fmtid="{D5CDD505-2E9C-101B-9397-08002B2CF9AE}" pid="15" name="DocumentNumber">
    <vt:i4>225</vt:i4>
  </property>
  <property fmtid="{D5CDD505-2E9C-101B-9397-08002B2CF9AE}" pid="16" name="FicheYear">
    <vt:i4>2024</vt:i4>
  </property>
  <property fmtid="{D5CDD505-2E9C-101B-9397-08002B2CF9AE}" pid="17" name="DocumentVersion">
    <vt:i4>0</vt:i4>
  </property>
  <property fmtid="{D5CDD505-2E9C-101B-9397-08002B2CF9AE}" pid="18" name="DossierNumber">
    <vt:i4>835</vt:i4>
  </property>
  <property fmtid="{D5CDD505-2E9C-101B-9397-08002B2CF9AE}" pid="19" name="DocumentStatus">
    <vt:lpwstr>3;#TRA|150d2a88-1431-44e6-a8ca-0bb753ab8672</vt:lpwstr>
  </property>
  <property fmtid="{D5CDD505-2E9C-101B-9397-08002B2CF9AE}" pid="20" name="DossierName">
    <vt:lpwstr>76;#TEN|5e12260d-3aca-41f8-baf2-ad3d18475f10</vt:lpwstr>
  </property>
  <property fmtid="{D5CDD505-2E9C-101B-9397-08002B2CF9AE}" pid="21" name="RequestingService">
    <vt:lpwstr>Transports, énergie, infrastructures et société de l'information</vt:lpwstr>
  </property>
  <property fmtid="{D5CDD505-2E9C-101B-9397-08002B2CF9AE}" pid="22" name="Confidentiality">
    <vt:lpwstr>6;#Unrestricted|826e22d7-d029-4ec0-a450-0c28ff673572</vt:lpwstr>
  </property>
  <property fmtid="{D5CDD505-2E9C-101B-9397-08002B2CF9AE}" pid="23" name="MeetingName_0">
    <vt:lpwstr>SPL-CES|32d8cb1f-c9ec-4365-95c7-8385a18618ac</vt:lpwstr>
  </property>
  <property fmtid="{D5CDD505-2E9C-101B-9397-08002B2CF9AE}" pid="24" name="Confidentiality_0">
    <vt:lpwstr>Unrestricted|826e22d7-d029-4ec0-a450-0c28ff673572</vt:lpwstr>
  </property>
  <property fmtid="{D5CDD505-2E9C-101B-9397-08002B2CF9AE}" pid="25" name="OriginalLanguage">
    <vt:lpwstr>5;#EN|f2175f21-25d7-44a3-96da-d6a61b075e1b</vt:lpwstr>
  </property>
  <property fmtid="{D5CDD505-2E9C-101B-9397-08002B2CF9AE}" pid="26" name="MeetingName">
    <vt:lpwstr>7;#SPL-CES|32d8cb1f-c9ec-4365-95c7-8385a18618ac</vt:lpwstr>
  </property>
  <property fmtid="{D5CDD505-2E9C-101B-9397-08002B2CF9AE}" pid="27" name="MeetingDate">
    <vt:filetime>2025-12-03T12:00:00Z</vt:filetime>
  </property>
  <property fmtid="{D5CDD505-2E9C-101B-9397-08002B2CF9AE}" pid="28" name="AvailableTranslations_0">
    <vt:lpwstr>SK|46d9fce0-ef79-4f71-b89b-cd6aa82426b8;IT|0774613c-01ed-4e5d-a25d-11d2388de825;FR|d2afafd3-4c81-4f60-8f52-ee33f2f54ff3;SV|c2ed69e7-a339-43d7-8f22-d93680a92aa0;ET|ff6c3f4c-b02c-4c3c-ab07-2c37995a7a0a;PT|50ccc04a-eadd-42ae-a0cb-acaf45f812ba;EN|f2175f21-25d7-44a3-96da-d6a61b075e1b;DA|5d49c027-8956-412b-aa16-e85a0f96ad0e</vt:lpwstr>
  </property>
  <property fmtid="{D5CDD505-2E9C-101B-9397-08002B2CF9AE}" pid="29" name="DocumentStatus_0">
    <vt:lpwstr>TRA|150d2a88-1431-44e6-a8ca-0bb753ab8672</vt:lpwstr>
  </property>
  <property fmtid="{D5CDD505-2E9C-101B-9397-08002B2CF9AE}" pid="30" name="OriginalLanguage_0">
    <vt:lpwstr>EN|f2175f21-25d7-44a3-96da-d6a61b075e1b</vt:lpwstr>
  </property>
  <property fmtid="{D5CDD505-2E9C-101B-9397-08002B2CF9AE}" pid="31" name="TaxCatchAll">
    <vt:lpwstr>36;#PT|50ccc04a-eadd-42ae-a0cb-acaf45f812ba;#132;#AS|c7a748eb-f6f2-4d9d-8b5a-af0cafebc224;#33;#ET|ff6c3f4c-b02c-4c3c-ab07-2c37995a7a0a;#26;#SK|46d9fce0-ef79-4f71-b89b-cd6aa82426b8;#21;#SV|c2ed69e7-a339-43d7-8f22-d93680a92aa0;#16;#DA|5d49c027-8956-412b-aa16-e85a0f96ad0e;#14;#FR|d2afafd3-4c81-4f60-8f52-ee33f2f54ff3;#12;#IT|0774613c-01ed-4e5d-a25d-11d2388de825;#8;#Final|ea5e6674-7b27-4bac-b091-73adbb394efe;#7;#SPL-CES|32d8cb1f-c9ec-4365-95c7-8385a18618ac;#6;#Unrestricted|826e22d7-d029-4ec0-a450-0c28ff673572;#5;#EN|f2175f21-25d7-44a3-96da-d6a61b075e1b;#3;#TRA|150d2a88-1431-44e6-a8ca-0bb753ab8672;#76;#TEN|5e12260d-3aca-41f8-baf2-ad3d18475f10;#1;#EESC|422833ec-8d7e-4e65-8e4e-8bed07ffb729</vt:lpwstr>
  </property>
  <property fmtid="{D5CDD505-2E9C-101B-9397-08002B2CF9AE}" pid="32" name="Rapporteur">
    <vt:lpwstr>PAGLIARA</vt:lpwstr>
  </property>
  <property fmtid="{D5CDD505-2E9C-101B-9397-08002B2CF9AE}" pid="33" name="VersionStatus_0">
    <vt:lpwstr>Final|ea5e6674-7b27-4bac-b091-73adbb394efe</vt:lpwstr>
  </property>
  <property fmtid="{D5CDD505-2E9C-101B-9397-08002B2CF9AE}" pid="34" name="VersionStatus">
    <vt:lpwstr>8;#Final|ea5e6674-7b27-4bac-b091-73adbb394efe</vt:lpwstr>
  </property>
  <property fmtid="{D5CDD505-2E9C-101B-9397-08002B2CF9AE}" pid="35" name="DocumentYear">
    <vt:i4>2024</vt:i4>
  </property>
  <property fmtid="{D5CDD505-2E9C-101B-9397-08002B2CF9AE}" pid="36" name="FicheNumber">
    <vt:i4>295674</vt:i4>
  </property>
  <property fmtid="{D5CDD505-2E9C-101B-9397-08002B2CF9AE}" pid="37" name="DocumentPart">
    <vt:i4>0</vt:i4>
  </property>
  <property fmtid="{D5CDD505-2E9C-101B-9397-08002B2CF9AE}" pid="38" name="DocumentSource">
    <vt:lpwstr>1;#EESC|422833ec-8d7e-4e65-8e4e-8bed07ffb729</vt:lpwstr>
  </property>
  <property fmtid="{D5CDD505-2E9C-101B-9397-08002B2CF9AE}" pid="39" name="DocumentType">
    <vt:lpwstr>132;#AS|c7a748eb-f6f2-4d9d-8b5a-af0cafebc224</vt:lpwstr>
  </property>
  <property fmtid="{D5CDD505-2E9C-101B-9397-08002B2CF9AE}" pid="40" name="DocumentLanguage">
    <vt:lpwstr>18;#GA|762d2456-c427-4ecb-b312-af3dad8e258c</vt:lpwstr>
  </property>
  <property fmtid="{D5CDD505-2E9C-101B-9397-08002B2CF9AE}" pid="41" name="_docset_NoMedatataSyncRequired">
    <vt:lpwstr>False</vt:lpwstr>
  </property>
  <property fmtid="{D5CDD505-2E9C-101B-9397-08002B2CF9AE}" pid="42" name="DocumentLanguage_0">
    <vt:lpwstr>EN|f2175f21-25d7-44a3-96da-d6a61b075e1b</vt:lpwstr>
  </property>
</Properties>
</file>